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480" w:lineRule="auto"/>
        <w:rPr>
          <w:rFonts w:ascii="华文中宋" w:hAnsi="华文中宋" w:eastAsia="华文中宋"/>
          <w:b/>
          <w:sz w:val="72"/>
        </w:rPr>
      </w:pPr>
      <w:r>
        <w:rPr>
          <w:rFonts w:ascii="宋体" w:hAnsi="宋体"/>
        </w:rPr>
        <w:drawing>
          <wp:inline distT="0" distB="0" distL="0" distR="0">
            <wp:extent cx="1421765" cy="553085"/>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355" cy="553658"/>
                    </a:xfrm>
                    <a:prstGeom prst="rect">
                      <a:avLst/>
                    </a:prstGeom>
                    <a:noFill/>
                    <a:ln>
                      <a:noFill/>
                    </a:ln>
                  </pic:spPr>
                </pic:pic>
              </a:graphicData>
            </a:graphic>
          </wp:inline>
        </w:drawing>
      </w:r>
    </w:p>
    <w:p>
      <w:pPr>
        <w:snapToGrid w:val="0"/>
        <w:spacing w:before="156" w:beforeLines="50" w:after="0"/>
        <w:rPr>
          <w:rFonts w:ascii="仿宋_GB2312" w:eastAsia="仿宋_GB2312"/>
          <w:b/>
          <w:sz w:val="32"/>
        </w:rPr>
      </w:pPr>
    </w:p>
    <w:p>
      <w:pPr>
        <w:snapToGrid w:val="0"/>
        <w:spacing w:before="156" w:beforeLines="50" w:after="0"/>
        <w:rPr>
          <w:rFonts w:ascii="仿宋_GB2312" w:eastAsia="仿宋_GB2312"/>
          <w:b/>
          <w:sz w:val="32"/>
        </w:rPr>
      </w:pPr>
    </w:p>
    <w:p>
      <w:pPr>
        <w:snapToGrid w:val="0"/>
        <w:spacing w:before="156" w:beforeLines="50" w:after="0"/>
        <w:jc w:val="center"/>
        <w:rPr>
          <w:rFonts w:ascii="仿宋_GB2312" w:eastAsia="仿宋_GB2312"/>
          <w:b/>
          <w:sz w:val="44"/>
          <w:szCs w:val="44"/>
        </w:rPr>
      </w:pPr>
      <w:r>
        <w:rPr>
          <w:rFonts w:hint="eastAsia" w:ascii="仿宋_GB2312" w:eastAsia="仿宋_GB2312"/>
          <w:b/>
          <w:sz w:val="44"/>
          <w:szCs w:val="44"/>
        </w:rPr>
        <w:t>货物采购公开招标项目</w:t>
      </w:r>
    </w:p>
    <w:p>
      <w:pPr>
        <w:snapToGrid w:val="0"/>
        <w:spacing w:before="156" w:beforeLines="50" w:after="0"/>
        <w:jc w:val="center"/>
        <w:rPr>
          <w:rFonts w:ascii="黑体" w:hAnsi="华文中宋" w:eastAsia="黑体" w:cs="华文中宋"/>
          <w:b/>
          <w:bCs/>
          <w:sz w:val="72"/>
          <w:szCs w:val="72"/>
        </w:rPr>
      </w:pPr>
    </w:p>
    <w:p>
      <w:pPr>
        <w:snapToGrid w:val="0"/>
        <w:spacing w:before="156" w:beforeLines="50" w:after="0"/>
        <w:jc w:val="center"/>
        <w:rPr>
          <w:rFonts w:ascii="楷体_GB2312" w:eastAsia="楷体_GB2312"/>
          <w:b/>
          <w:sz w:val="120"/>
          <w:szCs w:val="120"/>
        </w:rPr>
      </w:pPr>
      <w:r>
        <w:rPr>
          <w:rFonts w:hint="eastAsia" w:ascii="楷体_GB2312" w:eastAsia="楷体_GB2312"/>
          <w:b/>
          <w:sz w:val="120"/>
          <w:szCs w:val="120"/>
        </w:rPr>
        <w:t>招 标 文 件</w:t>
      </w:r>
    </w:p>
    <w:p>
      <w:pPr>
        <w:spacing w:after="0" w:line="360" w:lineRule="auto"/>
        <w:rPr>
          <w:rFonts w:ascii="宋体" w:hAnsi="宋体"/>
          <w:sz w:val="24"/>
        </w:rPr>
      </w:pPr>
    </w:p>
    <w:p>
      <w:pPr>
        <w:snapToGrid w:val="0"/>
        <w:spacing w:before="156" w:beforeLines="50" w:after="0"/>
        <w:jc w:val="left"/>
        <w:rPr>
          <w:rFonts w:ascii="仿宋_GB2312" w:eastAsia="仿宋_GB2312"/>
          <w:b/>
          <w:sz w:val="36"/>
          <w:szCs w:val="36"/>
        </w:rPr>
      </w:pPr>
      <w:r>
        <w:rPr>
          <w:rFonts w:hint="eastAsia" w:ascii="仿宋_GB2312" w:eastAsia="仿宋_GB2312"/>
          <w:b/>
          <w:sz w:val="36"/>
          <w:szCs w:val="36"/>
        </w:rPr>
        <w:t>项目编号：CLF0123GZ11QY48</w:t>
      </w:r>
    </w:p>
    <w:p>
      <w:pPr>
        <w:snapToGrid w:val="0"/>
        <w:spacing w:before="156" w:beforeLines="50" w:after="0"/>
        <w:jc w:val="left"/>
        <w:rPr>
          <w:rFonts w:ascii="仿宋_GB2312" w:eastAsia="仿宋_GB2312"/>
          <w:b/>
          <w:sz w:val="36"/>
          <w:szCs w:val="36"/>
        </w:rPr>
      </w:pPr>
      <w:r>
        <w:rPr>
          <w:rFonts w:hint="eastAsia" w:ascii="仿宋_GB2312" w:eastAsia="仿宋_GB2312"/>
          <w:b/>
          <w:sz w:val="36"/>
          <w:szCs w:val="36"/>
        </w:rPr>
        <w:t>项目名称：广东省英德监狱购买单警装备项目</w:t>
      </w:r>
    </w:p>
    <w:p>
      <w:pPr>
        <w:spacing w:after="0" w:line="360" w:lineRule="auto"/>
        <w:rPr>
          <w:rFonts w:eastAsia="华文中宋"/>
          <w:sz w:val="24"/>
          <w:szCs w:val="21"/>
        </w:rPr>
      </w:pPr>
    </w:p>
    <w:p>
      <w:pPr>
        <w:spacing w:after="0" w:line="360" w:lineRule="auto"/>
        <w:rPr>
          <w:rFonts w:eastAsia="华文中宋"/>
          <w:sz w:val="24"/>
          <w:szCs w:val="21"/>
        </w:rPr>
      </w:pPr>
    </w:p>
    <w:p>
      <w:pPr>
        <w:spacing w:after="0" w:line="360" w:lineRule="auto"/>
        <w:rPr>
          <w:rFonts w:eastAsia="华文中宋"/>
          <w:sz w:val="24"/>
          <w:szCs w:val="21"/>
        </w:rPr>
      </w:pPr>
    </w:p>
    <w:p>
      <w:pPr>
        <w:snapToGrid w:val="0"/>
        <w:spacing w:before="156" w:beforeLines="50" w:after="0"/>
        <w:jc w:val="center"/>
        <w:rPr>
          <w:rFonts w:ascii="仿宋_GB2312" w:eastAsia="仿宋_GB2312"/>
          <w:b/>
          <w:sz w:val="36"/>
          <w:szCs w:val="36"/>
        </w:rPr>
      </w:pPr>
      <w:r>
        <w:rPr>
          <w:rFonts w:hint="eastAsia" w:ascii="仿宋_GB2312" w:eastAsia="仿宋_GB2312"/>
          <w:b/>
          <w:sz w:val="36"/>
          <w:szCs w:val="36"/>
        </w:rPr>
        <w:t>广东省英德监狱</w:t>
      </w:r>
    </w:p>
    <w:p>
      <w:pPr>
        <w:snapToGrid w:val="0"/>
        <w:spacing w:before="156" w:beforeLines="50" w:after="0"/>
        <w:jc w:val="center"/>
        <w:rPr>
          <w:rFonts w:ascii="仿宋_GB2312" w:eastAsia="仿宋_GB2312"/>
          <w:b/>
          <w:sz w:val="36"/>
          <w:szCs w:val="36"/>
        </w:rPr>
      </w:pPr>
      <w:r>
        <w:rPr>
          <w:rFonts w:hint="eastAsia" w:ascii="仿宋_GB2312" w:eastAsia="仿宋_GB2312"/>
          <w:b/>
          <w:sz w:val="36"/>
          <w:szCs w:val="36"/>
        </w:rPr>
        <w:t>采联国际招标采购集团有限公司</w:t>
      </w:r>
    </w:p>
    <w:p>
      <w:pPr>
        <w:snapToGrid w:val="0"/>
        <w:spacing w:before="156" w:beforeLines="50" w:after="0"/>
        <w:jc w:val="center"/>
        <w:rPr>
          <w:rFonts w:ascii="仿宋_GB2312" w:eastAsia="仿宋_GB2312"/>
          <w:b/>
          <w:sz w:val="40"/>
          <w:szCs w:val="40"/>
          <w:highlight w:val="none"/>
        </w:rPr>
        <w:sectPr>
          <w:headerReference r:id="rId7" w:type="first"/>
          <w:footerReference r:id="rId9" w:type="first"/>
          <w:headerReference r:id="rId5" w:type="default"/>
          <w:headerReference r:id="rId6" w:type="even"/>
          <w:footerReference r:id="rId8" w:type="even"/>
          <w:pgSz w:w="11906" w:h="16838"/>
          <w:pgMar w:top="1440" w:right="1466" w:bottom="1440" w:left="1800" w:header="567" w:footer="992" w:gutter="0"/>
          <w:cols w:space="720" w:num="1"/>
          <w:docGrid w:type="linesAndChars" w:linePitch="312" w:charSpace="0"/>
        </w:sectPr>
      </w:pPr>
      <w:r>
        <w:rPr>
          <w:rFonts w:hint="eastAsia" w:ascii="仿宋_GB2312" w:eastAsia="仿宋_GB2312"/>
          <w:b/>
          <w:sz w:val="36"/>
          <w:szCs w:val="36"/>
          <w:highlight w:val="none"/>
        </w:rPr>
        <w:t>二〇二四年</w:t>
      </w:r>
      <w:r>
        <w:rPr>
          <w:rFonts w:hint="eastAsia" w:ascii="仿宋_GB2312" w:eastAsia="仿宋_GB2312"/>
          <w:b/>
          <w:sz w:val="36"/>
          <w:szCs w:val="36"/>
          <w:highlight w:val="none"/>
          <w:lang w:eastAsia="zh-CN"/>
        </w:rPr>
        <w:t>三</w:t>
      </w:r>
      <w:r>
        <w:rPr>
          <w:rFonts w:hint="eastAsia" w:ascii="仿宋_GB2312" w:eastAsia="仿宋_GB2312"/>
          <w:b/>
          <w:sz w:val="36"/>
          <w:szCs w:val="36"/>
          <w:highlight w:val="none"/>
        </w:rPr>
        <w:t>月</w:t>
      </w:r>
    </w:p>
    <w:p>
      <w:pPr>
        <w:autoSpaceDE w:val="0"/>
        <w:autoSpaceDN w:val="0"/>
        <w:snapToGrid w:val="0"/>
        <w:spacing w:before="156" w:beforeLines="50" w:after="0"/>
        <w:jc w:val="center"/>
        <w:rPr>
          <w:rFonts w:ascii="黑体" w:hAnsi="黑体" w:eastAsia="黑体"/>
          <w:b/>
          <w:sz w:val="44"/>
          <w:szCs w:val="44"/>
        </w:rPr>
      </w:pPr>
      <w:r>
        <w:rPr>
          <w:rFonts w:hint="eastAsia" w:ascii="黑体" w:hAnsi="黑体" w:eastAsia="黑体"/>
          <w:b/>
          <w:sz w:val="44"/>
          <w:szCs w:val="44"/>
        </w:rPr>
        <w:t>温馨提示！！！</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如无另行说明，投标文件递交时间为投标截止时间</w:t>
      </w:r>
      <w:r>
        <w:rPr>
          <w:rFonts w:hint="eastAsia" w:ascii="宋体" w:hAnsi="宋体"/>
          <w:b/>
          <w:sz w:val="24"/>
          <w:u w:val="single"/>
        </w:rPr>
        <w:t>前30分钟</w:t>
      </w:r>
      <w:r>
        <w:rPr>
          <w:rFonts w:hint="eastAsia" w:ascii="宋体" w:hAnsi="宋体"/>
          <w:sz w:val="24"/>
        </w:rPr>
        <w:t>内。</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本项目邀请投标人参加开标会议，请</w:t>
      </w:r>
      <w:r>
        <w:rPr>
          <w:rFonts w:hint="eastAsia" w:ascii="宋体" w:hAnsi="宋体"/>
          <w:b/>
          <w:sz w:val="24"/>
        </w:rPr>
        <w:t>适当提前到达</w:t>
      </w:r>
      <w:r>
        <w:rPr>
          <w:rFonts w:hint="eastAsia" w:ascii="宋体" w:hAnsi="宋体"/>
          <w:sz w:val="24"/>
        </w:rPr>
        <w:t>。</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投标文件应按顺序</w:t>
      </w:r>
      <w:r>
        <w:rPr>
          <w:rFonts w:hint="eastAsia" w:ascii="宋体" w:hAnsi="宋体"/>
          <w:b/>
          <w:sz w:val="24"/>
        </w:rPr>
        <w:t>编制页码</w:t>
      </w:r>
      <w:r>
        <w:rPr>
          <w:rFonts w:hint="eastAsia" w:ascii="宋体" w:hAnsi="宋体"/>
          <w:sz w:val="24"/>
        </w:rPr>
        <w:t>。</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请仔细检查投标文件是否已按招标文件要求</w:t>
      </w:r>
      <w:r>
        <w:rPr>
          <w:rFonts w:hint="eastAsia" w:ascii="宋体" w:hAnsi="宋体"/>
          <w:b/>
          <w:sz w:val="24"/>
        </w:rPr>
        <w:t>盖章、签名、签署日期</w:t>
      </w:r>
      <w:r>
        <w:rPr>
          <w:rFonts w:hint="eastAsia" w:ascii="宋体" w:hAnsi="宋体"/>
          <w:sz w:val="24"/>
        </w:rPr>
        <w:t>。</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请正确填写《开标一览表（报价表）》、《投标分项报价表》(如有)。多包组项目请仔细检查包组号，包组号与包组采购内容必须对应。</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如投标产品属于许可证管理范围内的，须提交相应的许可证复印件。</w:t>
      </w:r>
    </w:p>
    <w:p>
      <w:pPr>
        <w:numPr>
          <w:ilvl w:val="0"/>
          <w:numId w:val="2"/>
        </w:numPr>
        <w:tabs>
          <w:tab w:val="left" w:pos="709"/>
        </w:tabs>
        <w:spacing w:after="0" w:line="360" w:lineRule="auto"/>
        <w:ind w:left="360" w:hanging="360"/>
        <w:rPr>
          <w:rFonts w:ascii="宋体" w:hAnsi="宋体"/>
          <w:sz w:val="24"/>
        </w:rPr>
      </w:pPr>
      <w:r>
        <w:rPr>
          <w:rFonts w:hint="eastAsia" w:ascii="宋体" w:hAnsi="宋体" w:cs="宋体"/>
          <w:sz w:val="24"/>
        </w:rPr>
        <w:t>分公司投标，须取得</w:t>
      </w:r>
      <w:r>
        <w:rPr>
          <w:rFonts w:hint="eastAsia" w:ascii="宋体" w:hAnsi="宋体" w:cs="黑体"/>
          <w:sz w:val="24"/>
        </w:rPr>
        <w:t>具有法人资格的总公司</w:t>
      </w:r>
      <w:r>
        <w:rPr>
          <w:rStyle w:val="60"/>
          <w:rFonts w:hint="eastAsia" w:ascii="宋体" w:hAnsi="宋体"/>
          <w:sz w:val="24"/>
          <w:szCs w:val="24"/>
        </w:rPr>
        <w:t>（总所）</w:t>
      </w:r>
      <w:r>
        <w:rPr>
          <w:rFonts w:hint="eastAsia" w:ascii="宋体" w:hAnsi="宋体" w:cs="黑体"/>
          <w:sz w:val="24"/>
        </w:rPr>
        <w:t>出具给分公司的授权书，并提供总公司</w:t>
      </w:r>
      <w:r>
        <w:rPr>
          <w:rStyle w:val="60"/>
          <w:rFonts w:hint="eastAsia" w:ascii="宋体" w:hAnsi="宋体"/>
          <w:sz w:val="24"/>
          <w:szCs w:val="24"/>
        </w:rPr>
        <w:t>（总所）</w:t>
      </w:r>
      <w:r>
        <w:rPr>
          <w:rFonts w:hint="eastAsia" w:ascii="宋体" w:hAnsi="宋体" w:cs="黑体"/>
          <w:sz w:val="24"/>
        </w:rPr>
        <w:t>和分公司的营业执照（执业许可证）复印件。</w:t>
      </w:r>
      <w:r>
        <w:rPr>
          <w:rStyle w:val="60"/>
          <w:rFonts w:hint="eastAsia" w:ascii="宋体" w:hAnsi="宋体"/>
          <w:sz w:val="24"/>
          <w:szCs w:val="24"/>
        </w:rPr>
        <w:t>已由总公司（总所）授权的，总公司（总所）取得的相关资</w:t>
      </w:r>
      <w:r>
        <w:rPr>
          <w:rStyle w:val="60"/>
          <w:rFonts w:hint="eastAsia" w:ascii="宋体" w:hAnsi="宋体"/>
          <w:sz w:val="24"/>
          <w:szCs w:val="24"/>
          <w:highlight w:val="white"/>
        </w:rPr>
        <w:t>质证书对分公司有效，法律法规或者行业另有规定的除外</w:t>
      </w:r>
      <w:r>
        <w:rPr>
          <w:rStyle w:val="60"/>
          <w:rFonts w:hint="eastAsia" w:ascii="宋体" w:hAnsi="宋体"/>
          <w:sz w:val="24"/>
          <w:szCs w:val="24"/>
        </w:rPr>
        <w:t>。</w:t>
      </w:r>
    </w:p>
    <w:p>
      <w:pPr>
        <w:numPr>
          <w:ilvl w:val="0"/>
          <w:numId w:val="2"/>
        </w:numPr>
        <w:tabs>
          <w:tab w:val="left" w:pos="709"/>
        </w:tabs>
        <w:spacing w:after="0" w:line="360" w:lineRule="auto"/>
        <w:ind w:left="360" w:hanging="360"/>
        <w:rPr>
          <w:rFonts w:ascii="宋体" w:hAnsi="宋体"/>
          <w:sz w:val="24"/>
        </w:rPr>
      </w:pPr>
      <w:r>
        <w:rPr>
          <w:rFonts w:ascii="宋体" w:hAnsi="宋体"/>
          <w:sz w:val="24"/>
        </w:rPr>
        <w:t>递交投标文件前请仔细检查投标文件是否已胶装成册、已密封完好。</w:t>
      </w:r>
    </w:p>
    <w:p>
      <w:pPr>
        <w:numPr>
          <w:ilvl w:val="0"/>
          <w:numId w:val="2"/>
        </w:numPr>
        <w:tabs>
          <w:tab w:val="left" w:pos="709"/>
        </w:tabs>
        <w:snapToGrid w:val="0"/>
        <w:spacing w:after="0" w:line="400" w:lineRule="exact"/>
        <w:ind w:left="360" w:hanging="360"/>
        <w:rPr>
          <w:rFonts w:ascii="宋体" w:hAnsi="宋体"/>
          <w:sz w:val="24"/>
        </w:rPr>
      </w:pPr>
      <w:r>
        <w:rPr>
          <w:rFonts w:hint="eastAsia" w:ascii="宋体" w:hAnsi="宋体"/>
          <w:sz w:val="24"/>
        </w:rPr>
        <w:t>投标人如需对项目提出询问或质疑，应按招标文件附件中的询问函和质疑函的格式提交。</w:t>
      </w:r>
    </w:p>
    <w:p>
      <w:pPr>
        <w:numPr>
          <w:ilvl w:val="0"/>
          <w:numId w:val="2"/>
        </w:numPr>
        <w:tabs>
          <w:tab w:val="left" w:pos="709"/>
        </w:tabs>
        <w:snapToGrid w:val="0"/>
        <w:spacing w:after="0" w:line="400" w:lineRule="exact"/>
        <w:ind w:left="360" w:hanging="360"/>
        <w:rPr>
          <w:rFonts w:ascii="宋体" w:hAnsi="宋体"/>
          <w:sz w:val="24"/>
        </w:rPr>
      </w:pPr>
      <w:r>
        <w:rPr>
          <w:rFonts w:hint="eastAsia" w:ascii="宋体" w:hAnsi="宋体"/>
          <w:sz w:val="24"/>
        </w:rPr>
        <w:t>投标文件建议采用A4纸、双面打印、胶装。多包组项目如投标人同时投标多个包组的，建议每个包组分别装订。</w:t>
      </w:r>
    </w:p>
    <w:p>
      <w:pPr>
        <w:numPr>
          <w:ilvl w:val="0"/>
          <w:numId w:val="2"/>
        </w:numPr>
        <w:tabs>
          <w:tab w:val="left" w:pos="709"/>
        </w:tabs>
        <w:spacing w:after="0" w:line="360" w:lineRule="auto"/>
        <w:ind w:left="360" w:hanging="360"/>
        <w:rPr>
          <w:rFonts w:ascii="宋体" w:hAnsi="宋体"/>
          <w:sz w:val="24"/>
        </w:rPr>
      </w:pPr>
      <w:r>
        <w:rPr>
          <w:rFonts w:hint="eastAsia" w:ascii="宋体" w:hAnsi="宋体"/>
          <w:sz w:val="24"/>
        </w:rPr>
        <w:t>上述提示内容非招标文件的组成部分，仅为善意提醒。如有不一致的地方，以招标文件为准。</w:t>
      </w:r>
    </w:p>
    <w:p>
      <w:pPr>
        <w:spacing w:after="0" w:line="360" w:lineRule="auto"/>
        <w:jc w:val="center"/>
        <w:rPr>
          <w:rFonts w:ascii="宋体" w:hAnsi="宋体"/>
          <w:b/>
          <w:sz w:val="24"/>
        </w:rPr>
      </w:pPr>
      <w:r>
        <w:rPr>
          <w:rFonts w:ascii="宋体" w:hAnsi="宋体"/>
          <w:sz w:val="24"/>
        </w:rPr>
        <w:br w:type="page"/>
      </w:r>
    </w:p>
    <w:p>
      <w:pPr>
        <w:spacing w:after="0" w:line="360" w:lineRule="auto"/>
        <w:jc w:val="center"/>
        <w:rPr>
          <w:rFonts w:ascii="宋体" w:hAnsi="宋体"/>
          <w:b/>
          <w:sz w:val="44"/>
          <w:szCs w:val="44"/>
        </w:rPr>
      </w:pPr>
      <w:r>
        <w:rPr>
          <w:rFonts w:hint="eastAsia" w:ascii="宋体" w:hAnsi="宋体"/>
          <w:b/>
          <w:sz w:val="44"/>
          <w:szCs w:val="44"/>
        </w:rPr>
        <w:t>目   录</w:t>
      </w:r>
    </w:p>
    <w:p>
      <w:pPr>
        <w:pStyle w:val="27"/>
        <w:tabs>
          <w:tab w:val="right" w:leader="dot" w:pos="9354"/>
        </w:tabs>
        <w:rPr>
          <w:rFonts w:hint="eastAsia" w:ascii="宋体" w:hAnsi="宋体" w:eastAsia="宋体" w:cs="宋体"/>
          <w:sz w:val="28"/>
          <w:szCs w:val="28"/>
        </w:rPr>
      </w:pPr>
      <w:r>
        <w:fldChar w:fldCharType="begin"/>
      </w:r>
      <w:r>
        <w:instrText xml:space="preserve">TOC \o "1-3" \h \u </w:instrText>
      </w:r>
      <w: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_Toc26113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第一章 投标邀请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_Toc26113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_Toc23029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第二章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_Toc23029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_Toc29040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第三章 评标方法和标准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_Toc29040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_Toc27241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第四章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_Toc27241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_Toc17338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第五章 合同格式条款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_Toc17338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9354"/>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_Toc29171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第六章 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_Toc29171 \h </w:instrText>
      </w:r>
      <w:r>
        <w:rPr>
          <w:rFonts w:hint="eastAsia" w:ascii="宋体" w:hAnsi="宋体" w:eastAsia="宋体" w:cs="宋体"/>
          <w:sz w:val="28"/>
          <w:szCs w:val="28"/>
        </w:rPr>
        <w:fldChar w:fldCharType="separate"/>
      </w:r>
      <w:r>
        <w:rPr>
          <w:rFonts w:hint="eastAsia" w:ascii="宋体" w:hAnsi="宋体" w:eastAsia="宋体" w:cs="宋体"/>
          <w:sz w:val="28"/>
          <w:szCs w:val="28"/>
        </w:rPr>
        <w:t>52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dot" w:pos="9354"/>
        </w:tabs>
      </w:pPr>
    </w:p>
    <w:p>
      <w:pPr>
        <w:tabs>
          <w:tab w:val="right" w:leader="dot" w:pos="10054"/>
        </w:tabs>
        <w:spacing w:after="0" w:line="360" w:lineRule="auto"/>
        <w:jc w:val="left"/>
      </w:pPr>
      <w:r>
        <w:fldChar w:fldCharType="end"/>
      </w:r>
    </w:p>
    <w:p>
      <w:pPr>
        <w:spacing w:after="0"/>
        <w:jc w:val="center"/>
        <w:rPr>
          <w:rFonts w:ascii="宋体" w:hAnsi="宋体"/>
          <w:strike/>
          <w:sz w:val="24"/>
        </w:rPr>
      </w:pPr>
    </w:p>
    <w:p>
      <w:pPr>
        <w:widowControl/>
        <w:spacing w:after="0"/>
        <w:jc w:val="left"/>
        <w:rPr>
          <w:b/>
          <w:bCs/>
          <w:sz w:val="28"/>
          <w:szCs w:val="28"/>
        </w:rPr>
      </w:pPr>
      <w:r>
        <w:rPr>
          <w:b/>
          <w:bCs/>
          <w:sz w:val="28"/>
          <w:szCs w:val="28"/>
        </w:rPr>
        <w:br w:type="page"/>
      </w:r>
    </w:p>
    <w:p>
      <w:pPr>
        <w:widowControl/>
        <w:spacing w:after="0"/>
        <w:jc w:val="center"/>
        <w:outlineLvl w:val="0"/>
        <w:rPr>
          <w:b/>
          <w:bCs/>
          <w:sz w:val="30"/>
          <w:szCs w:val="30"/>
        </w:rPr>
      </w:pPr>
      <w:bookmarkStart w:id="0" w:name="_Toc26113"/>
      <w:bookmarkStart w:id="1" w:name="_Toc153184829"/>
      <w:r>
        <w:rPr>
          <w:rFonts w:hint="eastAsia"/>
          <w:b/>
          <w:bCs/>
          <w:sz w:val="28"/>
          <w:szCs w:val="28"/>
        </w:rPr>
        <w:t>第一</w:t>
      </w:r>
      <w:r>
        <w:rPr>
          <w:b/>
          <w:bCs/>
          <w:sz w:val="28"/>
          <w:szCs w:val="28"/>
        </w:rPr>
        <w:t>章</w:t>
      </w:r>
      <w:r>
        <w:rPr>
          <w:rFonts w:hint="eastAsia"/>
          <w:b/>
          <w:bCs/>
          <w:sz w:val="28"/>
          <w:szCs w:val="28"/>
        </w:rPr>
        <w:t xml:space="preserve"> </w:t>
      </w:r>
      <w:r>
        <w:rPr>
          <w:b/>
          <w:bCs/>
          <w:sz w:val="28"/>
          <w:szCs w:val="28"/>
        </w:rPr>
        <w:t>投标邀请</w:t>
      </w:r>
      <w:bookmarkEnd w:id="0"/>
      <w:bookmarkEnd w:id="1"/>
    </w:p>
    <w:p>
      <w:pPr>
        <w:widowControl/>
        <w:adjustRightInd/>
        <w:spacing w:after="0" w:line="240" w:lineRule="auto"/>
        <w:jc w:val="left"/>
        <w:textAlignment w:val="auto"/>
        <w:rPr>
          <w:rFonts w:ascii="宋体" w:hAnsi="宋体" w:cs="宋体"/>
          <w:b/>
          <w:bCs/>
          <w:color w:val="auto"/>
          <w:sz w:val="24"/>
          <w:highlight w:val="none"/>
        </w:rPr>
      </w:pPr>
      <w:r>
        <w:rPr>
          <w:rFonts w:ascii="宋体" w:hAnsi="宋体" w:cs="宋体"/>
          <w:b/>
          <w:bCs/>
          <w:sz w:val="24"/>
        </w:rPr>
        <w:t>项目概况</w:t>
      </w:r>
    </w:p>
    <w:p>
      <w:pPr>
        <w:widowControl/>
        <w:adjustRightInd/>
        <w:spacing w:after="0" w:line="360" w:lineRule="auto"/>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u w:val="single"/>
        </w:rPr>
        <w:t>广东省英德监狱购买单警装备项目</w:t>
      </w:r>
      <w:r>
        <w:rPr>
          <w:rFonts w:ascii="宋体" w:hAnsi="宋体" w:cs="宋体"/>
          <w:bCs/>
          <w:color w:val="auto"/>
          <w:sz w:val="24"/>
          <w:highlight w:val="none"/>
        </w:rPr>
        <w:t>的潜在投标人应在</w:t>
      </w:r>
      <w:r>
        <w:rPr>
          <w:rFonts w:hint="eastAsia" w:ascii="宋体" w:hAnsi="宋体" w:cs="宋体"/>
          <w:color w:val="auto"/>
          <w:sz w:val="24"/>
          <w:highlight w:val="none"/>
          <w:u w:val="single"/>
        </w:rPr>
        <w:t>广东省广州市越秀区环市东路472号粤海大厦7楼</w:t>
      </w:r>
      <w:r>
        <w:rPr>
          <w:rFonts w:hint="eastAsia" w:ascii="宋体" w:hAnsi="宋体" w:cs="宋体"/>
          <w:color w:val="auto"/>
          <w:sz w:val="24"/>
          <w:highlight w:val="none"/>
        </w:rPr>
        <w:t>获取招标文件，并于</w:t>
      </w:r>
      <w:r>
        <w:rPr>
          <w:rFonts w:hint="eastAsia" w:ascii="宋体" w:hAnsi="宋体" w:cs="宋体"/>
          <w:color w:val="auto"/>
          <w:sz w:val="24"/>
          <w:highlight w:val="none"/>
          <w:u w:val="single"/>
          <w:lang w:val="en-US" w:eastAsia="zh-CN"/>
        </w:rPr>
        <w:t>2024</w:t>
      </w:r>
      <w:r>
        <w:rPr>
          <w:rFonts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ascii="宋体" w:hAnsi="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ascii="宋体" w:hAnsi="宋体" w:cs="宋体"/>
          <w:color w:val="auto"/>
          <w:sz w:val="24"/>
          <w:highlight w:val="none"/>
          <w:u w:val="single"/>
        </w:rPr>
        <w:t>分</w:t>
      </w:r>
      <w:r>
        <w:rPr>
          <w:rFonts w:hint="eastAsia" w:ascii="宋体" w:hAnsi="宋体" w:cs="宋体"/>
          <w:bCs/>
          <w:color w:val="auto"/>
          <w:sz w:val="24"/>
          <w:highlight w:val="none"/>
        </w:rPr>
        <w:t>（北京时间）前递交投标</w:t>
      </w:r>
      <w:r>
        <w:rPr>
          <w:rFonts w:ascii="宋体" w:hAnsi="宋体" w:cs="宋体"/>
          <w:bCs/>
          <w:color w:val="auto"/>
          <w:sz w:val="24"/>
          <w:highlight w:val="none"/>
        </w:rPr>
        <w:t>文件</w:t>
      </w:r>
      <w:r>
        <w:rPr>
          <w:rFonts w:hint="eastAsia" w:ascii="宋体" w:hAnsi="宋体" w:cs="宋体"/>
          <w:color w:val="auto"/>
          <w:sz w:val="24"/>
          <w:highlight w:val="none"/>
        </w:rPr>
        <w:t>。</w:t>
      </w:r>
    </w:p>
    <w:p>
      <w:pPr>
        <w:widowControl/>
        <w:adjustRightInd/>
        <w:spacing w:after="0" w:line="240" w:lineRule="auto"/>
        <w:jc w:val="center"/>
        <w:textAlignment w:val="auto"/>
        <w:rPr>
          <w:rFonts w:ascii="微软雅黑" w:hAnsi="微软雅黑" w:eastAsia="微软雅黑" w:cs="宋体"/>
          <w:color w:val="auto"/>
          <w:sz w:val="18"/>
          <w:szCs w:val="18"/>
          <w:highlight w:val="none"/>
        </w:rPr>
      </w:pPr>
    </w:p>
    <w:p>
      <w:pPr>
        <w:numPr>
          <w:ilvl w:val="0"/>
          <w:numId w:val="3"/>
        </w:numPr>
        <w:adjustRightInd/>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项目基本情况</w:t>
      </w:r>
    </w:p>
    <w:p>
      <w:pPr>
        <w:adjustRightInd/>
        <w:snapToGrid w:val="0"/>
        <w:spacing w:after="0" w:line="360" w:lineRule="auto"/>
        <w:textAlignment w:val="auto"/>
        <w:rPr>
          <w:rFonts w:ascii="宋体" w:hAnsi="宋体" w:cs="仿宋_GB2312"/>
          <w:color w:val="auto"/>
          <w:kern w:val="2"/>
          <w:sz w:val="24"/>
          <w:highlight w:val="none"/>
          <w:u w:val="single"/>
          <w:shd w:val="clear" w:color="auto" w:fill="F0F9FF"/>
        </w:rPr>
      </w:pPr>
      <w:r>
        <w:rPr>
          <w:rFonts w:hint="eastAsia" w:ascii="宋体" w:hAnsi="宋体" w:cs="仿宋_GB2312"/>
          <w:color w:val="auto"/>
          <w:kern w:val="2"/>
          <w:sz w:val="24"/>
          <w:highlight w:val="none"/>
        </w:rPr>
        <w:t>项目编号：</w:t>
      </w:r>
      <w:r>
        <w:rPr>
          <w:rFonts w:hint="eastAsia" w:ascii="宋体" w:hAnsi="宋体" w:cs="仿宋_GB2312"/>
          <w:color w:val="auto"/>
          <w:kern w:val="2"/>
          <w:sz w:val="24"/>
          <w:highlight w:val="none"/>
          <w:u w:val="single"/>
        </w:rPr>
        <w:t>CLF0123GZ11QY48</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项目名称：</w:t>
      </w:r>
      <w:r>
        <w:rPr>
          <w:rFonts w:hint="eastAsia" w:ascii="宋体" w:hAnsi="宋体" w:cs="仿宋_GB2312"/>
          <w:color w:val="auto"/>
          <w:kern w:val="2"/>
          <w:sz w:val="24"/>
          <w:highlight w:val="none"/>
          <w:u w:val="single"/>
        </w:rPr>
        <w:t>广东省英德监狱购买单警装备项目</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预算金额（元）：</w:t>
      </w:r>
      <w:r>
        <w:rPr>
          <w:rFonts w:hint="eastAsia" w:ascii="宋体" w:hAnsi="宋体" w:cs="仿宋_GB2312"/>
          <w:color w:val="auto"/>
          <w:kern w:val="2"/>
          <w:sz w:val="24"/>
          <w:highlight w:val="none"/>
          <w:u w:val="single"/>
        </w:rPr>
        <w:t>597</w:t>
      </w:r>
      <w:r>
        <w:rPr>
          <w:rFonts w:ascii="宋体" w:hAnsi="宋体" w:cs="仿宋_GB2312"/>
          <w:color w:val="auto"/>
          <w:kern w:val="2"/>
          <w:sz w:val="24"/>
          <w:highlight w:val="none"/>
          <w:u w:val="single"/>
        </w:rPr>
        <w:t>,</w:t>
      </w:r>
      <w:r>
        <w:rPr>
          <w:rFonts w:hint="eastAsia" w:ascii="宋体" w:hAnsi="宋体" w:cs="仿宋_GB2312"/>
          <w:color w:val="auto"/>
          <w:kern w:val="2"/>
          <w:sz w:val="24"/>
          <w:highlight w:val="none"/>
          <w:u w:val="single"/>
        </w:rPr>
        <w:t>290.</w:t>
      </w:r>
      <w:r>
        <w:rPr>
          <w:rFonts w:ascii="宋体" w:hAnsi="宋体" w:cs="仿宋_GB2312"/>
          <w:color w:val="auto"/>
          <w:kern w:val="2"/>
          <w:sz w:val="24"/>
          <w:highlight w:val="none"/>
          <w:u w:val="single"/>
        </w:rPr>
        <w:t>00</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最高限价（如有）：</w:t>
      </w:r>
      <w:r>
        <w:rPr>
          <w:rFonts w:ascii="宋体" w:hAnsi="宋体" w:cs="仿宋_GB2312"/>
          <w:color w:val="auto"/>
          <w:kern w:val="2"/>
          <w:sz w:val="24"/>
          <w:highlight w:val="none"/>
          <w:u w:val="single"/>
        </w:rPr>
        <w:t>/</w:t>
      </w:r>
    </w:p>
    <w:p>
      <w:pPr>
        <w:adjustRightInd/>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采购需求：</w:t>
      </w:r>
    </w:p>
    <w:p>
      <w:pPr>
        <w:numPr>
          <w:ilvl w:val="0"/>
          <w:numId w:val="4"/>
        </w:numPr>
        <w:adjustRightInd/>
        <w:snapToGrid w:val="0"/>
        <w:spacing w:after="0" w:line="360" w:lineRule="auto"/>
        <w:ind w:left="420" w:leftChars="0" w:hanging="420" w:firstLineChars="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采购项目一览表</w:t>
      </w:r>
    </w:p>
    <w:tbl>
      <w:tblPr>
        <w:tblStyle w:val="135"/>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5"/>
        <w:gridCol w:w="3028"/>
        <w:gridCol w:w="2169"/>
        <w:gridCol w:w="3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标的名称</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r>
              <w:rPr>
                <w:rFonts w:hint="eastAsia" w:ascii="宋体"/>
                <w:b/>
                <w:color w:val="auto"/>
                <w:sz w:val="24"/>
                <w:highlight w:val="none"/>
              </w:rPr>
              <w:t>（套）</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单价最高限价</w:t>
            </w:r>
          </w:p>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（人民币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多功能腰带</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手铐</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电警棍</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自卫催泪喷雾器</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警哨</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强光手电</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战术背心</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25"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3028"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伸缩警棍</w:t>
            </w:r>
          </w:p>
        </w:tc>
        <w:tc>
          <w:tcPr>
            <w:tcW w:w="2169"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76"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155.00</w:t>
            </w:r>
          </w:p>
        </w:tc>
      </w:tr>
    </w:tbl>
    <w:p>
      <w:pPr>
        <w:numPr>
          <w:ilvl w:val="0"/>
          <w:numId w:val="4"/>
        </w:numPr>
        <w:snapToGrid w:val="0"/>
        <w:spacing w:before="156" w:beforeLines="50" w:after="0" w:line="360" w:lineRule="auto"/>
        <w:ind w:left="420" w:leftChars="0" w:hanging="420" w:firstLineChars="0"/>
        <w:textAlignment w:val="auto"/>
        <w:rPr>
          <w:rFonts w:ascii="宋体" w:hAnsi="宋体"/>
          <w:bCs/>
          <w:i/>
          <w:iCs/>
          <w:color w:val="auto"/>
          <w:kern w:val="2"/>
          <w:sz w:val="24"/>
          <w:highlight w:val="none"/>
          <w:u w:val="single"/>
        </w:rPr>
      </w:pPr>
      <w:r>
        <w:rPr>
          <w:rFonts w:hint="eastAsia" w:ascii="宋体" w:hAnsi="宋体"/>
          <w:bCs/>
          <w:color w:val="auto"/>
          <w:kern w:val="2"/>
          <w:sz w:val="24"/>
          <w:highlight w:val="none"/>
        </w:rPr>
        <w:t>简要技术：</w:t>
      </w:r>
      <w:r>
        <w:rPr>
          <w:rFonts w:hint="eastAsia" w:ascii="宋体" w:hAnsi="宋体"/>
          <w:bCs/>
          <w:color w:val="auto"/>
          <w:kern w:val="2"/>
          <w:sz w:val="24"/>
          <w:highlight w:val="none"/>
          <w:u w:val="single"/>
        </w:rPr>
        <w:t>所有装备应为原制造商制造的全新产品，整机无污染，表面无划损、无任何缺陷隐患，各项技术指标完全符合国家监测标准及产品出厂标准。具体详见采购需求</w:t>
      </w:r>
    </w:p>
    <w:p>
      <w:pPr>
        <w:snapToGrid w:val="0"/>
        <w:spacing w:after="0" w:line="360" w:lineRule="auto"/>
        <w:textAlignment w:val="auto"/>
        <w:rPr>
          <w:rFonts w:ascii="宋体" w:hAnsi="宋体" w:cs="仿宋_GB2312"/>
          <w:color w:val="auto"/>
          <w:kern w:val="2"/>
          <w:sz w:val="24"/>
          <w:highlight w:val="none"/>
          <w:u w:val="single"/>
        </w:rPr>
      </w:pPr>
      <w:r>
        <w:rPr>
          <w:rFonts w:hint="eastAsia" w:ascii="宋体" w:hAnsi="宋体" w:cs="仿宋_GB2312"/>
          <w:color w:val="auto"/>
          <w:kern w:val="2"/>
          <w:sz w:val="24"/>
          <w:highlight w:val="none"/>
        </w:rPr>
        <w:t>合同履行期限：</w:t>
      </w:r>
      <w:r>
        <w:rPr>
          <w:rFonts w:hint="eastAsia" w:cs="宋体" w:asciiTheme="minorEastAsia" w:hAnsiTheme="minorEastAsia"/>
          <w:color w:val="auto"/>
          <w:sz w:val="24"/>
          <w:highlight w:val="none"/>
        </w:rPr>
        <w:t>合同签订后</w:t>
      </w:r>
      <w:r>
        <w:rPr>
          <w:rFonts w:hint="eastAsia" w:cs="宋体" w:asciiTheme="minorEastAsia" w:hAnsiTheme="minorEastAsia"/>
          <w:color w:val="auto"/>
          <w:sz w:val="24"/>
          <w:highlight w:val="none"/>
          <w:lang w:val="en-US" w:eastAsia="zh-CN"/>
        </w:rPr>
        <w:t>60</w:t>
      </w:r>
      <w:r>
        <w:rPr>
          <w:rFonts w:hint="eastAsia" w:cs="宋体" w:asciiTheme="minorEastAsia" w:hAnsiTheme="minorEastAsia"/>
          <w:color w:val="auto"/>
          <w:sz w:val="24"/>
          <w:highlight w:val="none"/>
        </w:rPr>
        <w:t>个日历日内交货</w:t>
      </w:r>
      <w:r>
        <w:rPr>
          <w:rFonts w:hint="eastAsia" w:ascii="宋体" w:hAnsi="宋体" w:cs="仿宋_GB2312"/>
          <w:color w:val="auto"/>
          <w:kern w:val="2"/>
          <w:sz w:val="24"/>
          <w:highlight w:val="none"/>
        </w:rPr>
        <w:t>。</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本项目</w:t>
      </w:r>
      <w:r>
        <w:rPr>
          <w:rFonts w:hint="eastAsia" w:ascii="宋体" w:hAnsi="宋体" w:cs="仿宋_GB2312"/>
          <w:color w:val="auto"/>
          <w:kern w:val="2"/>
          <w:sz w:val="24"/>
          <w:highlight w:val="none"/>
          <w:u w:val="none"/>
        </w:rPr>
        <w:t>不接受</w:t>
      </w:r>
      <w:r>
        <w:rPr>
          <w:rFonts w:hint="eastAsia" w:ascii="宋体" w:hAnsi="宋体" w:cs="仿宋_GB2312"/>
          <w:color w:val="auto"/>
          <w:kern w:val="2"/>
          <w:sz w:val="24"/>
          <w:highlight w:val="none"/>
        </w:rPr>
        <w:t>联合体投标。</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申请人的资格要求：</w:t>
      </w:r>
    </w:p>
    <w:p>
      <w:pPr>
        <w:pStyle w:val="140"/>
        <w:adjustRightInd w:val="0"/>
        <w:spacing w:after="0" w:line="375" w:lineRule="auto"/>
        <w:jc w:val="both"/>
        <w:rPr>
          <w:color w:val="auto"/>
          <w:highlight w:val="none"/>
        </w:rPr>
      </w:pPr>
      <w:r>
        <w:rPr>
          <w:rFonts w:ascii="宋体" w:hAnsi="宋体" w:cs="宋体"/>
          <w:color w:val="auto"/>
          <w:sz w:val="24"/>
          <w:szCs w:val="24"/>
          <w:highlight w:val="none"/>
        </w:rPr>
        <w:t>(一)具备《中华人民共和国政府采购法》第二十二条规定的条件;</w:t>
      </w:r>
    </w:p>
    <w:p>
      <w:pPr>
        <w:pStyle w:val="140"/>
        <w:adjustRightInd w:val="0"/>
        <w:spacing w:after="0" w:line="375" w:lineRule="auto"/>
        <w:jc w:val="both"/>
        <w:rPr>
          <w:color w:val="auto"/>
          <w:highlight w:val="none"/>
        </w:rPr>
      </w:pPr>
      <w:r>
        <w:rPr>
          <w:rFonts w:ascii="宋体" w:hAnsi="宋体" w:cs="宋体"/>
          <w:color w:val="auto"/>
          <w:sz w:val="24"/>
          <w:szCs w:val="24"/>
          <w:highlight w:val="none"/>
        </w:rPr>
        <w:t>1.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140"/>
        <w:adjustRightInd w:val="0"/>
        <w:spacing w:after="0" w:line="375" w:lineRule="auto"/>
        <w:jc w:val="both"/>
        <w:rPr>
          <w:color w:val="auto"/>
          <w:highlight w:val="none"/>
        </w:rPr>
      </w:pPr>
      <w:r>
        <w:rPr>
          <w:rFonts w:ascii="宋体" w:hAnsi="宋体" w:cs="宋体"/>
          <w:color w:val="auto"/>
          <w:sz w:val="24"/>
          <w:szCs w:val="24"/>
          <w:highlight w:val="none"/>
        </w:rPr>
        <w:t>2.提供</w:t>
      </w:r>
      <w:r>
        <w:rPr>
          <w:rFonts w:hint="eastAsia" w:ascii="宋体" w:hAnsi="宋体" w:cs="宋体"/>
          <w:color w:val="auto"/>
          <w:sz w:val="24"/>
          <w:szCs w:val="24"/>
          <w:highlight w:val="none"/>
        </w:rPr>
        <w:t>2022</w:t>
      </w:r>
      <w:r>
        <w:rPr>
          <w:rFonts w:ascii="宋体" w:hAnsi="宋体" w:cs="宋体"/>
          <w:color w:val="auto"/>
          <w:sz w:val="24"/>
          <w:szCs w:val="24"/>
          <w:highlight w:val="none"/>
        </w:rPr>
        <w:t>年度财务状况报告或</w:t>
      </w:r>
      <w:r>
        <w:rPr>
          <w:rFonts w:hint="eastAsia" w:ascii="宋体" w:hAnsi="宋体" w:cs="宋体"/>
          <w:color w:val="auto"/>
          <w:sz w:val="24"/>
          <w:szCs w:val="24"/>
          <w:highlight w:val="none"/>
        </w:rPr>
        <w:t>2023</w:t>
      </w:r>
      <w:r>
        <w:rPr>
          <w:rFonts w:ascii="宋体" w:hAnsi="宋体" w:cs="宋体"/>
          <w:color w:val="auto"/>
          <w:sz w:val="24"/>
          <w:szCs w:val="24"/>
          <w:highlight w:val="none"/>
        </w:rPr>
        <w:t>年以来任意1个月的财务状况报告复印件，或银行出具的资信证明材料复印件；</w:t>
      </w:r>
    </w:p>
    <w:p>
      <w:pPr>
        <w:pStyle w:val="140"/>
        <w:adjustRightInd w:val="0"/>
        <w:spacing w:after="0" w:line="375" w:lineRule="auto"/>
        <w:jc w:val="both"/>
        <w:rPr>
          <w:color w:val="auto"/>
          <w:highlight w:val="none"/>
        </w:rPr>
      </w:pPr>
      <w:r>
        <w:rPr>
          <w:rFonts w:ascii="宋体" w:hAnsi="宋体" w:cs="宋体"/>
          <w:color w:val="auto"/>
          <w:sz w:val="24"/>
          <w:szCs w:val="24"/>
          <w:highlight w:val="none"/>
        </w:rPr>
        <w:t>3.提供</w:t>
      </w:r>
      <w:r>
        <w:rPr>
          <w:rFonts w:hint="eastAsia" w:ascii="宋体" w:hAnsi="宋体" w:cs="宋体"/>
          <w:color w:val="auto"/>
          <w:sz w:val="24"/>
          <w:szCs w:val="24"/>
          <w:highlight w:val="none"/>
        </w:rPr>
        <w:t>2023</w:t>
      </w:r>
      <w:r>
        <w:rPr>
          <w:rFonts w:ascii="宋体" w:hAnsi="宋体" w:cs="宋体"/>
          <w:color w:val="auto"/>
          <w:sz w:val="24"/>
          <w:szCs w:val="24"/>
          <w:highlight w:val="none"/>
        </w:rPr>
        <w:t>年以来任意</w:t>
      </w:r>
      <w:r>
        <w:rPr>
          <w:rFonts w:hint="eastAsia" w:ascii="宋体" w:hAnsi="宋体" w:cs="宋体"/>
          <w:color w:val="auto"/>
          <w:sz w:val="24"/>
          <w:szCs w:val="24"/>
          <w:highlight w:val="none"/>
        </w:rPr>
        <w:t>1</w:t>
      </w:r>
      <w:r>
        <w:rPr>
          <w:rFonts w:ascii="宋体" w:hAnsi="宋体" w:cs="宋体"/>
          <w:color w:val="auto"/>
          <w:sz w:val="24"/>
          <w:szCs w:val="24"/>
          <w:highlight w:val="none"/>
        </w:rPr>
        <w:t>个月缴纳税收的凭据证明材料复印件；如依法免税的，应提供相关材料；</w:t>
      </w:r>
    </w:p>
    <w:p>
      <w:pPr>
        <w:pStyle w:val="140"/>
        <w:adjustRightInd w:val="0"/>
        <w:spacing w:after="0" w:line="375" w:lineRule="auto"/>
        <w:jc w:val="both"/>
        <w:rPr>
          <w:color w:val="auto"/>
          <w:highlight w:val="none"/>
        </w:rPr>
      </w:pPr>
      <w:r>
        <w:rPr>
          <w:rFonts w:ascii="宋体" w:hAnsi="宋体" w:cs="宋体"/>
          <w:color w:val="auto"/>
          <w:sz w:val="24"/>
          <w:szCs w:val="24"/>
          <w:highlight w:val="none"/>
        </w:rPr>
        <w:t>4.提供</w:t>
      </w:r>
      <w:r>
        <w:rPr>
          <w:rFonts w:hint="eastAsia" w:ascii="宋体" w:hAnsi="宋体" w:cs="宋体"/>
          <w:color w:val="auto"/>
          <w:sz w:val="24"/>
          <w:szCs w:val="24"/>
          <w:highlight w:val="none"/>
        </w:rPr>
        <w:t>2023</w:t>
      </w:r>
      <w:r>
        <w:rPr>
          <w:rFonts w:ascii="宋体" w:hAnsi="宋体" w:cs="宋体"/>
          <w:color w:val="auto"/>
          <w:sz w:val="24"/>
          <w:szCs w:val="24"/>
          <w:highlight w:val="none"/>
        </w:rPr>
        <w:t>年以来任意</w:t>
      </w:r>
      <w:r>
        <w:rPr>
          <w:rFonts w:hint="eastAsia" w:ascii="宋体" w:hAnsi="宋体" w:cs="宋体"/>
          <w:color w:val="auto"/>
          <w:sz w:val="24"/>
          <w:szCs w:val="24"/>
          <w:highlight w:val="none"/>
        </w:rPr>
        <w:t>1</w:t>
      </w:r>
      <w:r>
        <w:rPr>
          <w:rFonts w:ascii="宋体" w:hAnsi="宋体" w:cs="宋体"/>
          <w:color w:val="auto"/>
          <w:sz w:val="24"/>
          <w:szCs w:val="24"/>
          <w:highlight w:val="none"/>
        </w:rPr>
        <w:t>个月缴纳社会保障资金的凭据证明材料复印件；如依法不需要缴纳社会保障资金的，应提供相关材料；</w:t>
      </w:r>
    </w:p>
    <w:p>
      <w:pPr>
        <w:pStyle w:val="140"/>
        <w:adjustRightInd w:val="0"/>
        <w:spacing w:after="0" w:line="375" w:lineRule="auto"/>
        <w:jc w:val="both"/>
        <w:rPr>
          <w:color w:val="auto"/>
          <w:highlight w:val="none"/>
        </w:rPr>
      </w:pPr>
      <w:r>
        <w:rPr>
          <w:rFonts w:ascii="宋体" w:hAnsi="宋体" w:cs="宋体"/>
          <w:color w:val="auto"/>
          <w:sz w:val="24"/>
          <w:szCs w:val="24"/>
          <w:highlight w:val="none"/>
        </w:rPr>
        <w:t>5.提供履行合同所必需的设备和专业技术能力的证明材料；（提供《投标人资格声明函》）；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6.提供参加采购活动前3年内在经营活动中没有重大违法记录的书面声明；（提供《投标人资格声明函》）。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7.法律、行政法规规定的其他条件。（提供《投标人资格声明函》）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（二）落实政府采购政策需满足的资格要求：本</w:t>
      </w:r>
      <w:r>
        <w:rPr>
          <w:rFonts w:hint="eastAsia" w:ascii="宋体" w:hAnsi="宋体" w:cs="宋体"/>
          <w:color w:val="auto"/>
          <w:sz w:val="24"/>
          <w:szCs w:val="24"/>
          <w:highlight w:val="none"/>
        </w:rPr>
        <w:t>项目</w:t>
      </w:r>
      <w:r>
        <w:rPr>
          <w:rFonts w:ascii="宋体" w:hAnsi="宋体" w:cs="宋体"/>
          <w:color w:val="auto"/>
          <w:sz w:val="24"/>
          <w:szCs w:val="24"/>
          <w:highlight w:val="none"/>
        </w:rPr>
        <w:t>专门面向中小企业采购,供应商提供货物的制造商应为中小微企业、监狱企业、残疾人福利性单位。（提供《中小企业声明函》或属于监狱企业的证明材料或《残疾人福利性单位声明函》）</w:t>
      </w:r>
    </w:p>
    <w:p>
      <w:pPr>
        <w:pStyle w:val="140"/>
        <w:adjustRightInd w:val="0"/>
        <w:spacing w:after="0" w:line="375" w:lineRule="auto"/>
        <w:jc w:val="both"/>
        <w:rPr>
          <w:color w:val="auto"/>
          <w:highlight w:val="none"/>
        </w:rPr>
      </w:pPr>
      <w:r>
        <w:rPr>
          <w:rFonts w:ascii="宋体" w:hAnsi="宋体" w:cs="宋体"/>
          <w:color w:val="auto"/>
          <w:sz w:val="24"/>
          <w:szCs w:val="24"/>
          <w:highlight w:val="none"/>
        </w:rPr>
        <w:t>(三)本项目的特定资格要求：无。</w:t>
      </w:r>
    </w:p>
    <w:p>
      <w:pPr>
        <w:pStyle w:val="140"/>
        <w:adjustRightInd w:val="0"/>
        <w:spacing w:after="0" w:line="374" w:lineRule="auto"/>
        <w:jc w:val="both"/>
        <w:rPr>
          <w:color w:val="auto"/>
          <w:highlight w:val="none"/>
        </w:rPr>
      </w:pPr>
      <w:r>
        <w:rPr>
          <w:rFonts w:ascii="宋体" w:hAnsi="宋体" w:cs="宋体"/>
          <w:color w:val="auto"/>
          <w:sz w:val="24"/>
          <w:szCs w:val="24"/>
          <w:highlight w:val="none"/>
        </w:rPr>
        <w:t>(四)为采购项目提供整体设计、规范编制或者项目管理、监理、检测等服务的供应商，不得再参加该采购项目同一合同项下的其他采购活动。（提供《投标人资格声明函》）</w:t>
      </w:r>
    </w:p>
    <w:p>
      <w:pPr>
        <w:pStyle w:val="140"/>
        <w:adjustRightInd w:val="0"/>
        <w:spacing w:after="0" w:line="374" w:lineRule="auto"/>
        <w:jc w:val="both"/>
        <w:rPr>
          <w:color w:val="auto"/>
          <w:highlight w:val="none"/>
        </w:rPr>
      </w:pPr>
      <w:r>
        <w:rPr>
          <w:rFonts w:ascii="宋体" w:hAnsi="宋体" w:cs="宋体"/>
          <w:color w:val="auto"/>
          <w:sz w:val="24"/>
          <w:szCs w:val="24"/>
          <w:highlight w:val="none"/>
        </w:rPr>
        <w:t>(五)单位负责人为同一人或者存在直接控股、管理关系的不同供应商，不得参加同一合同项下的采购活动。（提供《投标人资格声明函》）</w:t>
      </w:r>
    </w:p>
    <w:p>
      <w:pPr>
        <w:pStyle w:val="140"/>
        <w:adjustRightInd w:val="0"/>
        <w:spacing w:after="0" w:line="374" w:lineRule="auto"/>
        <w:jc w:val="both"/>
        <w:rPr>
          <w:color w:val="auto"/>
          <w:highlight w:val="none"/>
        </w:rPr>
      </w:pPr>
      <w:r>
        <w:rPr>
          <w:rFonts w:ascii="宋体" w:hAnsi="宋体" w:cs="宋体"/>
          <w:color w:val="auto"/>
          <w:sz w:val="24"/>
          <w:szCs w:val="24"/>
          <w:highlight w:val="none"/>
        </w:rPr>
        <w:t>(六)投标人未被列入“信用中国”网站(www.creditchina.gov.cn)以下任何记录名单之一：①失信被执行人；②重大税收违法失信主体；③政府采购严重违法失信行为。同时，不处于中国政府采购网(www.ccgp.gov.cn)“政府采购严重违法失信行为信息记录”中的禁止参加政府采购活动期间。（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③投标人为分公司的，同时对该分公司所属总公司（总所）进行信用记录查询，该分公司所属总公司（总所）存在不良信用记录的，视同供应商存在不良信用记录。）</w:t>
      </w:r>
    </w:p>
    <w:p>
      <w:pPr>
        <w:pStyle w:val="140"/>
        <w:adjustRightInd w:val="0"/>
        <w:spacing w:after="0" w:line="374" w:lineRule="auto"/>
        <w:jc w:val="both"/>
        <w:rPr>
          <w:color w:val="auto"/>
          <w:highlight w:val="none"/>
        </w:rPr>
      </w:pPr>
      <w:r>
        <w:rPr>
          <w:rFonts w:ascii="宋体" w:hAnsi="宋体" w:cs="宋体"/>
          <w:color w:val="auto"/>
          <w:sz w:val="24"/>
          <w:szCs w:val="24"/>
          <w:highlight w:val="none"/>
        </w:rPr>
        <w:t>(七)成功购买本招标文件的供应商。</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获取招标文件</w:t>
      </w:r>
    </w:p>
    <w:p>
      <w:pPr>
        <w:snapToGrid w:val="0"/>
        <w:spacing w:after="0" w:line="360" w:lineRule="auto"/>
        <w:textAlignment w:val="auto"/>
        <w:rPr>
          <w:rFonts w:ascii="宋体" w:hAnsi="宋体" w:cs="宋体"/>
          <w:color w:val="auto"/>
          <w:kern w:val="2"/>
          <w:sz w:val="24"/>
          <w:highlight w:val="none"/>
        </w:rPr>
      </w:pPr>
      <w:r>
        <w:rPr>
          <w:rFonts w:hint="eastAsia" w:ascii="宋体" w:hAnsi="宋体" w:cs="宋体"/>
          <w:color w:val="auto"/>
          <w:kern w:val="2"/>
          <w:sz w:val="24"/>
          <w:highlight w:val="none"/>
        </w:rPr>
        <w:t>时间：</w:t>
      </w:r>
      <w:r>
        <w:rPr>
          <w:rFonts w:hint="eastAsia" w:ascii="宋体" w:hAnsi="宋体" w:cs="宋体"/>
          <w:color w:val="auto"/>
          <w:kern w:val="2"/>
          <w:sz w:val="24"/>
          <w:highlight w:val="none"/>
          <w:u w:val="single"/>
          <w:lang w:val="en-US" w:eastAsia="zh-CN"/>
        </w:rPr>
        <w:t>2024</w:t>
      </w:r>
      <w:r>
        <w:rPr>
          <w:rFonts w:ascii="宋体" w:hAnsi="宋体" w:cs="宋体"/>
          <w:color w:val="auto"/>
          <w:kern w:val="2"/>
          <w:sz w:val="24"/>
          <w:highlight w:val="none"/>
          <w:u w:val="single"/>
        </w:rPr>
        <w:t>年</w:t>
      </w:r>
      <w:r>
        <w:rPr>
          <w:rFonts w:hint="eastAsia" w:ascii="宋体" w:hAnsi="宋体" w:cs="宋体"/>
          <w:color w:val="auto"/>
          <w:kern w:val="2"/>
          <w:sz w:val="24"/>
          <w:highlight w:val="none"/>
          <w:u w:val="single"/>
          <w:lang w:val="en-US" w:eastAsia="zh-CN"/>
        </w:rPr>
        <w:t>3</w:t>
      </w:r>
      <w:r>
        <w:rPr>
          <w:rFonts w:ascii="宋体" w:hAnsi="宋体" w:cs="宋体"/>
          <w:color w:val="auto"/>
          <w:kern w:val="2"/>
          <w:sz w:val="24"/>
          <w:highlight w:val="none"/>
          <w:u w:val="single"/>
        </w:rPr>
        <w:t>月</w:t>
      </w:r>
      <w:r>
        <w:rPr>
          <w:rFonts w:hint="eastAsia" w:ascii="宋体" w:hAnsi="宋体" w:cs="宋体"/>
          <w:color w:val="auto"/>
          <w:kern w:val="2"/>
          <w:sz w:val="24"/>
          <w:highlight w:val="none"/>
          <w:u w:val="single"/>
          <w:lang w:val="en-US" w:eastAsia="zh-CN"/>
        </w:rPr>
        <w:t>25</w:t>
      </w:r>
      <w:r>
        <w:rPr>
          <w:rFonts w:ascii="宋体" w:hAnsi="宋体" w:cs="宋体"/>
          <w:color w:val="auto"/>
          <w:kern w:val="2"/>
          <w:sz w:val="24"/>
          <w:highlight w:val="none"/>
          <w:u w:val="single"/>
        </w:rPr>
        <w:t>日</w:t>
      </w:r>
      <w:r>
        <w:rPr>
          <w:rFonts w:hint="eastAsia" w:ascii="宋体" w:hAnsi="宋体" w:cs="宋体"/>
          <w:color w:val="auto"/>
          <w:kern w:val="2"/>
          <w:sz w:val="24"/>
          <w:highlight w:val="none"/>
        </w:rPr>
        <w:t>至</w:t>
      </w:r>
      <w:r>
        <w:rPr>
          <w:rFonts w:hint="eastAsia" w:ascii="宋体" w:hAnsi="宋体" w:cs="宋体"/>
          <w:color w:val="auto"/>
          <w:kern w:val="2"/>
          <w:sz w:val="24"/>
          <w:highlight w:val="none"/>
          <w:u w:val="single"/>
          <w:lang w:val="en-US" w:eastAsia="zh-CN"/>
        </w:rPr>
        <w:t>2024</w:t>
      </w:r>
      <w:r>
        <w:rPr>
          <w:rFonts w:hint="eastAsia" w:ascii="宋体" w:hAnsi="宋体" w:cs="宋体"/>
          <w:color w:val="auto"/>
          <w:kern w:val="2"/>
          <w:sz w:val="24"/>
          <w:highlight w:val="none"/>
          <w:u w:val="single"/>
        </w:rPr>
        <w:t>年</w:t>
      </w:r>
      <w:r>
        <w:rPr>
          <w:rFonts w:hint="eastAsia" w:ascii="宋体" w:hAnsi="宋体" w:cs="宋体"/>
          <w:color w:val="auto"/>
          <w:kern w:val="2"/>
          <w:sz w:val="24"/>
          <w:highlight w:val="none"/>
          <w:u w:val="single"/>
          <w:lang w:val="en-US" w:eastAsia="zh-CN"/>
        </w:rPr>
        <w:t>4</w:t>
      </w:r>
      <w:r>
        <w:rPr>
          <w:rFonts w:hint="eastAsia" w:ascii="宋体" w:hAnsi="宋体" w:cs="宋体"/>
          <w:color w:val="auto"/>
          <w:kern w:val="2"/>
          <w:sz w:val="24"/>
          <w:highlight w:val="none"/>
          <w:u w:val="single"/>
        </w:rPr>
        <w:t>月</w:t>
      </w:r>
      <w:r>
        <w:rPr>
          <w:rFonts w:hint="eastAsia" w:ascii="宋体" w:hAnsi="宋体" w:cs="宋体"/>
          <w:color w:val="auto"/>
          <w:kern w:val="2"/>
          <w:sz w:val="24"/>
          <w:highlight w:val="none"/>
          <w:u w:val="single"/>
          <w:lang w:val="en-US" w:eastAsia="zh-CN"/>
        </w:rPr>
        <w:t>1</w:t>
      </w:r>
      <w:r>
        <w:rPr>
          <w:rFonts w:hint="eastAsia" w:ascii="宋体" w:hAnsi="宋体" w:cs="宋体"/>
          <w:color w:val="auto"/>
          <w:kern w:val="2"/>
          <w:sz w:val="24"/>
          <w:highlight w:val="none"/>
          <w:u w:val="single"/>
        </w:rPr>
        <w:t>日</w:t>
      </w:r>
      <w:r>
        <w:rPr>
          <w:rFonts w:hint="eastAsia" w:ascii="宋体" w:hAnsi="宋体" w:cs="仿宋_GB2312"/>
          <w:color w:val="auto"/>
          <w:kern w:val="2"/>
          <w:sz w:val="24"/>
          <w:highlight w:val="none"/>
        </w:rPr>
        <w:t>（提供期限自本公告发布之日起不得少于5个工作日）,</w:t>
      </w:r>
      <w:r>
        <w:rPr>
          <w:rFonts w:hint="eastAsia" w:ascii="宋体" w:hAnsi="宋体" w:cs="宋体"/>
          <w:color w:val="auto"/>
          <w:kern w:val="2"/>
          <w:sz w:val="24"/>
          <w:highlight w:val="none"/>
        </w:rPr>
        <w:t>每天上午</w:t>
      </w:r>
      <w:r>
        <w:rPr>
          <w:rFonts w:ascii="宋体" w:hAnsi="宋体" w:cs="宋体"/>
          <w:color w:val="auto"/>
          <w:kern w:val="2"/>
          <w:sz w:val="24"/>
          <w:highlight w:val="none"/>
        </w:rPr>
        <w:t>9:00</w:t>
      </w:r>
      <w:r>
        <w:rPr>
          <w:rFonts w:hint="eastAsia" w:ascii="宋体" w:hAnsi="宋体" w:cs="宋体"/>
          <w:color w:val="auto"/>
          <w:kern w:val="2"/>
          <w:sz w:val="24"/>
          <w:highlight w:val="none"/>
        </w:rPr>
        <w:t>至</w:t>
      </w:r>
      <w:r>
        <w:rPr>
          <w:rFonts w:ascii="宋体" w:hAnsi="宋体" w:cs="宋体"/>
          <w:color w:val="auto"/>
          <w:kern w:val="2"/>
          <w:sz w:val="24"/>
          <w:highlight w:val="none"/>
        </w:rPr>
        <w:t>12:00</w:t>
      </w:r>
      <w:r>
        <w:rPr>
          <w:rFonts w:hint="eastAsia" w:ascii="宋体" w:hAnsi="宋体" w:cs="宋体"/>
          <w:color w:val="auto"/>
          <w:kern w:val="2"/>
          <w:sz w:val="24"/>
          <w:highlight w:val="none"/>
        </w:rPr>
        <w:t>，下午</w:t>
      </w:r>
      <w:r>
        <w:rPr>
          <w:rFonts w:ascii="宋体" w:hAnsi="宋体" w:cs="宋体"/>
          <w:color w:val="auto"/>
          <w:kern w:val="2"/>
          <w:sz w:val="24"/>
          <w:highlight w:val="none"/>
        </w:rPr>
        <w:t>14:30</w:t>
      </w:r>
      <w:r>
        <w:rPr>
          <w:rFonts w:hint="eastAsia" w:ascii="宋体" w:hAnsi="宋体" w:cs="宋体"/>
          <w:color w:val="auto"/>
          <w:kern w:val="2"/>
          <w:sz w:val="24"/>
          <w:highlight w:val="none"/>
        </w:rPr>
        <w:t>至</w:t>
      </w:r>
      <w:r>
        <w:rPr>
          <w:rFonts w:ascii="宋体" w:hAnsi="宋体" w:cs="宋体"/>
          <w:color w:val="auto"/>
          <w:kern w:val="2"/>
          <w:sz w:val="24"/>
          <w:highlight w:val="none"/>
        </w:rPr>
        <w:t>17:30</w:t>
      </w:r>
      <w:r>
        <w:rPr>
          <w:rFonts w:hint="eastAsia" w:ascii="宋体" w:hAnsi="宋体" w:cs="宋体"/>
          <w:color w:val="auto"/>
          <w:kern w:val="2"/>
          <w:sz w:val="24"/>
          <w:highlight w:val="none"/>
        </w:rPr>
        <w:t>（北京时间，</w:t>
      </w:r>
      <w:r>
        <w:rPr>
          <w:rFonts w:ascii="宋体" w:hAnsi="宋体" w:cs="宋体"/>
          <w:color w:val="auto"/>
          <w:kern w:val="2"/>
          <w:sz w:val="24"/>
          <w:highlight w:val="none"/>
        </w:rPr>
        <w:t>法定节假日</w:t>
      </w:r>
      <w:r>
        <w:rPr>
          <w:rFonts w:hint="eastAsia" w:ascii="宋体" w:hAnsi="宋体" w:cs="宋体"/>
          <w:color w:val="auto"/>
          <w:kern w:val="2"/>
          <w:sz w:val="24"/>
          <w:highlight w:val="none"/>
        </w:rPr>
        <w:t>除外）</w:t>
      </w:r>
    </w:p>
    <w:p>
      <w:pPr>
        <w:snapToGrid w:val="0"/>
        <w:spacing w:after="0" w:line="360" w:lineRule="auto"/>
        <w:textAlignment w:val="auto"/>
        <w:rPr>
          <w:rFonts w:ascii="宋体" w:hAnsi="宋体" w:cs="仿宋_GB2312"/>
          <w:i/>
          <w:iCs/>
          <w:color w:val="auto"/>
          <w:kern w:val="2"/>
          <w:sz w:val="24"/>
          <w:highlight w:val="none"/>
        </w:rPr>
      </w:pPr>
      <w:r>
        <w:rPr>
          <w:rFonts w:hint="eastAsia" w:ascii="宋体" w:hAnsi="宋体" w:cs="宋体"/>
          <w:color w:val="auto"/>
          <w:kern w:val="2"/>
          <w:sz w:val="24"/>
          <w:highlight w:val="none"/>
        </w:rPr>
        <w:t>地点：</w:t>
      </w:r>
      <w:r>
        <w:rPr>
          <w:rFonts w:hint="eastAsia" w:ascii="宋体" w:hAnsi="宋体" w:cs="仿宋_GB2312"/>
          <w:color w:val="auto"/>
          <w:kern w:val="2"/>
          <w:sz w:val="24"/>
          <w:highlight w:val="none"/>
          <w:u w:val="single"/>
        </w:rPr>
        <w:t>广东省广州市越秀区环市东路472号粤海大厦7楼</w:t>
      </w:r>
    </w:p>
    <w:p>
      <w:pPr>
        <w:snapToGrid w:val="0"/>
        <w:spacing w:after="0" w:line="360" w:lineRule="auto"/>
        <w:textAlignment w:val="auto"/>
        <w:rPr>
          <w:rFonts w:ascii="宋体" w:hAnsi="宋体" w:cs="宋体"/>
          <w:color w:val="auto"/>
          <w:kern w:val="2"/>
          <w:sz w:val="24"/>
          <w:highlight w:val="none"/>
        </w:rPr>
      </w:pPr>
      <w:r>
        <w:rPr>
          <w:rFonts w:hint="eastAsia" w:ascii="宋体" w:hAnsi="宋体" w:cs="宋体"/>
          <w:color w:val="auto"/>
          <w:kern w:val="2"/>
          <w:sz w:val="24"/>
          <w:highlight w:val="none"/>
        </w:rPr>
        <w:t>方式：详见“六、其他补充事宜”</w:t>
      </w:r>
    </w:p>
    <w:p>
      <w:pPr>
        <w:snapToGrid w:val="0"/>
        <w:spacing w:after="0" w:line="360" w:lineRule="auto"/>
        <w:textAlignment w:val="auto"/>
        <w:rPr>
          <w:rFonts w:hint="eastAsia" w:ascii="宋体" w:hAnsi="宋体" w:cs="仿宋_GB2312"/>
          <w:color w:val="auto"/>
          <w:kern w:val="2"/>
          <w:sz w:val="24"/>
          <w:highlight w:val="none"/>
          <w:u w:val="single"/>
        </w:rPr>
      </w:pPr>
      <w:r>
        <w:rPr>
          <w:rFonts w:hint="eastAsia" w:ascii="宋体" w:hAnsi="宋体" w:cs="宋体"/>
          <w:color w:val="auto"/>
          <w:kern w:val="2"/>
          <w:sz w:val="24"/>
          <w:highlight w:val="none"/>
        </w:rPr>
        <w:t>售价</w:t>
      </w:r>
      <w:r>
        <w:rPr>
          <w:rFonts w:hint="eastAsia" w:ascii="宋体" w:hAnsi="宋体" w:cs="仿宋_GB2312"/>
          <w:color w:val="auto"/>
          <w:kern w:val="2"/>
          <w:sz w:val="24"/>
          <w:highlight w:val="none"/>
        </w:rPr>
        <w:t>（元）：</w:t>
      </w:r>
      <w:r>
        <w:rPr>
          <w:rFonts w:ascii="宋体" w:hAnsi="宋体"/>
          <w:color w:val="auto"/>
          <w:kern w:val="2"/>
          <w:sz w:val="24"/>
          <w:highlight w:val="none"/>
          <w:u w:val="single"/>
        </w:rPr>
        <w:t>0</w:t>
      </w:r>
      <w:r>
        <w:rPr>
          <w:rFonts w:hint="eastAsia" w:ascii="宋体" w:hAnsi="宋体"/>
          <w:color w:val="auto"/>
          <w:kern w:val="2"/>
          <w:sz w:val="24"/>
          <w:highlight w:val="none"/>
          <w:u w:val="single"/>
        </w:rPr>
        <w:t>元</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提交投标文件截止时间、开标时间和地点</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u w:val="single"/>
          <w:lang w:val="en-US" w:eastAsia="zh-CN"/>
        </w:rPr>
        <w:t>2024</w:t>
      </w:r>
      <w:r>
        <w:rPr>
          <w:rFonts w:hint="eastAsia"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4</w:t>
      </w:r>
      <w:r>
        <w:rPr>
          <w:rFonts w:hint="eastAsia"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16</w:t>
      </w:r>
      <w:r>
        <w:rPr>
          <w:rFonts w:hint="eastAsia" w:ascii="宋体" w:hAnsi="宋体" w:cs="仿宋_GB2312"/>
          <w:color w:val="auto"/>
          <w:kern w:val="2"/>
          <w:sz w:val="24"/>
          <w:highlight w:val="none"/>
          <w:u w:val="single"/>
        </w:rPr>
        <w:t>日</w:t>
      </w:r>
      <w:r>
        <w:rPr>
          <w:rFonts w:hint="eastAsia" w:ascii="宋体" w:hAnsi="宋体" w:cs="仿宋_GB2312"/>
          <w:color w:val="auto"/>
          <w:kern w:val="2"/>
          <w:sz w:val="24"/>
          <w:highlight w:val="none"/>
          <w:u w:val="single"/>
          <w:lang w:val="en-US" w:eastAsia="zh-CN"/>
        </w:rPr>
        <w:t>10</w:t>
      </w:r>
      <w:r>
        <w:rPr>
          <w:rFonts w:hint="eastAsia" w:ascii="宋体" w:hAnsi="宋体" w:cs="仿宋_GB2312"/>
          <w:color w:val="auto"/>
          <w:kern w:val="2"/>
          <w:sz w:val="24"/>
          <w:highlight w:val="none"/>
          <w:u w:val="single"/>
        </w:rPr>
        <w:t>点</w:t>
      </w:r>
      <w:r>
        <w:rPr>
          <w:rFonts w:hint="eastAsia" w:ascii="宋体" w:hAnsi="宋体" w:cs="仿宋_GB2312"/>
          <w:color w:val="auto"/>
          <w:kern w:val="2"/>
          <w:sz w:val="24"/>
          <w:highlight w:val="none"/>
          <w:u w:val="single"/>
          <w:lang w:val="en-US" w:eastAsia="zh-CN"/>
        </w:rPr>
        <w:t>00</w:t>
      </w:r>
      <w:r>
        <w:rPr>
          <w:rFonts w:hint="eastAsia" w:ascii="宋体" w:hAnsi="宋体" w:cs="仿宋_GB2312"/>
          <w:color w:val="auto"/>
          <w:kern w:val="2"/>
          <w:sz w:val="24"/>
          <w:highlight w:val="none"/>
          <w:u w:val="single"/>
        </w:rPr>
        <w:t>分</w:t>
      </w:r>
      <w:r>
        <w:rPr>
          <w:rFonts w:hint="eastAsia" w:ascii="宋体" w:hAnsi="宋体" w:cs="仿宋_GB2312"/>
          <w:color w:val="auto"/>
          <w:kern w:val="2"/>
          <w:sz w:val="24"/>
          <w:highlight w:val="none"/>
        </w:rPr>
        <w:t xml:space="preserve"> （北京时间）（自招标文件开始发出之日起至投标人提交投标文件截止之日止，不得少于20日） </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地点：</w:t>
      </w:r>
      <w:r>
        <w:rPr>
          <w:rFonts w:hint="eastAsia" w:ascii="宋体" w:hAnsi="宋体" w:cs="仿宋_GB2312"/>
          <w:color w:val="auto"/>
          <w:kern w:val="2"/>
          <w:sz w:val="24"/>
          <w:highlight w:val="none"/>
          <w:u w:val="single"/>
        </w:rPr>
        <w:t>广东省广州市越秀区环市东路472号粤海大厦7楼会议室</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公告期限</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自本公告发布之日起5个工作日。自</w:t>
      </w:r>
      <w:r>
        <w:rPr>
          <w:rFonts w:hint="eastAsia" w:ascii="宋体" w:hAnsi="宋体" w:cs="仿宋_GB2312"/>
          <w:color w:val="auto"/>
          <w:kern w:val="2"/>
          <w:sz w:val="24"/>
          <w:highlight w:val="none"/>
          <w:u w:val="single"/>
          <w:lang w:val="en-US" w:eastAsia="zh-CN"/>
        </w:rPr>
        <w:t>2024</w:t>
      </w:r>
      <w:r>
        <w:rPr>
          <w:rFonts w:hint="eastAsia"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3</w:t>
      </w:r>
      <w:r>
        <w:rPr>
          <w:rFonts w:hint="eastAsia"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26</w:t>
      </w:r>
      <w:r>
        <w:rPr>
          <w:rFonts w:hint="eastAsia" w:ascii="宋体" w:hAnsi="宋体" w:cs="仿宋_GB2312"/>
          <w:color w:val="auto"/>
          <w:kern w:val="2"/>
          <w:sz w:val="24"/>
          <w:highlight w:val="none"/>
          <w:u w:val="single"/>
        </w:rPr>
        <w:t>日</w:t>
      </w:r>
      <w:r>
        <w:rPr>
          <w:rFonts w:hint="eastAsia" w:ascii="宋体" w:hAnsi="宋体" w:cs="仿宋_GB2312"/>
          <w:color w:val="auto"/>
          <w:kern w:val="2"/>
          <w:sz w:val="24"/>
          <w:highlight w:val="none"/>
        </w:rPr>
        <w:t>至</w:t>
      </w:r>
      <w:r>
        <w:rPr>
          <w:rFonts w:hint="eastAsia" w:ascii="宋体" w:hAnsi="宋体" w:cs="仿宋_GB2312"/>
          <w:color w:val="auto"/>
          <w:kern w:val="2"/>
          <w:sz w:val="24"/>
          <w:highlight w:val="none"/>
          <w:u w:val="single"/>
          <w:lang w:val="en-US" w:eastAsia="zh-CN"/>
        </w:rPr>
        <w:t>2024</w:t>
      </w:r>
      <w:r>
        <w:rPr>
          <w:rFonts w:hint="eastAsia"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4</w:t>
      </w:r>
      <w:r>
        <w:rPr>
          <w:rFonts w:hint="eastAsia"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1</w:t>
      </w:r>
      <w:r>
        <w:rPr>
          <w:rFonts w:hint="eastAsia" w:ascii="宋体" w:hAnsi="宋体" w:cs="仿宋_GB2312"/>
          <w:color w:val="auto"/>
          <w:kern w:val="2"/>
          <w:sz w:val="24"/>
          <w:highlight w:val="none"/>
          <w:u w:val="single"/>
        </w:rPr>
        <w:t>日</w:t>
      </w:r>
      <w:r>
        <w:rPr>
          <w:rFonts w:hint="eastAsia" w:ascii="宋体" w:hAnsi="宋体" w:cs="仿宋_GB2312"/>
          <w:color w:val="auto"/>
          <w:kern w:val="2"/>
          <w:sz w:val="24"/>
          <w:highlight w:val="none"/>
        </w:rPr>
        <w:t>止。</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其他补充事宜</w:t>
      </w:r>
    </w:p>
    <w:p>
      <w:pPr>
        <w:numPr>
          <w:ilvl w:val="0"/>
          <w:numId w:val="5"/>
        </w:numPr>
        <w:snapToGrid w:val="0"/>
        <w:spacing w:after="0" w:line="360" w:lineRule="auto"/>
        <w:ind w:left="0" w:firstLine="0"/>
        <w:textAlignment w:val="auto"/>
        <w:rPr>
          <w:rFonts w:ascii="宋体" w:hAnsi="宋体"/>
          <w:bCs/>
          <w:color w:val="auto"/>
          <w:sz w:val="24"/>
          <w:highlight w:val="none"/>
        </w:rPr>
      </w:pPr>
      <w:r>
        <w:rPr>
          <w:rFonts w:hint="eastAsia" w:ascii="宋体" w:hAnsi="宋体"/>
          <w:bCs/>
          <w:color w:val="auto"/>
          <w:sz w:val="24"/>
          <w:highlight w:val="none"/>
        </w:rPr>
        <w:t>需要落实的政府采购政策：《政府采购促进中小企业发展管理办法》（财库〔2020〕46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商品包装政府采购需求标准（试行）》（财办库〔2020〕123号）、《快递包装政府采购需求标准（试行）》（财办库〔2020〕123号）等</w:t>
      </w:r>
    </w:p>
    <w:p>
      <w:pPr>
        <w:numPr>
          <w:ilvl w:val="0"/>
          <w:numId w:val="5"/>
        </w:numPr>
        <w:snapToGrid w:val="0"/>
        <w:spacing w:after="0" w:line="360" w:lineRule="auto"/>
        <w:ind w:left="0" w:firstLine="0"/>
        <w:textAlignment w:val="auto"/>
        <w:rPr>
          <w:rFonts w:ascii="宋体" w:hAnsi="宋体"/>
          <w:bCs/>
          <w:color w:val="auto"/>
          <w:sz w:val="24"/>
          <w:highlight w:val="none"/>
        </w:rPr>
      </w:pPr>
      <w:r>
        <w:rPr>
          <w:rFonts w:hint="eastAsia" w:ascii="宋体" w:hAnsi="宋体" w:cs="宋体"/>
          <w:color w:val="auto"/>
          <w:kern w:val="2"/>
          <w:sz w:val="24"/>
          <w:highlight w:val="none"/>
        </w:rPr>
        <w:t>获取文件方式：</w:t>
      </w:r>
    </w:p>
    <w:p>
      <w:pPr>
        <w:snapToGrid w:val="0"/>
        <w:spacing w:after="0" w:line="360" w:lineRule="auto"/>
        <w:rPr>
          <w:rFonts w:ascii="宋体" w:hAnsi="宋体" w:cs="宋体"/>
          <w:color w:val="auto"/>
          <w:kern w:val="2"/>
          <w:sz w:val="24"/>
          <w:highlight w:val="none"/>
        </w:rPr>
      </w:pPr>
      <w:r>
        <w:rPr>
          <w:rFonts w:hint="eastAsia" w:ascii="宋体" w:hAnsi="宋体" w:cs="宋体"/>
          <w:color w:val="auto"/>
          <w:kern w:val="2"/>
          <w:sz w:val="24"/>
          <w:highlight w:val="none"/>
        </w:rPr>
        <w:t>（1）</w:t>
      </w:r>
      <w:r>
        <w:rPr>
          <w:rFonts w:hint="eastAsia" w:ascii="宋体" w:hAnsi="宋体" w:cs="宋体"/>
          <w:b/>
          <w:bCs/>
          <w:color w:val="auto"/>
          <w:kern w:val="2"/>
          <w:sz w:val="24"/>
          <w:highlight w:val="none"/>
        </w:rPr>
        <w:t>网上获取文件：</w:t>
      </w:r>
      <w:r>
        <w:rPr>
          <w:rFonts w:hint="eastAsia" w:ascii="宋体" w:hAnsi="宋体" w:cs="宋体"/>
          <w:color w:val="auto"/>
          <w:kern w:val="2"/>
          <w:sz w:val="24"/>
          <w:highlight w:val="none"/>
        </w:rPr>
        <w:t>供应商可通过代理机构官网“http://www.chinapsp.cn/”点击“登录&amp;报名”后搜索本项目，点击“详情”进入公告页面后再点击右上角的“获取文件”，进行基本信息填写后打印《采购文件领购登记表》加盖公章后上传至系统，进行线上缴纳标书款，并获取文件。（具体操作指引也可见代理机构官网“http://www.chinapsp.cn/”右边点击“常见问题”）</w:t>
      </w:r>
    </w:p>
    <w:p>
      <w:pPr>
        <w:snapToGrid w:val="0"/>
        <w:spacing w:after="0" w:line="360" w:lineRule="auto"/>
        <w:jc w:val="left"/>
        <w:rPr>
          <w:rFonts w:ascii="宋体" w:hAnsi="宋体"/>
          <w:bCs/>
          <w:color w:val="auto"/>
          <w:sz w:val="24"/>
          <w:highlight w:val="none"/>
        </w:rPr>
      </w:pPr>
      <w:r>
        <w:rPr>
          <w:rFonts w:hint="eastAsia" w:ascii="宋体" w:hAnsi="宋体" w:cs="宋体"/>
          <w:color w:val="auto"/>
          <w:kern w:val="2"/>
          <w:sz w:val="24"/>
          <w:highlight w:val="none"/>
          <w:lang w:bidi="ar"/>
        </w:rPr>
        <w:t>（2）</w:t>
      </w:r>
      <w:r>
        <w:rPr>
          <w:rFonts w:hint="eastAsia" w:ascii="宋体" w:hAnsi="宋体"/>
          <w:b/>
          <w:bCs/>
          <w:color w:val="auto"/>
          <w:kern w:val="2"/>
          <w:sz w:val="24"/>
          <w:highlight w:val="none"/>
          <w:lang w:bidi="ar"/>
        </w:rPr>
        <w:t>现场</w:t>
      </w:r>
      <w:r>
        <w:rPr>
          <w:rFonts w:hint="eastAsia" w:ascii="宋体" w:hAnsi="宋体"/>
          <w:b/>
          <w:color w:val="auto"/>
          <w:kern w:val="2"/>
          <w:sz w:val="24"/>
          <w:highlight w:val="none"/>
          <w:lang w:bidi="ar"/>
        </w:rPr>
        <w:t>获取文件</w:t>
      </w:r>
      <w:r>
        <w:rPr>
          <w:rFonts w:hint="eastAsia" w:ascii="宋体" w:hAnsi="宋体"/>
          <w:bCs/>
          <w:color w:val="auto"/>
          <w:kern w:val="2"/>
          <w:sz w:val="24"/>
          <w:highlight w:val="none"/>
          <w:lang w:bidi="ar"/>
        </w:rPr>
        <w:t>：</w:t>
      </w:r>
      <w:r>
        <w:rPr>
          <w:rFonts w:hint="eastAsia" w:ascii="宋体" w:hAnsi="宋体"/>
          <w:color w:val="auto"/>
          <w:kern w:val="2"/>
          <w:sz w:val="24"/>
          <w:highlight w:val="none"/>
          <w:lang w:bidi="ar"/>
        </w:rPr>
        <w:t>供应商可通过代理机构官网“http://www.chinapsp.cn/”点击“登录&amp;报名”后搜索本项目，点击“详情”进入公告页面后再点击右上角的“获取文件”，进行基本信息填写后打印《采购文件领购登记表》加盖公章后，至</w:t>
      </w:r>
      <w:r>
        <w:rPr>
          <w:rFonts w:hint="eastAsia" w:ascii="宋体" w:hAnsi="宋体"/>
          <w:bCs/>
          <w:color w:val="auto"/>
          <w:kern w:val="2"/>
          <w:sz w:val="24"/>
          <w:highlight w:val="none"/>
          <w:u w:val="single"/>
        </w:rPr>
        <w:t>广东省广州市越秀区环市东路472号粤海大厦7楼</w:t>
      </w:r>
      <w:r>
        <w:rPr>
          <w:rFonts w:hint="eastAsia" w:ascii="宋体" w:hAnsi="宋体"/>
          <w:bCs/>
          <w:color w:val="auto"/>
          <w:kern w:val="2"/>
          <w:sz w:val="24"/>
          <w:highlight w:val="none"/>
        </w:rPr>
        <w:t>进行缴纳标书款，并</w:t>
      </w:r>
      <w:r>
        <w:rPr>
          <w:rFonts w:hint="eastAsia" w:ascii="宋体" w:hAnsi="宋体" w:cs="宋体"/>
          <w:color w:val="auto"/>
          <w:kern w:val="2"/>
          <w:sz w:val="24"/>
          <w:highlight w:val="none"/>
        </w:rPr>
        <w:t>获取文件。</w:t>
      </w:r>
    </w:p>
    <w:p>
      <w:pPr>
        <w:numPr>
          <w:ilvl w:val="0"/>
          <w:numId w:val="5"/>
        </w:numPr>
        <w:snapToGrid w:val="0"/>
        <w:spacing w:after="0" w:line="360" w:lineRule="auto"/>
        <w:ind w:left="0" w:firstLine="0"/>
        <w:textAlignment w:val="auto"/>
        <w:rPr>
          <w:rFonts w:ascii="宋体" w:hAnsi="宋体"/>
          <w:color w:val="auto"/>
          <w:sz w:val="24"/>
          <w:highlight w:val="none"/>
        </w:rPr>
      </w:pPr>
      <w:r>
        <w:rPr>
          <w:rFonts w:ascii="宋体" w:hAnsi="宋体"/>
          <w:bCs/>
          <w:color w:val="auto"/>
          <w:sz w:val="24"/>
          <w:highlight w:val="none"/>
        </w:rPr>
        <w:t>如需邮寄（到付），招标代理机构对邮寄过程中的遗失概不负责。</w:t>
      </w:r>
    </w:p>
    <w:p>
      <w:pPr>
        <w:numPr>
          <w:ilvl w:val="0"/>
          <w:numId w:val="5"/>
        </w:numPr>
        <w:snapToGrid w:val="0"/>
        <w:spacing w:after="0" w:line="360" w:lineRule="auto"/>
        <w:ind w:left="0" w:firstLine="0"/>
        <w:textAlignment w:val="auto"/>
        <w:rPr>
          <w:rFonts w:ascii="宋体" w:hAnsi="宋体"/>
          <w:strike/>
          <w:color w:val="auto"/>
          <w:sz w:val="24"/>
          <w:highlight w:val="none"/>
        </w:rPr>
      </w:pPr>
      <w:r>
        <w:rPr>
          <w:rFonts w:hint="eastAsia" w:ascii="宋体" w:hAnsi="宋体"/>
          <w:bCs/>
          <w:color w:val="auto"/>
          <w:sz w:val="24"/>
          <w:highlight w:val="none"/>
        </w:rPr>
        <w:t>获取</w:t>
      </w:r>
      <w:r>
        <w:rPr>
          <w:rFonts w:hint="eastAsia" w:ascii="宋体" w:hAnsi="宋体"/>
          <w:color w:val="auto"/>
          <w:sz w:val="24"/>
          <w:highlight w:val="none"/>
        </w:rPr>
        <w:t>招标文件过程问题咨询联系人：</w:t>
      </w:r>
      <w:r>
        <w:rPr>
          <w:rFonts w:hint="eastAsia" w:ascii="宋体" w:hAnsi="宋体"/>
          <w:b/>
          <w:color w:val="auto"/>
          <w:sz w:val="24"/>
          <w:highlight w:val="none"/>
          <w:u w:val="single"/>
        </w:rPr>
        <w:t>李女士/谢女士</w:t>
      </w:r>
      <w:r>
        <w:rPr>
          <w:rFonts w:hint="eastAsia" w:ascii="宋体" w:hAnsi="宋体"/>
          <w:color w:val="auto"/>
          <w:sz w:val="24"/>
          <w:highlight w:val="none"/>
        </w:rPr>
        <w:t>，联系电话：</w:t>
      </w:r>
      <w:r>
        <w:rPr>
          <w:rFonts w:hint="eastAsia" w:ascii="宋体" w:hAnsi="宋体"/>
          <w:b/>
          <w:color w:val="auto"/>
          <w:sz w:val="24"/>
          <w:highlight w:val="none"/>
          <w:u w:val="single"/>
        </w:rPr>
        <w:t>020-87651688（转分机号401或411）</w:t>
      </w:r>
      <w:r>
        <w:rPr>
          <w:rFonts w:hint="eastAsia" w:ascii="宋体" w:hAnsi="宋体"/>
          <w:b/>
          <w:color w:val="auto"/>
          <w:sz w:val="24"/>
          <w:highlight w:val="none"/>
        </w:rPr>
        <w:t>，邮箱</w:t>
      </w:r>
      <w:r>
        <w:rPr>
          <w:rFonts w:hint="eastAsia" w:ascii="宋体" w:hAnsi="宋体"/>
          <w:b/>
          <w:color w:val="auto"/>
          <w:sz w:val="24"/>
          <w:highlight w:val="none"/>
          <w:u w:val="single"/>
        </w:rPr>
        <w:t xml:space="preserve"> </w:t>
      </w:r>
      <w:r>
        <w:rPr>
          <w:color w:val="auto"/>
          <w:highlight w:val="none"/>
        </w:rPr>
        <w:fldChar w:fldCharType="begin"/>
      </w:r>
      <w:r>
        <w:rPr>
          <w:color w:val="auto"/>
          <w:highlight w:val="none"/>
        </w:rPr>
        <w:instrText xml:space="preserve"> HYPERLINK "mailto:baoming87651688@163.com" </w:instrText>
      </w:r>
      <w:r>
        <w:rPr>
          <w:color w:val="auto"/>
          <w:highlight w:val="none"/>
        </w:rPr>
        <w:fldChar w:fldCharType="separate"/>
      </w:r>
      <w:r>
        <w:rPr>
          <w:rStyle w:val="45"/>
          <w:rFonts w:hint="eastAsia" w:ascii="宋体" w:hAnsi="宋体"/>
          <w:b/>
          <w:color w:val="auto"/>
          <w:sz w:val="24"/>
          <w:highlight w:val="none"/>
        </w:rPr>
        <w:t>baoming87651688@163.com</w:t>
      </w:r>
      <w:r>
        <w:rPr>
          <w:rStyle w:val="45"/>
          <w:rFonts w:hint="eastAsia" w:ascii="宋体" w:hAnsi="宋体"/>
          <w:b/>
          <w:color w:val="auto"/>
          <w:sz w:val="24"/>
          <w:highlight w:val="none"/>
        </w:rPr>
        <w:fldChar w:fldCharType="end"/>
      </w:r>
      <w:r>
        <w:rPr>
          <w:rFonts w:hint="eastAsia" w:ascii="宋体" w:hAnsi="宋体"/>
          <w:color w:val="auto"/>
          <w:sz w:val="24"/>
          <w:highlight w:val="none"/>
        </w:rPr>
        <w:t>。</w:t>
      </w:r>
    </w:p>
    <w:p>
      <w:pPr>
        <w:numPr>
          <w:ilvl w:val="0"/>
          <w:numId w:val="3"/>
        </w:numPr>
        <w:snapToGrid w:val="0"/>
        <w:spacing w:after="0" w:line="360" w:lineRule="auto"/>
        <w:ind w:left="720" w:leftChars="0" w:hanging="720" w:firstLineChars="0"/>
        <w:textAlignment w:val="auto"/>
        <w:rPr>
          <w:rFonts w:ascii="宋体" w:hAnsi="宋体" w:cs="仿宋_GB2312"/>
          <w:b/>
          <w:bCs/>
          <w:color w:val="auto"/>
          <w:kern w:val="2"/>
          <w:sz w:val="24"/>
          <w:highlight w:val="none"/>
        </w:rPr>
      </w:pPr>
      <w:r>
        <w:rPr>
          <w:rFonts w:hint="eastAsia" w:ascii="宋体" w:hAnsi="宋体" w:cs="仿宋_GB2312"/>
          <w:b/>
          <w:bCs/>
          <w:color w:val="auto"/>
          <w:kern w:val="2"/>
          <w:sz w:val="24"/>
          <w:highlight w:val="none"/>
        </w:rPr>
        <w:t>对本次招标提出询问，请按以下方式联系。</w:t>
      </w:r>
    </w:p>
    <w:p>
      <w:pPr>
        <w:numPr>
          <w:ilvl w:val="0"/>
          <w:numId w:val="6"/>
        </w:numPr>
        <w:snapToGrid w:val="0"/>
        <w:spacing w:after="0" w:line="360" w:lineRule="auto"/>
        <w:ind w:left="0" w:firstLine="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采购人信息</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名称：广东省英德监狱</w:t>
      </w:r>
      <w:r>
        <w:rPr>
          <w:rFonts w:hint="eastAsia" w:ascii="宋体" w:hAnsi="宋体"/>
          <w:color w:val="auto"/>
          <w:kern w:val="2"/>
          <w:sz w:val="24"/>
          <w:highlight w:val="none"/>
        </w:rPr>
        <w:t xml:space="preserve"> </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地址：广东省英德市城北金子山大道四号路1号</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采购人联系人：陈女士</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联系电话：0763-3165055</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采购人监督部门：广东省英德监狱纪检与审计科</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采购人监督电话：0763-3165065/0763-3165066</w:t>
      </w:r>
    </w:p>
    <w:p>
      <w:pPr>
        <w:numPr>
          <w:ilvl w:val="0"/>
          <w:numId w:val="6"/>
        </w:numPr>
        <w:snapToGrid w:val="0"/>
        <w:spacing w:after="0" w:line="360" w:lineRule="auto"/>
        <w:ind w:left="0" w:firstLine="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采购代理机构信息</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名称：</w:t>
      </w:r>
      <w:r>
        <w:rPr>
          <w:rFonts w:hint="eastAsia" w:ascii="宋体" w:hAnsi="宋体"/>
          <w:color w:val="auto"/>
          <w:kern w:val="2"/>
          <w:sz w:val="24"/>
          <w:highlight w:val="none"/>
        </w:rPr>
        <w:t>采联国际招标采购集团有限公司</w:t>
      </w:r>
      <w:r>
        <w:rPr>
          <w:rFonts w:hint="eastAsia" w:ascii="宋体" w:hAnsi="宋体" w:cs="仿宋_GB2312"/>
          <w:color w:val="auto"/>
          <w:kern w:val="2"/>
          <w:sz w:val="24"/>
          <w:highlight w:val="none"/>
        </w:rPr>
        <w:t xml:space="preserve"> </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地址：</w:t>
      </w:r>
      <w:r>
        <w:rPr>
          <w:rFonts w:hint="eastAsia" w:ascii="宋体" w:hAnsi="宋体"/>
          <w:color w:val="auto"/>
          <w:kern w:val="2"/>
          <w:sz w:val="24"/>
          <w:highlight w:val="none"/>
        </w:rPr>
        <w:t>广东省广州市越秀区环市东路472号粤海大厦7、23楼</w:t>
      </w:r>
    </w:p>
    <w:p>
      <w:pPr>
        <w:snapToGrid w:val="0"/>
        <w:spacing w:after="0" w:line="360" w:lineRule="auto"/>
        <w:textAlignment w:val="auto"/>
        <w:rPr>
          <w:rFonts w:hint="default" w:ascii="宋体" w:hAnsi="宋体" w:eastAsia="宋体"/>
          <w:color w:val="auto"/>
          <w:kern w:val="2"/>
          <w:sz w:val="24"/>
          <w:highlight w:val="none"/>
          <w:lang w:val="en-US" w:eastAsia="zh-CN"/>
        </w:rPr>
      </w:pPr>
      <w:r>
        <w:rPr>
          <w:rFonts w:hint="eastAsia" w:ascii="宋体" w:hAnsi="宋体" w:cs="仿宋_GB2312"/>
          <w:color w:val="auto"/>
          <w:kern w:val="2"/>
          <w:sz w:val="24"/>
          <w:highlight w:val="none"/>
        </w:rPr>
        <w:t>联系方式：</w:t>
      </w:r>
      <w:r>
        <w:rPr>
          <w:rFonts w:hint="eastAsia" w:ascii="宋体" w:hAnsi="宋体"/>
          <w:color w:val="auto"/>
          <w:kern w:val="2"/>
          <w:sz w:val="24"/>
          <w:highlight w:val="none"/>
        </w:rPr>
        <w:t>020-87651688-1</w:t>
      </w:r>
      <w:r>
        <w:rPr>
          <w:rFonts w:hint="eastAsia" w:ascii="宋体" w:hAnsi="宋体"/>
          <w:color w:val="auto"/>
          <w:kern w:val="2"/>
          <w:sz w:val="24"/>
          <w:highlight w:val="none"/>
          <w:lang w:val="en-US" w:eastAsia="zh-CN"/>
        </w:rPr>
        <w:t>50/106</w:t>
      </w:r>
    </w:p>
    <w:p>
      <w:pPr>
        <w:numPr>
          <w:ilvl w:val="0"/>
          <w:numId w:val="6"/>
        </w:numPr>
        <w:snapToGrid w:val="0"/>
        <w:spacing w:after="0" w:line="360" w:lineRule="auto"/>
        <w:ind w:left="0" w:firstLine="0"/>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项目联系方式</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项目联系人：</w:t>
      </w:r>
      <w:r>
        <w:rPr>
          <w:rFonts w:hint="eastAsia" w:ascii="宋体" w:hAnsi="宋体" w:cs="仿宋_GB2312"/>
          <w:color w:val="auto"/>
          <w:kern w:val="2"/>
          <w:sz w:val="24"/>
          <w:highlight w:val="none"/>
          <w:lang w:val="en-US" w:eastAsia="zh-CN"/>
        </w:rPr>
        <w:t>胡</w:t>
      </w:r>
      <w:r>
        <w:rPr>
          <w:rFonts w:ascii="宋体" w:hAnsi="宋体" w:cs="仿宋_GB2312"/>
          <w:color w:val="auto"/>
          <w:kern w:val="2"/>
          <w:sz w:val="24"/>
          <w:highlight w:val="none"/>
        </w:rPr>
        <w:t>女士/</w:t>
      </w:r>
      <w:r>
        <w:rPr>
          <w:rFonts w:hint="eastAsia" w:ascii="宋体" w:hAnsi="宋体" w:cs="仿宋_GB2312"/>
          <w:color w:val="auto"/>
          <w:kern w:val="2"/>
          <w:sz w:val="24"/>
          <w:highlight w:val="none"/>
          <w:lang w:val="en-US" w:eastAsia="zh-CN"/>
        </w:rPr>
        <w:t>张女士</w:t>
      </w:r>
      <w:r>
        <w:rPr>
          <w:rFonts w:hint="eastAsia" w:ascii="宋体" w:hAnsi="宋体" w:cs="仿宋_GB2312"/>
          <w:color w:val="auto"/>
          <w:kern w:val="2"/>
          <w:sz w:val="24"/>
          <w:highlight w:val="none"/>
        </w:rPr>
        <w:t>；</w:t>
      </w:r>
    </w:p>
    <w:p>
      <w:pPr>
        <w:snapToGrid w:val="0"/>
        <w:spacing w:after="0" w:line="360" w:lineRule="auto"/>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电话：</w:t>
      </w:r>
      <w:r>
        <w:rPr>
          <w:rFonts w:hint="eastAsia" w:ascii="宋体" w:hAnsi="宋体"/>
          <w:color w:val="auto"/>
          <w:kern w:val="2"/>
          <w:sz w:val="24"/>
          <w:highlight w:val="none"/>
        </w:rPr>
        <w:t>020-87651688-</w:t>
      </w:r>
      <w:r>
        <w:rPr>
          <w:rFonts w:hint="eastAsia" w:ascii="宋体" w:hAnsi="宋体"/>
          <w:color w:val="auto"/>
          <w:kern w:val="2"/>
          <w:sz w:val="24"/>
          <w:highlight w:val="none"/>
          <w:lang w:val="en-US" w:eastAsia="zh-CN"/>
        </w:rPr>
        <w:t>150</w:t>
      </w:r>
      <w:r>
        <w:rPr>
          <w:rFonts w:hint="eastAsia" w:ascii="宋体" w:hAnsi="宋体"/>
          <w:color w:val="auto"/>
          <w:kern w:val="2"/>
          <w:sz w:val="24"/>
          <w:highlight w:val="none"/>
        </w:rPr>
        <w:t>/</w:t>
      </w:r>
      <w:r>
        <w:rPr>
          <w:rFonts w:hint="eastAsia" w:ascii="宋体" w:hAnsi="宋体"/>
          <w:color w:val="auto"/>
          <w:kern w:val="2"/>
          <w:sz w:val="24"/>
          <w:highlight w:val="none"/>
          <w:lang w:val="en-US" w:eastAsia="zh-CN"/>
        </w:rPr>
        <w:t>106</w:t>
      </w:r>
      <w:r>
        <w:rPr>
          <w:rFonts w:hint="eastAsia" w:ascii="宋体" w:hAnsi="宋体" w:cs="仿宋_GB2312"/>
          <w:color w:val="auto"/>
          <w:kern w:val="2"/>
          <w:sz w:val="24"/>
          <w:highlight w:val="none"/>
        </w:rPr>
        <w:t>；</w:t>
      </w:r>
      <w:bookmarkStart w:id="31" w:name="_GoBack"/>
      <w:bookmarkEnd w:id="31"/>
    </w:p>
    <w:p>
      <w:pPr>
        <w:adjustRightInd/>
        <w:snapToGrid w:val="0"/>
        <w:spacing w:after="0" w:line="360" w:lineRule="auto"/>
        <w:jc w:val="right"/>
        <w:textAlignment w:val="auto"/>
        <w:rPr>
          <w:rFonts w:ascii="宋体" w:hAnsi="宋体" w:cs="仿宋_GB2312"/>
          <w:color w:val="auto"/>
          <w:kern w:val="2"/>
          <w:sz w:val="24"/>
          <w:highlight w:val="none"/>
        </w:rPr>
      </w:pPr>
    </w:p>
    <w:p>
      <w:pPr>
        <w:adjustRightInd/>
        <w:snapToGrid w:val="0"/>
        <w:spacing w:after="0" w:line="360" w:lineRule="auto"/>
        <w:jc w:val="right"/>
        <w:textAlignment w:val="auto"/>
        <w:rPr>
          <w:rFonts w:ascii="宋体" w:hAnsi="宋体" w:cs="仿宋_GB2312"/>
          <w:color w:val="auto"/>
          <w:kern w:val="2"/>
          <w:sz w:val="24"/>
          <w:highlight w:val="none"/>
        </w:rPr>
      </w:pPr>
      <w:r>
        <w:rPr>
          <w:rFonts w:hint="eastAsia" w:ascii="宋体" w:hAnsi="宋体" w:cs="仿宋_GB2312"/>
          <w:color w:val="auto"/>
          <w:kern w:val="2"/>
          <w:sz w:val="24"/>
          <w:highlight w:val="none"/>
        </w:rPr>
        <w:t>发布人：</w:t>
      </w:r>
      <w:r>
        <w:rPr>
          <w:rFonts w:hint="eastAsia" w:ascii="宋体" w:hAnsi="宋体"/>
          <w:color w:val="auto"/>
          <w:kern w:val="2"/>
          <w:sz w:val="24"/>
          <w:highlight w:val="none"/>
          <w:u w:val="single"/>
        </w:rPr>
        <w:t>采联国际招标采购集团有限公司</w:t>
      </w:r>
    </w:p>
    <w:p>
      <w:pPr>
        <w:snapToGrid w:val="0"/>
        <w:spacing w:after="0" w:line="360" w:lineRule="auto"/>
        <w:ind w:firstLine="435"/>
        <w:jc w:val="right"/>
        <w:rPr>
          <w:rFonts w:asciiTheme="minorEastAsia" w:hAnsiTheme="minorEastAsia" w:eastAsiaTheme="minorEastAsia"/>
          <w:b/>
          <w:bCs/>
          <w:color w:val="auto"/>
          <w:sz w:val="24"/>
          <w:highlight w:val="none"/>
        </w:rPr>
      </w:pPr>
      <w:r>
        <w:rPr>
          <w:rFonts w:hint="eastAsia" w:ascii="宋体" w:hAnsi="宋体" w:cs="仿宋_GB2312"/>
          <w:color w:val="auto"/>
          <w:kern w:val="2"/>
          <w:sz w:val="24"/>
          <w:highlight w:val="none"/>
        </w:rPr>
        <w:t>发布时间：</w:t>
      </w:r>
      <w:r>
        <w:rPr>
          <w:rFonts w:hint="eastAsia" w:ascii="宋体" w:hAnsi="宋体" w:cs="仿宋_GB2312"/>
          <w:color w:val="auto"/>
          <w:kern w:val="2"/>
          <w:sz w:val="24"/>
          <w:highlight w:val="none"/>
          <w:u w:val="single"/>
          <w:lang w:val="en-US" w:eastAsia="zh-CN"/>
        </w:rPr>
        <w:t>2024</w:t>
      </w:r>
      <w:r>
        <w:rPr>
          <w:rFonts w:ascii="宋体" w:hAnsi="宋体" w:cs="仿宋_GB2312"/>
          <w:color w:val="auto"/>
          <w:kern w:val="2"/>
          <w:sz w:val="24"/>
          <w:highlight w:val="none"/>
          <w:u w:val="single"/>
        </w:rPr>
        <w:t>年</w:t>
      </w:r>
      <w:r>
        <w:rPr>
          <w:rFonts w:hint="eastAsia" w:ascii="宋体" w:hAnsi="宋体" w:cs="仿宋_GB2312"/>
          <w:color w:val="auto"/>
          <w:kern w:val="2"/>
          <w:sz w:val="24"/>
          <w:highlight w:val="none"/>
          <w:u w:val="single"/>
          <w:lang w:val="en-US" w:eastAsia="zh-CN"/>
        </w:rPr>
        <w:t>3</w:t>
      </w:r>
      <w:r>
        <w:rPr>
          <w:rFonts w:ascii="宋体" w:hAnsi="宋体" w:cs="仿宋_GB2312"/>
          <w:color w:val="auto"/>
          <w:kern w:val="2"/>
          <w:sz w:val="24"/>
          <w:highlight w:val="none"/>
          <w:u w:val="single"/>
        </w:rPr>
        <w:t>月</w:t>
      </w:r>
      <w:r>
        <w:rPr>
          <w:rFonts w:hint="eastAsia" w:ascii="宋体" w:hAnsi="宋体" w:cs="仿宋_GB2312"/>
          <w:color w:val="auto"/>
          <w:kern w:val="2"/>
          <w:sz w:val="24"/>
          <w:highlight w:val="none"/>
          <w:u w:val="single"/>
          <w:lang w:val="en-US" w:eastAsia="zh-CN"/>
        </w:rPr>
        <w:t>25</w:t>
      </w:r>
      <w:r>
        <w:rPr>
          <w:rFonts w:ascii="宋体" w:hAnsi="宋体" w:cs="仿宋_GB2312"/>
          <w:color w:val="auto"/>
          <w:kern w:val="2"/>
          <w:sz w:val="24"/>
          <w:highlight w:val="none"/>
          <w:u w:val="single"/>
        </w:rPr>
        <w:t>日</w:t>
      </w:r>
      <w:r>
        <w:rPr>
          <w:rFonts w:asciiTheme="minorEastAsia" w:hAnsiTheme="minorEastAsia" w:eastAsiaTheme="minorEastAsia"/>
          <w:b/>
          <w:bCs/>
          <w:color w:val="auto"/>
          <w:sz w:val="24"/>
          <w:highlight w:val="none"/>
        </w:rPr>
        <w:br w:type="page"/>
      </w:r>
    </w:p>
    <w:p>
      <w:pPr>
        <w:snapToGrid w:val="0"/>
        <w:spacing w:after="0" w:line="360" w:lineRule="auto"/>
        <w:jc w:val="center"/>
        <w:outlineLvl w:val="0"/>
        <w:rPr>
          <w:color w:val="auto"/>
          <w:highlight w:val="none"/>
        </w:rPr>
      </w:pPr>
      <w:bookmarkStart w:id="2" w:name="_Toc23029"/>
      <w:bookmarkStart w:id="3" w:name="_Toc153184830"/>
      <w:r>
        <w:rPr>
          <w:rFonts w:hint="eastAsia"/>
          <w:b/>
          <w:bCs/>
          <w:color w:val="auto"/>
          <w:sz w:val="28"/>
          <w:szCs w:val="28"/>
          <w:highlight w:val="none"/>
        </w:rPr>
        <w:t>第二章 采购需求</w:t>
      </w:r>
      <w:bookmarkEnd w:id="2"/>
      <w:bookmarkEnd w:id="3"/>
    </w:p>
    <w:p>
      <w:pPr>
        <w:pStyle w:val="20"/>
        <w:numPr>
          <w:ilvl w:val="0"/>
          <w:numId w:val="7"/>
        </w:numPr>
        <w:tabs>
          <w:tab w:val="left" w:pos="540"/>
        </w:tabs>
        <w:snapToGrid w:val="0"/>
        <w:spacing w:after="0" w:line="36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有关说明</w:t>
      </w:r>
    </w:p>
    <w:p>
      <w:pPr>
        <w:numPr>
          <w:ilvl w:val="0"/>
          <w:numId w:val="8"/>
        </w:numPr>
        <w:snapToGrid w:val="0"/>
        <w:spacing w:after="0" w:line="360" w:lineRule="auto"/>
        <w:ind w:left="567" w:hanging="567"/>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投标人须对本项目的采购标的进行整体投标，任何只对本项目采购标的其中一部分内容、数量进行的投标都被视为无效投标。</w:t>
      </w:r>
    </w:p>
    <w:p>
      <w:pPr>
        <w:numPr>
          <w:ilvl w:val="0"/>
          <w:numId w:val="8"/>
        </w:numPr>
        <w:snapToGrid w:val="0"/>
        <w:spacing w:after="0"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采购需求中标注</w:t>
      </w:r>
      <w:r>
        <w:rPr>
          <w:rFonts w:asciiTheme="minorEastAsia" w:hAnsiTheme="minorEastAsia" w:eastAsiaTheme="minorEastAsia"/>
          <w:bCs/>
          <w:color w:val="auto"/>
          <w:sz w:val="24"/>
          <w:highlight w:val="none"/>
        </w:rPr>
        <w:t>“</w:t>
      </w:r>
      <w:r>
        <w:rPr>
          <w:rFonts w:hint="eastAsia" w:asciiTheme="minorEastAsia" w:hAnsiTheme="minorEastAsia" w:eastAsiaTheme="minorEastAsia"/>
          <w:bCs/>
          <w:color w:val="auto"/>
          <w:sz w:val="24"/>
          <w:highlight w:val="none"/>
        </w:rPr>
        <w:t>▲</w:t>
      </w:r>
      <w:r>
        <w:rPr>
          <w:rFonts w:asciiTheme="minorEastAsia" w:hAnsiTheme="minorEastAsia" w:eastAsiaTheme="minorEastAsia"/>
          <w:bCs/>
          <w:color w:val="auto"/>
          <w:sz w:val="24"/>
          <w:highlight w:val="none"/>
        </w:rPr>
        <w:t>”</w:t>
      </w:r>
      <w:r>
        <w:rPr>
          <w:rFonts w:hint="eastAsia" w:asciiTheme="minorEastAsia" w:hAnsiTheme="minorEastAsia" w:eastAsiaTheme="minorEastAsia"/>
          <w:bCs/>
          <w:color w:val="auto"/>
          <w:sz w:val="24"/>
          <w:highlight w:val="none"/>
        </w:rPr>
        <w:t>号条款为重要技术参数，但不作为无效投标条款。</w:t>
      </w:r>
    </w:p>
    <w:p>
      <w:pPr>
        <w:pStyle w:val="20"/>
        <w:numPr>
          <w:ilvl w:val="0"/>
          <w:numId w:val="7"/>
        </w:numPr>
        <w:tabs>
          <w:tab w:val="left" w:pos="540"/>
        </w:tabs>
        <w:snapToGrid w:val="0"/>
        <w:spacing w:after="0" w:line="36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采购项目一览表</w:t>
      </w:r>
    </w:p>
    <w:p>
      <w:pPr>
        <w:pStyle w:val="20"/>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（一）采购项目一览表</w:t>
      </w:r>
    </w:p>
    <w:tbl>
      <w:tblPr>
        <w:tblStyle w:val="38"/>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2"/>
        <w:gridCol w:w="2310"/>
        <w:gridCol w:w="41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3082" w:type="dxa"/>
            <w:shd w:val="clear" w:color="auto" w:fill="EEECE1"/>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采购内容</w:t>
            </w:r>
          </w:p>
        </w:tc>
        <w:tc>
          <w:tcPr>
            <w:tcW w:w="2310" w:type="dxa"/>
            <w:shd w:val="clear" w:color="auto" w:fill="EEECE1"/>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数量</w:t>
            </w:r>
          </w:p>
        </w:tc>
        <w:tc>
          <w:tcPr>
            <w:tcW w:w="4174" w:type="dxa"/>
            <w:shd w:val="clear" w:color="auto" w:fill="EEECE1"/>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最高限价</w:t>
            </w:r>
          </w:p>
          <w:p>
            <w:pPr>
              <w:snapToGrid w:val="0"/>
              <w:spacing w:after="0" w:line="360" w:lineRule="auto"/>
              <w:jc w:val="center"/>
              <w:rPr>
                <w:rFonts w:asciiTheme="minorEastAsia" w:hAnsiTheme="minorEastAsia" w:eastAsiaTheme="minorEastAsia"/>
                <w:b/>
                <w:bCs/>
                <w:color w:val="auto"/>
                <w:sz w:val="24"/>
                <w:highlight w:val="none"/>
              </w:rPr>
            </w:pPr>
            <w:r>
              <w:rPr>
                <w:rFonts w:hint="eastAsia" w:ascii="宋体"/>
                <w:b/>
                <w:color w:val="auto"/>
                <w:sz w:val="24"/>
                <w:highlight w:val="none"/>
              </w:rPr>
              <w:t>（人民币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3082" w:type="dxa"/>
            <w:vAlign w:val="center"/>
          </w:tcPr>
          <w:p>
            <w:pPr>
              <w:snapToGrid w:val="0"/>
              <w:spacing w:after="0" w:line="360" w:lineRule="auto"/>
              <w:jc w:val="center"/>
              <w:rPr>
                <w:rFonts w:ascii="宋体"/>
                <w:bCs/>
                <w:color w:val="auto"/>
                <w:sz w:val="24"/>
                <w:highlight w:val="none"/>
              </w:rPr>
            </w:pPr>
            <w:r>
              <w:rPr>
                <w:rFonts w:hint="eastAsia" w:ascii="宋体"/>
                <w:bCs/>
                <w:color w:val="auto"/>
                <w:sz w:val="24"/>
                <w:highlight w:val="none"/>
              </w:rPr>
              <w:t>警用装备</w:t>
            </w:r>
          </w:p>
        </w:tc>
        <w:tc>
          <w:tcPr>
            <w:tcW w:w="2310" w:type="dxa"/>
            <w:vAlign w:val="center"/>
          </w:tcPr>
          <w:p>
            <w:pPr>
              <w:snapToGrid w:val="0"/>
              <w:spacing w:after="0" w:line="360" w:lineRule="auto"/>
              <w:jc w:val="center"/>
              <w:rPr>
                <w:rFonts w:ascii="宋体"/>
                <w:bCs/>
                <w:color w:val="auto"/>
                <w:sz w:val="24"/>
                <w:highlight w:val="none"/>
              </w:rPr>
            </w:pPr>
            <w:r>
              <w:rPr>
                <w:rFonts w:hint="eastAsia" w:ascii="宋体"/>
                <w:bCs/>
                <w:color w:val="auto"/>
                <w:sz w:val="24"/>
                <w:highlight w:val="none"/>
              </w:rPr>
              <w:t>1批</w:t>
            </w:r>
          </w:p>
        </w:tc>
        <w:tc>
          <w:tcPr>
            <w:tcW w:w="4174" w:type="dxa"/>
            <w:vAlign w:val="center"/>
          </w:tcPr>
          <w:p>
            <w:pPr>
              <w:snapToGrid w:val="0"/>
              <w:spacing w:after="0" w:line="360" w:lineRule="auto"/>
              <w:jc w:val="center"/>
              <w:rPr>
                <w:rFonts w:ascii="宋体"/>
                <w:bCs/>
                <w:color w:val="auto"/>
                <w:sz w:val="24"/>
                <w:highlight w:val="none"/>
              </w:rPr>
            </w:pPr>
            <w:r>
              <w:rPr>
                <w:rFonts w:ascii="宋体"/>
                <w:bCs/>
                <w:color w:val="auto"/>
                <w:sz w:val="24"/>
                <w:highlight w:val="none"/>
              </w:rPr>
              <w:t>597,290.00</w:t>
            </w:r>
          </w:p>
        </w:tc>
      </w:tr>
    </w:tbl>
    <w:p>
      <w:pPr>
        <w:pStyle w:val="20"/>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（二）采购项目清单</w:t>
      </w:r>
    </w:p>
    <w:tbl>
      <w:tblPr>
        <w:tblStyle w:val="38"/>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2256"/>
        <w:gridCol w:w="1674"/>
        <w:gridCol w:w="2129"/>
        <w:gridCol w:w="1369"/>
        <w:gridCol w:w="1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序号</w:t>
            </w:r>
          </w:p>
        </w:tc>
        <w:tc>
          <w:tcPr>
            <w:tcW w:w="2256"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采购标的</w:t>
            </w:r>
          </w:p>
        </w:tc>
        <w:tc>
          <w:tcPr>
            <w:tcW w:w="1674"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数量（套）</w:t>
            </w:r>
          </w:p>
        </w:tc>
        <w:tc>
          <w:tcPr>
            <w:tcW w:w="2129" w:type="dxa"/>
            <w:vAlign w:val="center"/>
          </w:tcPr>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单价最高限价</w:t>
            </w:r>
          </w:p>
          <w:p>
            <w:pPr>
              <w:pStyle w:val="85"/>
              <w:snapToGrid w:val="0"/>
              <w:spacing w:after="0" w:line="360" w:lineRule="auto"/>
              <w:ind w:firstLine="0" w:firstLineChars="0"/>
              <w:jc w:val="center"/>
              <w:rPr>
                <w:rFonts w:ascii="宋体"/>
                <w:b/>
                <w:color w:val="auto"/>
                <w:sz w:val="24"/>
                <w:highlight w:val="none"/>
              </w:rPr>
            </w:pPr>
            <w:r>
              <w:rPr>
                <w:rFonts w:hint="eastAsia" w:ascii="宋体"/>
                <w:b/>
                <w:color w:val="auto"/>
                <w:sz w:val="24"/>
                <w:highlight w:val="none"/>
              </w:rPr>
              <w:t>（人民币  元）</w:t>
            </w:r>
          </w:p>
        </w:tc>
        <w:tc>
          <w:tcPr>
            <w:tcW w:w="1369" w:type="dxa"/>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核心产品</w:t>
            </w:r>
          </w:p>
        </w:tc>
        <w:tc>
          <w:tcPr>
            <w:tcW w:w="1369" w:type="dxa"/>
            <w:vAlign w:val="center"/>
          </w:tcPr>
          <w:p>
            <w:pPr>
              <w:snapToGrid w:val="0"/>
              <w:spacing w:after="0" w:line="360" w:lineRule="auto"/>
              <w:jc w:val="center"/>
              <w:rPr>
                <w:rFonts w:ascii="宋体"/>
                <w:b/>
                <w:color w:val="auto"/>
                <w:sz w:val="24"/>
                <w:highlight w:val="none"/>
              </w:rPr>
            </w:pPr>
            <w:r>
              <w:rPr>
                <w:rFonts w:hint="eastAsia" w:ascii="宋体"/>
                <w:b/>
                <w:color w:val="auto"/>
                <w:sz w:val="24"/>
                <w:highlight w:val="none"/>
              </w:rPr>
              <w:t>所属行业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1</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多功能腰带</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800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390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ascii="宋体"/>
                <w:b/>
                <w:color w:val="auto"/>
                <w:sz w:val="24"/>
                <w:highlight w:val="none"/>
              </w:rPr>
            </w:pPr>
            <w:r>
              <w:rPr>
                <w:rFonts w:hint="eastAsia" w:ascii="宋体" w:hAnsi="宋体"/>
                <w:color w:val="auto"/>
                <w:sz w:val="24"/>
                <w:szCs w:val="24"/>
                <w:highlight w:val="none"/>
              </w:rPr>
              <w:t>√</w:t>
            </w:r>
          </w:p>
        </w:tc>
        <w:tc>
          <w:tcPr>
            <w:tcW w:w="1369" w:type="dxa"/>
            <w:vMerge w:val="restart"/>
            <w:vAlign w:val="center"/>
          </w:tcPr>
          <w:p>
            <w:pPr>
              <w:snapToGrid w:val="0"/>
              <w:spacing w:after="0" w:line="360" w:lineRule="auto"/>
              <w:jc w:val="center"/>
              <w:rPr>
                <w:rFonts w:ascii="宋体"/>
                <w:bCs/>
                <w:color w:val="auto"/>
                <w:sz w:val="24"/>
                <w:highlight w:val="none"/>
              </w:rPr>
            </w:pPr>
            <w:r>
              <w:rPr>
                <w:rFonts w:hint="eastAsia" w:ascii="宋体"/>
                <w:bCs/>
                <w:color w:val="auto"/>
                <w:sz w:val="24"/>
                <w:highlight w:val="none"/>
              </w:rPr>
              <w:t>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2</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手铐</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70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3</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电警棍</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100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4</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自卫催泪喷雾器</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900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120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5</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警哨</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950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6</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强光手电</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50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150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7</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战术背心</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12</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220</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769" w:type="dxa"/>
            <w:vAlign w:val="center"/>
          </w:tcPr>
          <w:p>
            <w:pPr>
              <w:pStyle w:val="85"/>
              <w:snapToGrid w:val="0"/>
              <w:spacing w:after="0" w:line="360" w:lineRule="auto"/>
              <w:ind w:firstLine="0" w:firstLineChars="0"/>
              <w:jc w:val="center"/>
              <w:rPr>
                <w:rFonts w:ascii="宋体"/>
                <w:bCs/>
                <w:color w:val="auto"/>
                <w:sz w:val="24"/>
                <w:highlight w:val="none"/>
              </w:rPr>
            </w:pPr>
            <w:r>
              <w:rPr>
                <w:rFonts w:hint="eastAsia" w:ascii="宋体"/>
                <w:bCs/>
                <w:color w:val="auto"/>
                <w:sz w:val="24"/>
                <w:highlight w:val="none"/>
              </w:rPr>
              <w:t>8</w:t>
            </w:r>
          </w:p>
        </w:tc>
        <w:tc>
          <w:tcPr>
            <w:tcW w:w="2256"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伸缩警棍</w:t>
            </w:r>
          </w:p>
        </w:tc>
        <w:tc>
          <w:tcPr>
            <w:tcW w:w="1674"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30</w:t>
            </w:r>
          </w:p>
        </w:tc>
        <w:tc>
          <w:tcPr>
            <w:tcW w:w="2129" w:type="dxa"/>
            <w:vAlign w:val="center"/>
          </w:tcPr>
          <w:p>
            <w:pPr>
              <w:pStyle w:val="85"/>
              <w:snapToGrid w:val="0"/>
              <w:spacing w:after="0" w:line="360" w:lineRule="auto"/>
              <w:ind w:firstLine="0" w:firstLineChars="0"/>
              <w:jc w:val="center"/>
              <w:rPr>
                <w:rFonts w:ascii="宋体" w:hAnsi="宋体"/>
                <w:b/>
                <w:color w:val="auto"/>
                <w:sz w:val="24"/>
                <w:highlight w:val="none"/>
              </w:rPr>
            </w:pPr>
            <w:r>
              <w:rPr>
                <w:rFonts w:hint="eastAsia" w:ascii="宋体" w:hAnsi="宋体" w:cs="仿宋_GB2312"/>
                <w:color w:val="auto"/>
                <w:sz w:val="24"/>
                <w:highlight w:val="none"/>
                <w:lang w:bidi="ar"/>
              </w:rPr>
              <w:t>155</w:t>
            </w:r>
            <w:r>
              <w:rPr>
                <w:rFonts w:ascii="宋体" w:hAnsi="宋体" w:cs="仿宋_GB2312"/>
                <w:color w:val="auto"/>
                <w:sz w:val="24"/>
                <w:highlight w:val="none"/>
                <w:lang w:bidi="ar"/>
              </w:rPr>
              <w:t>.00</w:t>
            </w:r>
          </w:p>
        </w:tc>
        <w:tc>
          <w:tcPr>
            <w:tcW w:w="1369" w:type="dxa"/>
            <w:vAlign w:val="center"/>
          </w:tcPr>
          <w:p>
            <w:pPr>
              <w:snapToGrid w:val="0"/>
              <w:spacing w:after="0"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369" w:type="dxa"/>
            <w:vMerge w:val="continue"/>
            <w:vAlign w:val="center"/>
          </w:tcPr>
          <w:p>
            <w:pPr>
              <w:snapToGrid w:val="0"/>
              <w:spacing w:after="0" w:line="360" w:lineRule="auto"/>
              <w:jc w:val="center"/>
              <w:rPr>
                <w:rFonts w:ascii="宋体"/>
                <w:b/>
                <w:color w:val="auto"/>
                <w:sz w:val="24"/>
                <w:highlight w:val="none"/>
              </w:rPr>
            </w:pPr>
          </w:p>
        </w:tc>
      </w:tr>
    </w:tbl>
    <w:p>
      <w:pPr>
        <w:pStyle w:val="20"/>
        <w:snapToGrid w:val="0"/>
        <w:spacing w:after="0" w:line="360" w:lineRule="auto"/>
        <w:rPr>
          <w:rFonts w:asciiTheme="minorEastAsia" w:hAnsiTheme="minorEastAsia"/>
          <w:bCs/>
          <w:color w:val="auto"/>
          <w:sz w:val="24"/>
          <w:highlight w:val="none"/>
        </w:rPr>
      </w:pPr>
      <w:r>
        <w:rPr>
          <w:rFonts w:hint="eastAsia" w:asciiTheme="minorEastAsia" w:hAnsiTheme="minorEastAsia"/>
          <w:bCs/>
          <w:color w:val="auto"/>
          <w:sz w:val="24"/>
          <w:highlight w:val="none"/>
        </w:rPr>
        <w:t>备注：</w:t>
      </w:r>
    </w:p>
    <w:p>
      <w:pPr>
        <w:numPr>
          <w:ilvl w:val="0"/>
          <w:numId w:val="9"/>
        </w:numPr>
        <w:snapToGrid w:val="0"/>
        <w:spacing w:after="0" w:line="360" w:lineRule="auto"/>
        <w:ind w:left="590"/>
        <w:rPr>
          <w:rFonts w:cs="宋体" w:asciiTheme="minorEastAsia" w:hAnsiTheme="minorEastAsia" w:eastAsiaTheme="minorEastAsia"/>
          <w:color w:val="auto"/>
          <w:sz w:val="24"/>
          <w:highlight w:val="none"/>
          <w:lang w:eastAsia="zh-TW"/>
        </w:rPr>
      </w:pPr>
      <w:r>
        <w:rPr>
          <w:rFonts w:hint="eastAsia" w:cs="宋体" w:asciiTheme="minorEastAsia" w:hAnsiTheme="minorEastAsia" w:eastAsiaTheme="minorEastAsia"/>
          <w:color w:val="auto"/>
          <w:sz w:val="24"/>
          <w:highlight w:val="none"/>
          <w:lang w:eastAsia="zh-TW"/>
        </w:rPr>
        <w:t>投标人投标时，</w:t>
      </w:r>
      <w:r>
        <w:rPr>
          <w:rFonts w:hint="eastAsia" w:cs="宋体" w:asciiTheme="minorEastAsia" w:hAnsiTheme="minorEastAsia" w:eastAsiaTheme="minorEastAsia"/>
          <w:color w:val="auto"/>
          <w:sz w:val="24"/>
          <w:highlight w:val="none"/>
        </w:rPr>
        <w:t>采购的核心产品</w:t>
      </w:r>
      <w:r>
        <w:rPr>
          <w:rFonts w:hint="eastAsia" w:cs="宋体" w:asciiTheme="minorEastAsia" w:hAnsiTheme="minorEastAsia" w:eastAsiaTheme="minorEastAsia"/>
          <w:color w:val="auto"/>
          <w:sz w:val="24"/>
          <w:highlight w:val="none"/>
          <w:lang w:eastAsia="zh-TW"/>
        </w:rPr>
        <w:t>应在</w:t>
      </w:r>
      <w:r>
        <w:rPr>
          <w:rFonts w:hint="eastAsia" w:cs="宋体" w:asciiTheme="minorEastAsia" w:hAnsiTheme="minorEastAsia" w:eastAsiaTheme="minorEastAsia"/>
          <w:color w:val="auto"/>
          <w:sz w:val="24"/>
          <w:highlight w:val="none"/>
        </w:rPr>
        <w:t>《开标一览表》</w:t>
      </w:r>
      <w:r>
        <w:rPr>
          <w:rFonts w:hint="eastAsia" w:cs="宋体" w:asciiTheme="minorEastAsia" w:hAnsiTheme="minorEastAsia" w:eastAsiaTheme="minorEastAsia"/>
          <w:color w:val="auto"/>
          <w:sz w:val="24"/>
          <w:highlight w:val="none"/>
          <w:lang w:eastAsia="zh-TW"/>
        </w:rPr>
        <w:t>中清晰列明“产品名称、品牌”</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eastAsia="zh-TW"/>
        </w:rPr>
        <w:t>否则，视为无效投标。</w:t>
      </w:r>
    </w:p>
    <w:p>
      <w:pPr>
        <w:numPr>
          <w:ilvl w:val="0"/>
          <w:numId w:val="9"/>
        </w:numPr>
        <w:snapToGrid w:val="0"/>
        <w:spacing w:after="0" w:line="360" w:lineRule="auto"/>
        <w:ind w:left="590"/>
        <w:rPr>
          <w:rFonts w:cs="宋体" w:asciiTheme="minorEastAsia" w:hAnsiTheme="minorEastAsia" w:eastAsiaTheme="minorEastAsia"/>
          <w:color w:val="auto"/>
          <w:sz w:val="24"/>
          <w:highlight w:val="none"/>
          <w:lang w:eastAsia="zh-TW"/>
        </w:rPr>
        <w:sectPr>
          <w:footerReference r:id="rId12" w:type="first"/>
          <w:headerReference r:id="rId10" w:type="default"/>
          <w:footerReference r:id="rId11" w:type="default"/>
          <w:pgSz w:w="11906" w:h="16838"/>
          <w:pgMar w:top="1134" w:right="1134" w:bottom="1134" w:left="1134" w:header="851" w:footer="992" w:gutter="284"/>
          <w:cols w:space="720" w:num="1"/>
          <w:docGrid w:type="lines" w:linePitch="312" w:charSpace="0"/>
        </w:sectPr>
      </w:pPr>
    </w:p>
    <w:p>
      <w:pPr>
        <w:pStyle w:val="20"/>
        <w:numPr>
          <w:ilvl w:val="0"/>
          <w:numId w:val="7"/>
        </w:numPr>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技术参数指标</w:t>
      </w:r>
    </w:p>
    <w:tbl>
      <w:tblPr>
        <w:tblStyle w:val="39"/>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59"/>
        <w:gridCol w:w="5452"/>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b/>
                <w:color w:val="auto"/>
                <w:sz w:val="24"/>
                <w:szCs w:val="24"/>
                <w:highlight w:val="none"/>
                <w:u w:val="none"/>
              </w:rPr>
              <w:t>序号</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b/>
                <w:bCs/>
                <w:color w:val="auto"/>
                <w:sz w:val="24"/>
                <w:szCs w:val="24"/>
                <w:highlight w:val="none"/>
                <w:u w:val="none"/>
                <w:lang w:bidi="ar"/>
              </w:rPr>
              <w:t>采购标的</w:t>
            </w:r>
          </w:p>
        </w:tc>
        <w:tc>
          <w:tcPr>
            <w:tcW w:w="5452"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b/>
                <w:bCs/>
                <w:color w:val="auto"/>
                <w:sz w:val="24"/>
                <w:szCs w:val="24"/>
                <w:highlight w:val="none"/>
                <w:u w:val="none"/>
                <w:lang w:bidi="ar"/>
              </w:rPr>
              <w:t>配置参数</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宋体"/>
                <w:b/>
                <w:bCs/>
                <w:color w:val="auto"/>
                <w:sz w:val="24"/>
                <w:szCs w:val="24"/>
                <w:highlight w:val="none"/>
                <w:u w:val="none"/>
                <w:lang w:bidi="ar"/>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1</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多功能腰带</w:t>
            </w:r>
          </w:p>
        </w:tc>
        <w:tc>
          <w:tcPr>
            <w:tcW w:w="5452" w:type="dxa"/>
          </w:tcPr>
          <w:p>
            <w:pPr>
              <w:widowControl/>
              <w:snapToGrid w:val="0"/>
              <w:spacing w:after="0" w:line="360" w:lineRule="auto"/>
              <w:jc w:val="left"/>
              <w:textAlignment w:val="top"/>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w:t>
            </w:r>
            <w:r>
              <w:rPr>
                <w:rFonts w:ascii="宋体" w:hAnsi="宋体" w:cs="仿宋_GB2312"/>
                <w:color w:val="auto"/>
                <w:sz w:val="24"/>
                <w:highlight w:val="none"/>
                <w:u w:val="none"/>
                <w:lang w:bidi="ar"/>
              </w:rPr>
              <w:t>.</w:t>
            </w:r>
            <w:r>
              <w:rPr>
                <w:rFonts w:hint="eastAsia" w:ascii="宋体" w:hAnsi="宋体" w:cs="仿宋_GB2312"/>
                <w:color w:val="auto"/>
                <w:sz w:val="24"/>
                <w:highlight w:val="none"/>
                <w:u w:val="none"/>
                <w:lang w:bidi="ar"/>
              </w:rPr>
              <w:t>警用多功能腰带，由腰带插扣、带体和八个装具套组成（</w:t>
            </w:r>
            <w:r>
              <w:rPr>
                <w:rFonts w:hint="eastAsia" w:ascii="宋体" w:hAnsi="宋体" w:cs="仿宋_GB2312"/>
                <w:color w:val="auto"/>
                <w:sz w:val="24"/>
                <w:highlight w:val="none"/>
                <w:u w:val="none"/>
                <w:lang w:val="en-US" w:eastAsia="zh-CN" w:bidi="ar"/>
              </w:rPr>
              <w:t>包括</w:t>
            </w:r>
            <w:r>
              <w:rPr>
                <w:rFonts w:hint="eastAsia" w:ascii="宋体" w:hAnsi="宋体" w:cs="仿宋_GB2312"/>
                <w:color w:val="auto"/>
                <w:sz w:val="24"/>
                <w:highlight w:val="none"/>
                <w:u w:val="none"/>
                <w:lang w:bidi="ar"/>
              </w:rPr>
              <w:t>手铐袋、警哨袋、工作包、电棍袋、强光手电袋、催泪喷雾袋、对讲机袋、警哨套）尺寸大小可根据腰围选购，可调节大小：</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ascii="宋体" w:hAnsi="宋体" w:cs="仿宋_GB2312"/>
                <w:color w:val="auto"/>
                <w:sz w:val="24"/>
                <w:highlight w:val="none"/>
                <w:u w:val="none"/>
                <w:lang w:bidi="ar"/>
              </w:rPr>
              <w:t>2</w:t>
            </w:r>
            <w:r>
              <w:rPr>
                <w:rFonts w:hint="eastAsia" w:ascii="宋体" w:hAnsi="宋体" w:cs="仿宋_GB2312"/>
                <w:color w:val="auto"/>
                <w:sz w:val="24"/>
                <w:highlight w:val="none"/>
                <w:u w:val="none"/>
                <w:lang w:bidi="ar"/>
              </w:rPr>
              <w:t>.材质：防水牛津布（软）；</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ascii="宋体" w:hAnsi="宋体" w:cs="仿宋_GB2312"/>
                <w:color w:val="auto"/>
                <w:sz w:val="24"/>
                <w:highlight w:val="none"/>
                <w:u w:val="none"/>
                <w:lang w:bidi="ar"/>
              </w:rPr>
              <w:t>3</w:t>
            </w:r>
            <w:r>
              <w:rPr>
                <w:rFonts w:hint="eastAsia" w:ascii="宋体" w:hAnsi="宋体" w:cs="仿宋_GB2312"/>
                <w:color w:val="auto"/>
                <w:sz w:val="24"/>
                <w:highlight w:val="none"/>
                <w:u w:val="none"/>
                <w:lang w:bidi="ar"/>
              </w:rPr>
              <w:t>．外观：黑色，扣头可选塑料扣具或金属扣具，工作包正面嵌蓝底白色字体“警POLIC</w:t>
            </w:r>
            <w:r>
              <w:rPr>
                <w:rFonts w:hint="eastAsia" w:ascii="宋体" w:hAnsi="宋体" w:cs="仿宋_GB2312"/>
                <w:color w:val="auto"/>
                <w:sz w:val="24"/>
                <w:highlight w:val="none"/>
                <w:u w:val="none"/>
                <w:lang w:val="en-US" w:eastAsia="zh-CN" w:bidi="ar"/>
              </w:rPr>
              <w:t>E</w:t>
            </w:r>
            <w:r>
              <w:rPr>
                <w:rFonts w:hint="eastAsia" w:ascii="宋体" w:hAnsi="宋体" w:cs="仿宋_GB2312"/>
                <w:color w:val="auto"/>
                <w:sz w:val="24"/>
                <w:highlight w:val="none"/>
                <w:u w:val="none"/>
                <w:lang w:bidi="ar"/>
              </w:rPr>
              <w:t>察”</w:t>
            </w:r>
            <w:r>
              <w:rPr>
                <w:rFonts w:hint="eastAsia" w:ascii="宋体" w:hAnsi="宋体" w:cs="仿宋_GB2312"/>
                <w:color w:val="auto"/>
                <w:sz w:val="24"/>
                <w:highlight w:val="none"/>
                <w:u w:val="none"/>
                <w:lang w:val="en-US" w:eastAsia="zh-CN" w:bidi="ar"/>
              </w:rPr>
              <w:t>字样</w:t>
            </w:r>
            <w:r>
              <w:rPr>
                <w:rFonts w:hint="eastAsia" w:ascii="宋体" w:hAnsi="宋体" w:cs="仿宋_GB2312"/>
                <w:color w:val="auto"/>
                <w:sz w:val="24"/>
                <w:highlight w:val="none"/>
                <w:u w:val="none"/>
                <w:lang w:bidi="ar"/>
              </w:rPr>
              <w:t>；工作包外部嵌透明塑胶袋，可插入姓名牌或姓名卡等，长≥5cm；宽≥3cm；</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ascii="宋体" w:hAnsi="宋体" w:cs="仿宋_GB2312"/>
                <w:color w:val="auto"/>
                <w:sz w:val="24"/>
                <w:highlight w:val="none"/>
                <w:u w:val="none"/>
                <w:lang w:bidi="ar"/>
              </w:rPr>
              <w:t>4</w:t>
            </w:r>
            <w:r>
              <w:rPr>
                <w:rFonts w:hint="eastAsia" w:ascii="宋体" w:hAnsi="宋体" w:cs="仿宋_GB2312"/>
                <w:color w:val="auto"/>
                <w:sz w:val="24"/>
                <w:highlight w:val="none"/>
                <w:u w:val="none"/>
                <w:lang w:bidi="ar"/>
              </w:rPr>
              <w:t>.主带规格：XL、L、M、S、SS；腰带钎子插拔性能：插拔≥3000次</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，执行标准：《GA890-2018 公安单警装备 多功能腰带》）</w:t>
            </w:r>
            <w:r>
              <w:rPr>
                <w:rFonts w:hint="eastAsia" w:ascii="宋体" w:hAnsi="宋体" w:cs="仿宋_GB2312"/>
                <w:color w:val="auto"/>
                <w:sz w:val="24"/>
                <w:highlight w:val="none"/>
                <w:u w:val="none"/>
                <w:lang w:bidi="ar"/>
              </w:rPr>
              <w:t>；</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hint="eastAsia" w:ascii="宋体" w:hAnsi="宋体" w:cs="宋体"/>
                <w:color w:val="auto"/>
                <w:sz w:val="24"/>
                <w:highlight w:val="none"/>
                <w:u w:val="none"/>
              </w:rPr>
              <w:t>▲</w:t>
            </w:r>
            <w:r>
              <w:rPr>
                <w:rFonts w:ascii="宋体" w:hAnsi="宋体" w:cs="仿宋_GB2312"/>
                <w:color w:val="auto"/>
                <w:sz w:val="24"/>
                <w:highlight w:val="none"/>
                <w:u w:val="none"/>
                <w:lang w:bidi="ar"/>
              </w:rPr>
              <w:t>5</w:t>
            </w:r>
            <w:r>
              <w:rPr>
                <w:rFonts w:hint="eastAsia" w:ascii="宋体" w:hAnsi="宋体" w:cs="仿宋_GB2312"/>
                <w:color w:val="auto"/>
                <w:sz w:val="24"/>
                <w:highlight w:val="none"/>
                <w:u w:val="none"/>
                <w:lang w:bidi="ar"/>
              </w:rPr>
              <w:t>．抗拉性能：斜挂带卡扣在扣合状态下,拉力为500N并保持30S,卡扣不破损,能正常使用,腰带钎子在扣合状态下,拉力为750N并保持30S,钎子不破损,能正常使用</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，执行标准：《GA890-2018 公安单警装备 多功能腰带》）</w:t>
            </w:r>
            <w:r>
              <w:rPr>
                <w:rFonts w:hint="eastAsia" w:ascii="宋体" w:hAnsi="宋体" w:cs="仿宋_GB2312"/>
                <w:color w:val="auto"/>
                <w:sz w:val="24"/>
                <w:highlight w:val="none"/>
                <w:u w:val="none"/>
                <w:lang w:bidi="ar"/>
              </w:rPr>
              <w:t>；</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ascii="宋体" w:hAnsi="宋体" w:cs="仿宋_GB2312"/>
                <w:color w:val="auto"/>
                <w:sz w:val="24"/>
                <w:highlight w:val="none"/>
                <w:u w:val="none"/>
                <w:lang w:bidi="ar"/>
              </w:rPr>
              <w:t>6</w:t>
            </w:r>
            <w:r>
              <w:rPr>
                <w:rFonts w:hint="eastAsia" w:ascii="宋体" w:hAnsi="宋体" w:cs="仿宋_GB2312"/>
                <w:color w:val="auto"/>
                <w:sz w:val="24"/>
                <w:highlight w:val="none"/>
                <w:u w:val="none"/>
                <w:lang w:bidi="ar"/>
              </w:rPr>
              <w:t>.重量：≤1.2kg（不含</w:t>
            </w:r>
            <w:r>
              <w:rPr>
                <w:rFonts w:hint="eastAsia" w:ascii="宋体" w:hAnsi="宋体" w:cs="仿宋_GB2312"/>
                <w:color w:val="auto"/>
                <w:sz w:val="24"/>
                <w:highlight w:val="none"/>
                <w:u w:val="none"/>
                <w:lang w:val="en-US" w:eastAsia="zh-CN" w:bidi="ar"/>
              </w:rPr>
              <w:t>选</w:t>
            </w:r>
            <w:r>
              <w:rPr>
                <w:rFonts w:hint="eastAsia" w:ascii="宋体" w:hAnsi="宋体" w:cs="仿宋_GB2312"/>
                <w:color w:val="auto"/>
                <w:sz w:val="24"/>
                <w:highlight w:val="none"/>
                <w:u w:val="none"/>
                <w:lang w:bidi="ar"/>
              </w:rPr>
              <w:t>配件）</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，执行标准：《GA890-2018 公安单警装备 多功能腰带》）</w:t>
            </w:r>
            <w:r>
              <w:rPr>
                <w:rFonts w:hint="eastAsia" w:ascii="宋体" w:hAnsi="宋体" w:cs="仿宋_GB2312"/>
                <w:color w:val="auto"/>
                <w:sz w:val="24"/>
                <w:highlight w:val="none"/>
                <w:u w:val="none"/>
                <w:lang w:bidi="ar"/>
              </w:rPr>
              <w:t>；</w:t>
            </w:r>
          </w:p>
          <w:p>
            <w:pPr>
              <w:widowControl/>
              <w:jc w:val="left"/>
              <w:textAlignment w:val="top"/>
              <w:rPr>
                <w:rFonts w:ascii="宋体" w:eastAsia="宋体"/>
                <w:color w:val="auto"/>
                <w:sz w:val="24"/>
                <w:highlight w:val="none"/>
                <w:u w:val="none"/>
              </w:rPr>
            </w:pPr>
            <w:r>
              <w:rPr>
                <w:rFonts w:hint="eastAsia" w:ascii="宋体" w:hAnsi="宋体" w:cs="宋体"/>
                <w:color w:val="auto"/>
                <w:sz w:val="24"/>
                <w:highlight w:val="none"/>
                <w:u w:val="none"/>
              </w:rPr>
              <w:t>▲7.</w:t>
            </w:r>
            <w:r>
              <w:rPr>
                <w:rFonts w:hint="eastAsia" w:ascii="宋体" w:hAnsi="宋体" w:cs="仿宋_GB2312"/>
                <w:color w:val="auto"/>
                <w:sz w:val="24"/>
                <w:highlight w:val="none"/>
                <w:u w:val="none"/>
                <w:lang w:bidi="ar"/>
              </w:rPr>
              <w:t>腰带钎子材质为聚碳酸酯，拉伸弹性模量≥2200MPa，弯曲强度≥60MPa，弯曲弹性模量≥2200M</w:t>
            </w:r>
            <w:r>
              <w:rPr>
                <w:rFonts w:ascii="宋体" w:hAnsi="宋体" w:cs="仿宋_GB2312"/>
                <w:color w:val="auto"/>
                <w:sz w:val="24"/>
                <w:highlight w:val="none"/>
                <w:u w:val="none"/>
                <w:lang w:bidi="ar"/>
              </w:rPr>
              <w:t>p</w:t>
            </w:r>
            <w:r>
              <w:rPr>
                <w:rFonts w:hint="eastAsia" w:ascii="宋体" w:hAnsi="宋体" w:cs="仿宋_GB2312"/>
                <w:color w:val="auto"/>
                <w:sz w:val="24"/>
                <w:highlight w:val="none"/>
                <w:u w:val="none"/>
                <w:lang w:bidi="ar"/>
              </w:rPr>
              <w:t>a。</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eastAsia="zh-CN" w:bidi="ar"/>
              </w:rPr>
              <w:t>，执行标准：</w:t>
            </w:r>
            <w:r>
              <w:rPr>
                <w:rFonts w:hint="eastAsia" w:ascii="宋体" w:hAnsi="宋体" w:cs="仿宋_GB2312"/>
                <w:b/>
                <w:bCs/>
                <w:color w:val="auto"/>
                <w:sz w:val="24"/>
                <w:highlight w:val="none"/>
                <w:u w:val="none"/>
                <w:lang w:bidi="ar"/>
              </w:rPr>
              <w:t>执行《JG/T 347-2012聚碳酸酯(PC)实心板》行业标准</w:t>
            </w:r>
            <w:r>
              <w:rPr>
                <w:rFonts w:hint="eastAsia" w:ascii="宋体" w:hAnsi="宋体" w:cs="仿宋_GB2312"/>
                <w:strike w:val="0"/>
                <w:dstrike w:val="0"/>
                <w:color w:val="auto"/>
                <w:sz w:val="24"/>
                <w:highlight w:val="none"/>
                <w:u w:val="none"/>
                <w:lang w:bidi="ar"/>
              </w:rPr>
              <w:t>。</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45515" cy="344805"/>
                  <wp:effectExtent l="8255" t="24765" r="17780" b="3048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5"/>
                          <a:stretch>
                            <a:fillRect/>
                          </a:stretch>
                        </pic:blipFill>
                        <pic:spPr>
                          <a:xfrm rot="10980000" flipV="1">
                            <a:off x="0" y="0"/>
                            <a:ext cx="945515" cy="34480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2</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手铐</w:t>
            </w:r>
          </w:p>
        </w:tc>
        <w:tc>
          <w:tcPr>
            <w:tcW w:w="5452" w:type="dxa"/>
            <w:vAlign w:val="center"/>
          </w:tcPr>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1.钢+表面镀铬处理，用于束缚手腕的环形锁。大三角钥匙，锁铐可反锁定位、防拨功能；</w:t>
            </w:r>
          </w:p>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▲2.尺寸：H：50mm≤H≤55mm；45mm≤B≤80mm；</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eastAsia="zh-CN" w:bidi="ar"/>
              </w:rPr>
              <w:t>，</w:t>
            </w:r>
            <w:r>
              <w:rPr>
                <w:rFonts w:hint="eastAsia" w:ascii="宋体" w:hAnsi="宋体" w:cs="仿宋_GB2312"/>
                <w:b/>
                <w:bCs/>
                <w:color w:val="auto"/>
                <w:sz w:val="24"/>
                <w:highlight w:val="none"/>
                <w:u w:val="none"/>
                <w:lang w:bidi="ar"/>
              </w:rPr>
              <w:t>执行标准：符合《GA 172-2014金属手铐》）</w:t>
            </w:r>
          </w:p>
          <w:p>
            <w:pPr>
              <w:widowControl/>
              <w:snapToGrid w:val="0"/>
              <w:spacing w:after="0" w:line="360" w:lineRule="auto"/>
              <w:jc w:val="left"/>
              <w:textAlignment w:val="center"/>
              <w:rPr>
                <w:rFonts w:hAnsi="宋体" w:eastAsia="宋体"/>
                <w:b/>
                <w:color w:val="auto"/>
                <w:sz w:val="24"/>
                <w:szCs w:val="24"/>
                <w:highlight w:val="none"/>
                <w:u w:val="none"/>
              </w:rPr>
            </w:pPr>
            <w:r>
              <w:rPr>
                <w:rFonts w:hint="eastAsia" w:ascii="宋体" w:hAnsi="宋体" w:cs="仿宋_GB2312"/>
                <w:color w:val="auto"/>
                <w:sz w:val="24"/>
                <w:highlight w:val="none"/>
                <w:u w:val="none"/>
                <w:lang w:bidi="ar"/>
              </w:rPr>
              <w:t>3.质量(g)：≤500g（不含包装和钥匙）；</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,执行标准：符合《GA 172-2014金属手铐》）</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780415" cy="847090"/>
                  <wp:effectExtent l="0" t="0" r="635" b="10160"/>
                  <wp:docPr id="63129375" name="图片 6312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9375" name="图片 63129375"/>
                          <pic:cNvPicPr>
                            <a:picLocks noChangeAspect="1"/>
                          </pic:cNvPicPr>
                        </pic:nvPicPr>
                        <pic:blipFill>
                          <a:blip r:embed="rId16"/>
                          <a:stretch>
                            <a:fillRect/>
                          </a:stretch>
                        </pic:blipFill>
                        <pic:spPr>
                          <a:xfrm>
                            <a:off x="0" y="0"/>
                            <a:ext cx="780415" cy="84709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3</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电警棍</w:t>
            </w:r>
          </w:p>
        </w:tc>
        <w:tc>
          <w:tcPr>
            <w:tcW w:w="5452" w:type="dxa"/>
            <w:vAlign w:val="center"/>
          </w:tcPr>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1.全新工程塑料外壳；尾部保险开关/全控；</w:t>
            </w:r>
          </w:p>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2．尺寸：长300mm±50</w:t>
            </w:r>
            <w:r>
              <w:rPr>
                <w:rFonts w:hint="eastAsia" w:ascii="宋体" w:hAnsi="宋体" w:cs="宋体"/>
                <w:color w:val="auto"/>
                <w:sz w:val="24"/>
                <w:highlight w:val="none"/>
                <w:u w:val="none"/>
              </w:rPr>
              <w:t>mm；</w:t>
            </w:r>
            <w:r>
              <w:rPr>
                <w:rFonts w:hint="eastAsia" w:ascii="宋体" w:hAnsi="宋体" w:cs="仿宋_GB2312"/>
                <w:color w:val="auto"/>
                <w:sz w:val="24"/>
                <w:highlight w:val="none"/>
                <w:u w:val="none"/>
                <w:lang w:bidi="ar"/>
              </w:rPr>
              <w:t>直径33mm±3</w:t>
            </w:r>
            <w:r>
              <w:rPr>
                <w:rFonts w:hint="eastAsia" w:ascii="宋体" w:hAnsi="宋体" w:cs="宋体"/>
                <w:color w:val="auto"/>
                <w:sz w:val="24"/>
                <w:highlight w:val="none"/>
                <w:u w:val="none"/>
              </w:rPr>
              <w:t>mm</w:t>
            </w:r>
            <w:r>
              <w:rPr>
                <w:rFonts w:hint="eastAsia" w:ascii="宋体" w:hAnsi="宋体" w:cs="仿宋_GB2312"/>
                <w:color w:val="auto"/>
                <w:sz w:val="24"/>
                <w:highlight w:val="none"/>
                <w:u w:val="none"/>
                <w:lang w:bidi="ar"/>
              </w:rPr>
              <w:t>；净重：285g±5g；毛重455g±5g；</w:t>
            </w:r>
          </w:p>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宋体"/>
                <w:color w:val="auto"/>
                <w:sz w:val="24"/>
                <w:highlight w:val="none"/>
                <w:u w:val="none"/>
              </w:rPr>
              <w:t>▲</w:t>
            </w:r>
            <w:r>
              <w:rPr>
                <w:rFonts w:hint="eastAsia" w:ascii="宋体" w:hAnsi="宋体" w:cs="仿宋_GB2312"/>
                <w:color w:val="auto"/>
                <w:sz w:val="24"/>
                <w:highlight w:val="none"/>
                <w:u w:val="none"/>
                <w:lang w:bidi="ar"/>
              </w:rPr>
              <w:t>3．采用高频振荡电路，</w:t>
            </w:r>
            <w:r>
              <w:rPr>
                <w:rFonts w:hint="eastAsia" w:ascii="宋体" w:hAnsi="宋体" w:cs="宋体"/>
                <w:color w:val="auto"/>
                <w:sz w:val="24"/>
                <w:highlight w:val="none"/>
                <w:u w:val="none"/>
              </w:rPr>
              <w:t>照明</w:t>
            </w:r>
            <w:r>
              <w:rPr>
                <w:rFonts w:hint="eastAsia" w:ascii="宋体" w:hAnsi="宋体" w:cs="仿宋_GB2312"/>
                <w:color w:val="auto"/>
                <w:sz w:val="24"/>
                <w:highlight w:val="none"/>
                <w:u w:val="none"/>
                <w:lang w:bidi="ar"/>
              </w:rPr>
              <w:t>LED灯；高压电击，内置5节高容量电池；</w:t>
            </w:r>
          </w:p>
          <w:p>
            <w:pPr>
              <w:widowControl/>
              <w:snapToGrid w:val="0"/>
              <w:spacing w:after="0" w:line="360" w:lineRule="auto"/>
              <w:jc w:val="left"/>
              <w:textAlignment w:val="center"/>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4.含充电器及武装带收纳套。</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42340" cy="786765"/>
                  <wp:effectExtent l="0" t="0" r="10160" b="133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942340" cy="78676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4</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自卫催泪喷雾器</w:t>
            </w:r>
          </w:p>
        </w:tc>
        <w:tc>
          <w:tcPr>
            <w:tcW w:w="5452" w:type="dxa"/>
          </w:tcPr>
          <w:p>
            <w:pPr>
              <w:widowControl/>
              <w:snapToGrid w:val="0"/>
              <w:spacing w:after="0" w:line="360" w:lineRule="auto"/>
              <w:jc w:val="left"/>
              <w:textAlignment w:val="top"/>
              <w:rPr>
                <w:rFonts w:ascii="宋体" w:hAnsi="宋体"/>
                <w:b/>
                <w:bCs/>
                <w:color w:val="auto"/>
                <w:sz w:val="24"/>
                <w:highlight w:val="none"/>
                <w:u w:val="none"/>
              </w:rPr>
            </w:pPr>
            <w:r>
              <w:rPr>
                <w:rFonts w:hint="eastAsia" w:ascii="宋体" w:hAnsi="宋体" w:cs="宋体"/>
                <w:color w:val="auto"/>
                <w:sz w:val="24"/>
                <w:highlight w:val="none"/>
                <w:u w:val="none"/>
              </w:rPr>
              <w:t>▲</w:t>
            </w:r>
            <w:r>
              <w:rPr>
                <w:rFonts w:hint="eastAsia" w:ascii="宋体" w:hAnsi="宋体" w:cs="仿宋_GB2312"/>
                <w:color w:val="auto"/>
                <w:sz w:val="24"/>
                <w:highlight w:val="none"/>
                <w:u w:val="none"/>
                <w:lang w:bidi="ar"/>
              </w:rPr>
              <w:t>1、催泪喷射器（竖喷型）。结构：由保险盖、扭簧、转轴、喷嘴、压套、支撑套、支撑盖、内罐、囊袋组件、催泪剂溶液、外罐等零部件组成，催泪剂为合成辣椒素；连续喷射性能：喷射距离应≥5m，有效喷射时间应≥9s，完全喷射后剩余溶液量应≤</w:t>
            </w:r>
            <w:r>
              <w:rPr>
                <w:rFonts w:hint="eastAsia" w:ascii="宋体" w:hAnsi="宋体" w:cs="仿宋_GB2312"/>
                <w:color w:val="auto"/>
                <w:sz w:val="24"/>
                <w:highlight w:val="none"/>
                <w:u w:val="none"/>
                <w:lang w:val="en-US" w:eastAsia="zh-CN" w:bidi="ar"/>
              </w:rPr>
              <w:t>5ml</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eastAsia="zh-CN" w:bidi="ar"/>
              </w:rPr>
              <w:t>，执行标准：</w:t>
            </w:r>
            <w:r>
              <w:rPr>
                <w:rFonts w:hint="eastAsia" w:ascii="宋体" w:hAnsi="宋体"/>
                <w:b/>
                <w:bCs/>
                <w:color w:val="auto"/>
                <w:sz w:val="24"/>
                <w:highlight w:val="none"/>
                <w:u w:val="none"/>
              </w:rPr>
              <w:t>《GA884-2018 公安单警装备催泪喷射器》）</w:t>
            </w:r>
          </w:p>
          <w:p>
            <w:pPr>
              <w:widowControl/>
              <w:snapToGrid w:val="0"/>
              <w:spacing w:after="0" w:line="360" w:lineRule="auto"/>
              <w:jc w:val="left"/>
              <w:textAlignment w:val="top"/>
              <w:rPr>
                <w:rFonts w:ascii="宋体" w:hAnsi="宋体" w:cs="仿宋_GB2312"/>
                <w:color w:val="auto"/>
                <w:sz w:val="24"/>
                <w:highlight w:val="none"/>
                <w:u w:val="none"/>
                <w:lang w:bidi="ar"/>
              </w:rPr>
            </w:pPr>
            <w:r>
              <w:rPr>
                <w:rFonts w:hint="eastAsia" w:ascii="宋体" w:hAnsi="宋体" w:cs="仿宋_GB2312"/>
                <w:b/>
                <w:bCs/>
                <w:color w:val="auto"/>
                <w:sz w:val="24"/>
                <w:highlight w:val="none"/>
                <w:u w:val="none"/>
                <w:lang w:bidi="ar"/>
              </w:rPr>
              <w:t>；</w:t>
            </w:r>
          </w:p>
          <w:p>
            <w:pPr>
              <w:widowControl/>
              <w:snapToGrid w:val="0"/>
              <w:spacing w:after="0" w:line="360" w:lineRule="auto"/>
              <w:jc w:val="left"/>
              <w:textAlignment w:val="top"/>
              <w:rPr>
                <w:rFonts w:ascii="宋体" w:hAnsi="宋体"/>
                <w:color w:val="auto"/>
                <w:sz w:val="24"/>
                <w:highlight w:val="none"/>
                <w:u w:val="none"/>
              </w:rPr>
            </w:pPr>
            <w:r>
              <w:rPr>
                <w:rFonts w:hint="eastAsia" w:ascii="宋体" w:hAnsi="宋体" w:cs="仿宋_GB2312"/>
                <w:color w:val="auto"/>
                <w:sz w:val="24"/>
                <w:highlight w:val="none"/>
                <w:u w:val="none"/>
                <w:lang w:bidi="ar"/>
              </w:rPr>
              <w:t>2.</w:t>
            </w:r>
            <w:r>
              <w:rPr>
                <w:rFonts w:hint="eastAsia" w:ascii="宋体" w:hAnsi="宋体"/>
                <w:color w:val="auto"/>
                <w:sz w:val="24"/>
                <w:highlight w:val="none"/>
                <w:u w:val="none"/>
              </w:rPr>
              <w:t>催泪喷射器质量：1</w:t>
            </w:r>
            <w:r>
              <w:rPr>
                <w:rFonts w:hint="eastAsia" w:ascii="宋体" w:hAnsi="宋体"/>
                <w:color w:val="auto"/>
                <w:sz w:val="24"/>
                <w:highlight w:val="none"/>
                <w:u w:val="none"/>
                <w:lang w:val="en-US" w:eastAsia="zh-CN"/>
              </w:rPr>
              <w:t>85</w:t>
            </w:r>
            <w:r>
              <w:rPr>
                <w:rFonts w:hint="eastAsia" w:ascii="宋体" w:hAnsi="宋体"/>
                <w:color w:val="auto"/>
                <w:sz w:val="24"/>
                <w:highlight w:val="none"/>
                <w:u w:val="none"/>
              </w:rPr>
              <w:t>g±</w:t>
            </w:r>
            <w:r>
              <w:rPr>
                <w:rFonts w:hint="eastAsia" w:ascii="宋体" w:hAnsi="宋体"/>
                <w:color w:val="auto"/>
                <w:sz w:val="24"/>
                <w:highlight w:val="none"/>
                <w:u w:val="none"/>
                <w:lang w:val="en-US" w:eastAsia="zh-CN"/>
              </w:rPr>
              <w:t>1</w:t>
            </w:r>
            <w:r>
              <w:rPr>
                <w:rFonts w:hint="eastAsia" w:ascii="宋体" w:hAnsi="宋体"/>
                <w:color w:val="auto"/>
                <w:sz w:val="24"/>
                <w:highlight w:val="none"/>
                <w:u w:val="none"/>
              </w:rPr>
              <w:t>5g；</w:t>
            </w:r>
            <w:r>
              <w:rPr>
                <w:rFonts w:hint="eastAsia" w:ascii="宋体" w:hAnsi="宋体"/>
                <w:b/>
                <w:bCs/>
                <w:color w:val="auto"/>
                <w:sz w:val="24"/>
                <w:highlight w:val="none"/>
                <w:u w:val="none"/>
              </w:rPr>
              <w:t>（需提供经CMA或CNAS认证的第三方检测机构出具的检验报告复印件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，执行标准：《GA884-2018 公安单警装备催泪喷射器》）</w:t>
            </w:r>
          </w:p>
          <w:p>
            <w:pPr>
              <w:widowControl/>
              <w:snapToGrid w:val="0"/>
              <w:spacing w:after="0" w:line="360" w:lineRule="auto"/>
              <w:jc w:val="left"/>
              <w:textAlignment w:val="top"/>
              <w:rPr>
                <w:rFonts w:ascii="宋体" w:hAnsi="宋体"/>
                <w:b/>
                <w:bCs/>
                <w:color w:val="auto"/>
                <w:sz w:val="24"/>
                <w:highlight w:val="none"/>
                <w:u w:val="none"/>
              </w:rPr>
            </w:pPr>
            <w:r>
              <w:rPr>
                <w:rFonts w:hint="eastAsia" w:ascii="宋体" w:hAnsi="宋体" w:cs="仿宋_GB2312"/>
                <w:color w:val="auto"/>
                <w:sz w:val="24"/>
                <w:highlight w:val="none"/>
                <w:u w:val="none"/>
                <w:lang w:bidi="ar"/>
              </w:rPr>
              <w:t>3.</w:t>
            </w:r>
            <w:r>
              <w:rPr>
                <w:rFonts w:hint="eastAsia" w:ascii="宋体" w:hAnsi="宋体"/>
                <w:color w:val="auto"/>
                <w:sz w:val="24"/>
                <w:highlight w:val="none"/>
                <w:u w:val="none"/>
              </w:rPr>
              <w:t>催泪喷射器经过老化试验后，表面应无剥落，不解体，不泄露，不爆裂，符合喷射要求，喷射为定向射流状。</w:t>
            </w:r>
            <w:r>
              <w:rPr>
                <w:rFonts w:hint="eastAsia" w:ascii="宋体" w:hAnsi="宋体"/>
                <w:b/>
                <w:bCs/>
                <w:color w:val="auto"/>
                <w:sz w:val="24"/>
                <w:highlight w:val="none"/>
                <w:u w:val="none"/>
              </w:rPr>
              <w:t>（需提供经CMA或CNAS认证的第三方检测机构出具的检验报告复印件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，执行标准：《GA884-2018 公安单警装备催泪喷射器》）</w:t>
            </w:r>
          </w:p>
          <w:p>
            <w:pPr>
              <w:widowControl/>
              <w:snapToGrid w:val="0"/>
              <w:spacing w:after="0" w:line="360" w:lineRule="auto"/>
              <w:jc w:val="left"/>
              <w:textAlignment w:val="top"/>
              <w:rPr>
                <w:rFonts w:ascii="宋体" w:hAnsi="宋体"/>
                <w:color w:val="auto"/>
                <w:sz w:val="24"/>
                <w:highlight w:val="none"/>
                <w:u w:val="none"/>
              </w:rPr>
            </w:pPr>
            <w:r>
              <w:rPr>
                <w:rFonts w:hint="eastAsia" w:ascii="宋体" w:hAnsi="宋体" w:cs="宋体"/>
                <w:color w:val="auto"/>
                <w:sz w:val="24"/>
                <w:highlight w:val="none"/>
                <w:u w:val="none"/>
              </w:rPr>
              <w:t>▲</w:t>
            </w:r>
            <w:r>
              <w:rPr>
                <w:rFonts w:hint="eastAsia" w:ascii="宋体" w:hAnsi="宋体" w:cs="仿宋_GB2312"/>
                <w:color w:val="auto"/>
                <w:sz w:val="24"/>
                <w:highlight w:val="none"/>
                <w:u w:val="none"/>
                <w:lang w:bidi="ar"/>
              </w:rPr>
              <w:t>4.</w:t>
            </w:r>
            <w:r>
              <w:rPr>
                <w:rFonts w:hint="eastAsia" w:ascii="宋体" w:hAnsi="宋体"/>
                <w:color w:val="auto"/>
                <w:sz w:val="24"/>
                <w:highlight w:val="none"/>
                <w:u w:val="none"/>
              </w:rPr>
              <w:t>稳定性、振动和跌落可靠性、承压安全性、保险盖可靠性：经过试验后，应能符合喷射性能的要求，喷射为定向射流状，喷射距离均应≥5m，有效喷射时间均应≥9s。</w:t>
            </w:r>
          </w:p>
          <w:p>
            <w:pPr>
              <w:widowControl/>
              <w:snapToGrid w:val="0"/>
              <w:spacing w:after="0" w:line="360" w:lineRule="auto"/>
              <w:jc w:val="left"/>
              <w:textAlignment w:val="top"/>
              <w:rPr>
                <w:rFonts w:hAnsi="宋体" w:eastAsia="宋体"/>
                <w:b/>
                <w:color w:val="auto"/>
                <w:sz w:val="24"/>
                <w:szCs w:val="24"/>
                <w:highlight w:val="none"/>
                <w:u w:val="none"/>
              </w:rPr>
            </w:pPr>
            <w:r>
              <w:rPr>
                <w:rFonts w:hint="eastAsia" w:ascii="宋体" w:hAnsi="宋体"/>
                <w:color w:val="auto"/>
                <w:sz w:val="24"/>
                <w:highlight w:val="none"/>
                <w:u w:val="none"/>
              </w:rPr>
              <w:t>▲5、催泪喷射器溶液闭杯闪点值≥63℃，</w:t>
            </w:r>
            <w:r>
              <w:rPr>
                <w:rFonts w:hint="eastAsia" w:ascii="宋体" w:hAnsi="宋体"/>
                <w:b/>
                <w:bCs/>
                <w:color w:val="auto"/>
                <w:sz w:val="24"/>
                <w:highlight w:val="none"/>
                <w:u w:val="none"/>
              </w:rPr>
              <w:t>需提供需提供经CMA或CNAS认证的第三方检测机构出具的检验报告复印件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，执行标准：《GB/T 5208-2008 闪点的测定 快速平衡闭环法》</w:t>
            </w:r>
            <w:r>
              <w:rPr>
                <w:rFonts w:hint="eastAsia" w:ascii="宋体" w:hAnsi="宋体"/>
                <w:strike w:val="0"/>
                <w:dstrike w:val="0"/>
                <w:color w:val="auto"/>
                <w:sz w:val="24"/>
                <w:highlight w:val="none"/>
                <w:u w:val="none"/>
              </w:rPr>
              <w:t>。</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62025" cy="1537335"/>
                  <wp:effectExtent l="0" t="0" r="9525" b="5715"/>
                  <wp:docPr id="897368073" name="图片 89736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368073" name="图片 897368073"/>
                          <pic:cNvPicPr>
                            <a:picLocks noChangeAspect="1"/>
                          </pic:cNvPicPr>
                        </pic:nvPicPr>
                        <pic:blipFill>
                          <a:blip r:embed="rId18"/>
                          <a:stretch>
                            <a:fillRect/>
                          </a:stretch>
                        </pic:blipFill>
                        <pic:spPr>
                          <a:xfrm>
                            <a:off x="0" y="0"/>
                            <a:ext cx="962025" cy="153733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5</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警哨</w:t>
            </w:r>
          </w:p>
        </w:tc>
        <w:tc>
          <w:tcPr>
            <w:tcW w:w="5452" w:type="dxa"/>
            <w:vAlign w:val="center"/>
          </w:tcPr>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结构与外观：口哨应采用无滚珠结构发声，产品由金属哨体、挂绳（含挂钩）组成，字样标识应用激光雕刻，图案、文字标识清晰完整，挂绳应无挂丝、无织造瑕疵。尺寸：哨体长度应≥79mm，最大处直径应≤20mm；挂绳（含挂钩）长度应≥470mm，宽度应≥10mm。</w:t>
            </w:r>
          </w:p>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质量：口哨（含挂绳）重量≤30g。包装要求：每套口哨哨体及挂绳应同时封装在吸塑包装内，包装上应作出产品信息标识，标识内容应包含产品名称、型号、规格、生产日期、制造商信息。颜色：哨体颜色应为黑色，图案、字样标识应为金属基底色，挂绳为黑色。声级：口哨发声量≥115dB（A）。</w:t>
            </w:r>
          </w:p>
          <w:p>
            <w:pPr>
              <w:widowControl/>
              <w:snapToGrid w:val="0"/>
              <w:spacing w:after="0" w:line="360" w:lineRule="auto"/>
              <w:jc w:val="left"/>
              <w:textAlignment w:val="center"/>
              <w:rPr>
                <w:rFonts w:hint="eastAsia" w:ascii="宋体" w:hAnsi="宋体" w:eastAsia="宋体" w:cs="仿宋_GB2312"/>
                <w:color w:val="auto"/>
                <w:sz w:val="24"/>
                <w:highlight w:val="none"/>
                <w:u w:val="none"/>
                <w:lang w:eastAsia="zh-CN" w:bidi="ar"/>
              </w:rPr>
            </w:pPr>
            <w:r>
              <w:rPr>
                <w:rFonts w:hint="eastAsia" w:ascii="宋体" w:hAnsi="宋体" w:cs="仿宋_GB2312"/>
                <w:color w:val="auto"/>
                <w:sz w:val="24"/>
                <w:highlight w:val="none"/>
                <w:u w:val="none"/>
                <w:lang w:bidi="ar"/>
              </w:rPr>
              <w:t>▲3、警哨涂层安全性：六价铬：不能检出</w:t>
            </w:r>
            <w:r>
              <w:rPr>
                <w:rFonts w:hint="eastAsia" w:ascii="宋体" w:hAnsi="宋体" w:cs="仿宋_GB2312"/>
                <w:color w:val="auto"/>
                <w:sz w:val="24"/>
                <w:highlight w:val="none"/>
                <w:u w:val="none"/>
                <w:lang w:eastAsia="zh-CN" w:bidi="ar"/>
              </w:rPr>
              <w:t>。</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bidi="ar"/>
              </w:rPr>
              <w:t>，执行标准：</w:t>
            </w:r>
            <w:r>
              <w:rPr>
                <w:rFonts w:hint="eastAsia" w:ascii="宋体" w:hAnsi="宋体" w:cs="仿宋_GB2312"/>
                <w:b/>
                <w:bCs/>
                <w:color w:val="auto"/>
                <w:sz w:val="24"/>
                <w:highlight w:val="none"/>
                <w:u w:val="none"/>
                <w:lang w:val="en-US" w:eastAsia="zh-CN" w:bidi="ar"/>
              </w:rPr>
              <w:t>GB/T26125</w:t>
            </w:r>
            <w:r>
              <w:rPr>
                <w:rFonts w:hint="eastAsia" w:ascii="宋体" w:hAnsi="宋体" w:cs="仿宋_GB2312"/>
                <w:b/>
                <w:bCs/>
                <w:color w:val="auto"/>
                <w:sz w:val="24"/>
                <w:highlight w:val="none"/>
                <w:u w:val="none"/>
                <w:lang w:bidi="ar"/>
              </w:rPr>
              <w:t>。</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838835" cy="905510"/>
                  <wp:effectExtent l="0" t="0" r="18415" b="8890"/>
                  <wp:docPr id="866417142" name="图片 86641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417142" name="图片 866417142"/>
                          <pic:cNvPicPr>
                            <a:picLocks noChangeAspect="1"/>
                          </pic:cNvPicPr>
                        </pic:nvPicPr>
                        <pic:blipFill>
                          <a:blip r:embed="rId19"/>
                          <a:stretch>
                            <a:fillRect/>
                          </a:stretch>
                        </pic:blipFill>
                        <pic:spPr>
                          <a:xfrm>
                            <a:off x="0" y="0"/>
                            <a:ext cx="838835" cy="90551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6</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强光手电</w:t>
            </w:r>
          </w:p>
        </w:tc>
        <w:tc>
          <w:tcPr>
            <w:tcW w:w="5452" w:type="dxa"/>
            <w:vAlign w:val="center"/>
          </w:tcPr>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1.主体材质：6061-T6铝合金，带电池和黑色手绳；主体颜色：黑色；锂离子充电电池、3节AAA碱性电池、1节AA碱性电池，相互兼容,能正常使用；采用前置开关(照明键、爆闪键)、防滚动圆柱形结构组成；</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2．外观：产品表面光滑，无划痕、磨损、毛刺、油渍；镜片和反光杯应光洁，无划痕、无污渍；握抦纹路清晰，无磕痕；尺寸：总长度154.6mm±2mm,把柄直径：28.5mm±1mm,头盖外径35mm±1mm</w:t>
            </w:r>
            <w:r>
              <w:rPr>
                <w:rFonts w:hint="eastAsia" w:ascii="宋体" w:hAnsi="宋体" w:cs="仿宋_GB2312"/>
                <w:b/>
                <w:bCs/>
                <w:color w:val="auto"/>
                <w:sz w:val="24"/>
                <w:highlight w:val="none"/>
                <w:u w:val="none"/>
                <w:lang w:bidi="ar"/>
              </w:rPr>
              <w:t>（需提</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，执行标准：《GA 883-2018  公安单警装备 强光手电》</w:t>
            </w:r>
            <w:r>
              <w:rPr>
                <w:rFonts w:hint="eastAsia" w:ascii="宋体" w:hAnsi="宋体" w:cs="仿宋_GB2312"/>
                <w:b/>
                <w:bCs/>
                <w:color w:val="auto"/>
                <w:sz w:val="24"/>
                <w:highlight w:val="none"/>
                <w:u w:val="none"/>
                <w:lang w:bidi="ar"/>
              </w:rPr>
              <w:t>）</w:t>
            </w:r>
            <w:r>
              <w:rPr>
                <w:rFonts w:hint="eastAsia" w:ascii="宋体" w:hAnsi="宋体" w:cs="仿宋_GB2312"/>
                <w:color w:val="auto"/>
                <w:sz w:val="24"/>
                <w:highlight w:val="none"/>
                <w:u w:val="none"/>
                <w:lang w:bidi="ar"/>
              </w:rPr>
              <w:t>；</w:t>
            </w:r>
          </w:p>
          <w:p>
            <w:pPr>
              <w:snapToGrid w:val="0"/>
              <w:spacing w:after="0" w:line="360" w:lineRule="auto"/>
              <w:jc w:val="left"/>
              <w:rPr>
                <w:rFonts w:ascii="宋体" w:hAnsi="宋体" w:cs="仿宋_GB2312"/>
                <w:b/>
                <w:bCs/>
                <w:color w:val="auto"/>
                <w:sz w:val="24"/>
                <w:highlight w:val="none"/>
                <w:u w:val="none"/>
                <w:lang w:bidi="ar"/>
              </w:rPr>
            </w:pPr>
            <w:r>
              <w:rPr>
                <w:rFonts w:hint="eastAsia" w:ascii="宋体" w:hAnsi="宋体" w:cs="仿宋_GB2312"/>
                <w:color w:val="auto"/>
                <w:sz w:val="24"/>
                <w:highlight w:val="none"/>
                <w:u w:val="none"/>
                <w:lang w:bidi="ar"/>
              </w:rPr>
              <w:t>3.工作模式：强光/弱光/爆闪；</w:t>
            </w:r>
            <w:r>
              <w:rPr>
                <w:rFonts w:hint="eastAsia" w:ascii="宋体" w:hAnsi="宋体" w:cs="仿宋_GB2312"/>
                <w:b/>
                <w:bCs/>
                <w:color w:val="auto"/>
                <w:sz w:val="24"/>
                <w:highlight w:val="none"/>
                <w:u w:val="none"/>
                <w:lang w:bidi="ar"/>
              </w:rPr>
              <w:t>（需提</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color w:val="auto"/>
                <w:highlight w:val="none"/>
                <w:u w:val="none"/>
                <w:lang w:val="en-US" w:eastAsia="zh-CN"/>
              </w:rPr>
              <w:t>公章</w:t>
            </w:r>
            <w:r>
              <w:rPr>
                <w:rFonts w:hint="eastAsia" w:ascii="宋体" w:hAnsi="宋体"/>
                <w:b/>
                <w:bCs/>
                <w:color w:val="auto"/>
                <w:sz w:val="24"/>
                <w:highlight w:val="none"/>
                <w:u w:val="none"/>
              </w:rPr>
              <w:t>，执行标准：《GA 883-2018  公安单警装备 强光手电》</w:t>
            </w:r>
            <w:r>
              <w:rPr>
                <w:rFonts w:hint="eastAsia" w:ascii="宋体" w:hAnsi="宋体" w:cs="仿宋_GB2312"/>
                <w:b/>
                <w:bCs/>
                <w:color w:val="auto"/>
                <w:sz w:val="24"/>
                <w:highlight w:val="none"/>
                <w:u w:val="none"/>
                <w:lang w:bidi="ar"/>
              </w:rPr>
              <w:t>）</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4、质量：≤230g（含18650电池和手绳)；</w:t>
            </w:r>
            <w:r>
              <w:rPr>
                <w:rFonts w:hint="eastAsia" w:ascii="宋体" w:hAnsi="宋体" w:cs="仿宋_GB2312"/>
                <w:b/>
                <w:bCs/>
                <w:color w:val="auto"/>
                <w:sz w:val="24"/>
                <w:highlight w:val="none"/>
                <w:u w:val="none"/>
                <w:lang w:bidi="ar"/>
              </w:rPr>
              <w:t>（需提</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color w:val="auto"/>
                <w:highlight w:val="none"/>
                <w:u w:val="none"/>
                <w:lang w:val="en-US" w:eastAsia="zh-CN"/>
              </w:rPr>
              <w:t>公章</w:t>
            </w:r>
            <w:r>
              <w:rPr>
                <w:rFonts w:hint="eastAsia" w:ascii="宋体" w:hAnsi="宋体"/>
                <w:b/>
                <w:bCs/>
                <w:color w:val="auto"/>
                <w:sz w:val="24"/>
                <w:highlight w:val="none"/>
                <w:u w:val="none"/>
              </w:rPr>
              <w:t>，执行标准：《GA 883-2018  公安单警装备 强光手电》</w:t>
            </w:r>
            <w:r>
              <w:rPr>
                <w:rFonts w:hint="eastAsia" w:ascii="宋体" w:hAnsi="宋体" w:cs="仿宋_GB2312"/>
                <w:b/>
                <w:bCs/>
                <w:color w:val="auto"/>
                <w:sz w:val="24"/>
                <w:highlight w:val="none"/>
                <w:u w:val="none"/>
                <w:lang w:bidi="ar"/>
              </w:rPr>
              <w:t>）</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▲5、电池安全性</w:t>
            </w:r>
            <w:r>
              <w:rPr>
                <w:rFonts w:hint="eastAsia" w:ascii="宋体" w:hAnsi="宋体" w:cs="仿宋_GB2312"/>
                <w:color w:val="auto"/>
                <w:sz w:val="24"/>
                <w:highlight w:val="none"/>
                <w:u w:val="none"/>
                <w:lang w:eastAsia="zh-CN" w:bidi="ar"/>
              </w:rPr>
              <w:t>，</w:t>
            </w:r>
            <w:r>
              <w:rPr>
                <w:rFonts w:hint="eastAsia" w:ascii="宋体" w:hAnsi="宋体" w:cs="仿宋_GB2312"/>
                <w:color w:val="auto"/>
                <w:sz w:val="24"/>
                <w:highlight w:val="none"/>
                <w:u w:val="none"/>
                <w:lang w:bidi="ar"/>
              </w:rPr>
              <w:t>电池外部短路、过压充电、</w:t>
            </w:r>
            <w:r>
              <w:rPr>
                <w:rFonts w:hint="eastAsia" w:ascii="宋体" w:hAnsi="宋体"/>
                <w:b w:val="0"/>
                <w:bCs w:val="0"/>
                <w:color w:val="auto"/>
                <w:sz w:val="24"/>
                <w:highlight w:val="none"/>
                <w:u w:val="none"/>
                <w:lang w:val="en-US" w:eastAsia="zh-CN"/>
              </w:rPr>
              <w:t>过流充电、欠压放电</w:t>
            </w:r>
            <w:r>
              <w:rPr>
                <w:rFonts w:hint="eastAsia" w:ascii="宋体" w:hAnsi="宋体" w:cs="仿宋_GB2312"/>
                <w:color w:val="auto"/>
                <w:sz w:val="24"/>
                <w:highlight w:val="none"/>
                <w:u w:val="none"/>
                <w:lang w:bidi="ar"/>
              </w:rPr>
              <w:t>情况下不爆炸、不起火。</w:t>
            </w:r>
            <w:r>
              <w:rPr>
                <w:rFonts w:hint="eastAsia" w:ascii="宋体" w:hAnsi="宋体" w:cs="仿宋_GB2312"/>
                <w:b/>
                <w:bCs/>
                <w:color w:val="auto"/>
                <w:sz w:val="24"/>
                <w:highlight w:val="none"/>
                <w:u w:val="none"/>
                <w:lang w:bidi="ar"/>
              </w:rPr>
              <w:t>需提供经CMA或CNAS认证的第三方检测机构出具的检验报告复印件并加盖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cs="仿宋_GB2312"/>
                <w:b/>
                <w:bCs/>
                <w:color w:val="auto"/>
                <w:sz w:val="24"/>
                <w:highlight w:val="none"/>
                <w:u w:val="none"/>
                <w:lang w:eastAsia="zh-CN" w:bidi="ar"/>
              </w:rPr>
              <w:t>，</w:t>
            </w:r>
            <w:r>
              <w:rPr>
                <w:rFonts w:hint="eastAsia" w:ascii="宋体" w:hAnsi="宋体" w:cs="仿宋_GB2312"/>
                <w:b/>
                <w:bCs/>
                <w:color w:val="auto"/>
                <w:sz w:val="24"/>
                <w:highlight w:val="none"/>
                <w:u w:val="none"/>
                <w:lang w:bidi="ar"/>
              </w:rPr>
              <w:t>执行标准：</w:t>
            </w:r>
            <w:r>
              <w:rPr>
                <w:rFonts w:hint="eastAsia" w:ascii="宋体" w:hAnsi="宋体"/>
                <w:b/>
                <w:bCs/>
                <w:color w:val="auto"/>
                <w:sz w:val="24"/>
                <w:highlight w:val="none"/>
                <w:u w:val="none"/>
              </w:rPr>
              <w:t>《GA 883-2018  公安单警装备 强光手电》</w:t>
            </w:r>
            <w:r>
              <w:rPr>
                <w:rFonts w:hint="eastAsia" w:ascii="宋体" w:hAnsi="宋体" w:cs="仿宋_GB2312"/>
                <w:color w:val="auto"/>
                <w:sz w:val="24"/>
                <w:highlight w:val="none"/>
                <w:u w:val="none"/>
                <w:lang w:bidi="ar"/>
              </w:rPr>
              <w:t>。</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956310" cy="272415"/>
                  <wp:effectExtent l="0" t="0" r="1524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956310" cy="27241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7</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战术背心</w:t>
            </w:r>
          </w:p>
        </w:tc>
        <w:tc>
          <w:tcPr>
            <w:tcW w:w="5452" w:type="dxa"/>
          </w:tcPr>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1、规格：采用双肩带背心式设计，主体由左前片、右前片、后片和腰侧围弹性调节部件等组成；牛津布功能：可携带多种单警装备，如警用手电、水壶、伸缩警棍、手铐、弹夹、催泪喷射器等，贴标识字样可定做；</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2、颜色：黑色；</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3、尺寸：前袖笼深30±2cm；后袖笼深35±2cm；前身长55±2cm；后身长50±2cm；前片宽60±2cm；后片宽70±2cm；</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4、设计：背心前胸左侧有“POLICE”</w:t>
            </w:r>
            <w:r>
              <w:rPr>
                <w:rFonts w:hint="eastAsia" w:ascii="宋体" w:hAnsi="宋体" w:cs="仿宋_GB2312"/>
                <w:color w:val="auto"/>
                <w:sz w:val="24"/>
                <w:highlight w:val="none"/>
                <w:u w:val="none"/>
                <w:lang w:val="en-US" w:eastAsia="zh-CN" w:bidi="ar"/>
              </w:rPr>
              <w:t>或</w:t>
            </w:r>
            <w:r>
              <w:rPr>
                <w:rFonts w:hint="eastAsia" w:ascii="宋体" w:hAnsi="宋体" w:cs="仿宋_GB2312"/>
                <w:color w:val="auto"/>
                <w:sz w:val="24"/>
                <w:highlight w:val="none"/>
                <w:u w:val="none"/>
                <w:lang w:bidi="ar"/>
              </w:rPr>
              <w:t>“特警”标识，尺寸26mm×90mm（±5mm）；后背上方居中部位有“特SWAT警”标识，尺寸70mm×225mm（±5mm）；</w:t>
            </w:r>
          </w:p>
          <w:p>
            <w:pPr>
              <w:snapToGrid w:val="0"/>
              <w:spacing w:after="0" w:line="360" w:lineRule="auto"/>
              <w:jc w:val="left"/>
              <w:rPr>
                <w:rFonts w:hint="eastAsia"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5、搭扣带扣合强度：≥8.0N/c㎡；</w:t>
            </w:r>
          </w:p>
          <w:p>
            <w:pPr>
              <w:snapToGrid w:val="0"/>
              <w:spacing w:after="0" w:line="360" w:lineRule="auto"/>
              <w:jc w:val="left"/>
              <w:rPr>
                <w:rFonts w:ascii="宋体" w:hAnsi="宋体"/>
                <w:b/>
                <w:color w:val="auto"/>
                <w:sz w:val="24"/>
                <w:highlight w:val="none"/>
                <w:u w:val="none"/>
              </w:rPr>
            </w:pPr>
            <w:r>
              <w:rPr>
                <w:rFonts w:hint="eastAsia" w:ascii="宋体" w:hAnsi="宋体" w:cs="仿宋_GB2312"/>
                <w:color w:val="auto"/>
                <w:sz w:val="24"/>
                <w:highlight w:val="none"/>
                <w:u w:val="none"/>
                <w:lang w:bidi="ar"/>
              </w:rPr>
              <w:t xml:space="preserve">6、插口连接强力≥650N、面料断裂强力≥1100N；                                             </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1050925" cy="620395"/>
                  <wp:effectExtent l="0" t="0" r="15875" b="8255"/>
                  <wp:docPr id="980817785" name="图片 98081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817785" name="图片 980817785"/>
                          <pic:cNvPicPr>
                            <a:picLocks noChangeAspect="1"/>
                          </pic:cNvPicPr>
                        </pic:nvPicPr>
                        <pic:blipFill>
                          <a:blip r:embed="rId21"/>
                          <a:stretch>
                            <a:fillRect/>
                          </a:stretch>
                        </pic:blipFill>
                        <pic:spPr>
                          <a:xfrm>
                            <a:off x="0" y="0"/>
                            <a:ext cx="1050925" cy="62039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6"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8</w:t>
            </w:r>
          </w:p>
        </w:tc>
        <w:tc>
          <w:tcPr>
            <w:tcW w:w="135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int="eastAsia" w:hAnsi="宋体" w:eastAsia="宋体" w:cs="仿宋_GB2312"/>
                <w:color w:val="auto"/>
                <w:sz w:val="24"/>
                <w:szCs w:val="24"/>
                <w:highlight w:val="none"/>
                <w:u w:val="none"/>
                <w:lang w:bidi="ar"/>
              </w:rPr>
              <w:t>伸缩警棍</w:t>
            </w:r>
          </w:p>
        </w:tc>
        <w:tc>
          <w:tcPr>
            <w:tcW w:w="5452" w:type="dxa"/>
            <w:vAlign w:val="bottom"/>
          </w:tcPr>
          <w:p>
            <w:pPr>
              <w:snapToGrid w:val="0"/>
              <w:spacing w:after="0" w:line="360" w:lineRule="auto"/>
              <w:jc w:val="left"/>
              <w:rPr>
                <w:rFonts w:ascii="宋体" w:hAnsi="宋体" w:cs="仿宋_GB2312"/>
                <w:color w:val="auto"/>
                <w:sz w:val="24"/>
                <w:highlight w:val="none"/>
                <w:u w:val="none"/>
                <w:lang w:bidi="ar"/>
              </w:rPr>
            </w:pPr>
            <w:r>
              <w:rPr>
                <w:rFonts w:hint="eastAsia" w:ascii="宋体" w:hAnsi="宋体" w:cs="宋体"/>
                <w:color w:val="auto"/>
                <w:sz w:val="24"/>
                <w:highlight w:val="none"/>
                <w:u w:val="none"/>
              </w:rPr>
              <w:t>1、</w:t>
            </w:r>
            <w:r>
              <w:rPr>
                <w:rFonts w:hint="eastAsia" w:ascii="宋体" w:hAnsi="宋体" w:cs="仿宋_GB2312"/>
                <w:color w:val="auto"/>
                <w:sz w:val="24"/>
                <w:highlight w:val="none"/>
                <w:u w:val="none"/>
                <w:lang w:bidi="ar"/>
              </w:rPr>
              <w:t>材质：采用三节金属圆管套装制成，主要部件为握把组件、中管组件、小管组件；外观：外形圆滑，无明显弯曲，无划痕毛刺及其他缺陷，警徽和编号应能辨识；</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▲2、尺寸：收缩后长度为224±1.5mm；伸展收长度为508±2.0mm</w:t>
            </w:r>
            <w:r>
              <w:rPr>
                <w:rFonts w:hint="eastAsia" w:ascii="宋体" w:hAnsi="宋体" w:cs="仿宋_GB2312"/>
                <w:color w:val="auto"/>
                <w:sz w:val="24"/>
                <w:highlight w:val="none"/>
                <w:u w:val="none"/>
                <w:lang w:eastAsia="zh-CN" w:bidi="ar"/>
              </w:rPr>
              <w:t>；</w:t>
            </w:r>
            <w:r>
              <w:rPr>
                <w:rFonts w:hint="eastAsia" w:ascii="宋体" w:hAnsi="宋体" w:cs="仿宋_GB2312"/>
                <w:color w:val="auto"/>
                <w:sz w:val="24"/>
                <w:highlight w:val="none"/>
                <w:u w:val="none"/>
                <w:lang w:bidi="ar"/>
              </w:rPr>
              <w:t>握把直径为Φ26.5±0.15mm</w:t>
            </w:r>
            <w:r>
              <w:rPr>
                <w:rFonts w:hint="eastAsia" w:ascii="宋体" w:hAnsi="宋体" w:cs="仿宋_GB2312"/>
                <w:color w:val="auto"/>
                <w:sz w:val="24"/>
                <w:highlight w:val="none"/>
                <w:u w:val="none"/>
                <w:lang w:eastAsia="zh-CN" w:bidi="ar"/>
              </w:rPr>
              <w:t>；</w:t>
            </w:r>
            <w:r>
              <w:rPr>
                <w:rFonts w:hint="eastAsia" w:ascii="宋体" w:hAnsi="宋体" w:cs="仿宋_GB2312"/>
                <w:b/>
                <w:bCs/>
                <w:color w:val="auto"/>
                <w:sz w:val="24"/>
                <w:highlight w:val="none"/>
                <w:u w:val="none"/>
                <w:lang w:bidi="ar"/>
              </w:rPr>
              <w:t>（需提供</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w:t>
            </w:r>
            <w:r>
              <w:rPr>
                <w:rFonts w:hint="eastAsia" w:ascii="宋体" w:hAnsi="宋体" w:cs="仿宋_GB2312"/>
                <w:b/>
                <w:bCs/>
                <w:color w:val="auto"/>
                <w:sz w:val="24"/>
                <w:highlight w:val="none"/>
                <w:u w:val="none"/>
                <w:lang w:bidi="ar"/>
              </w:rPr>
              <w:t>执行标准：《GA 886-2018  公安单警装备 伸缩警棍》）</w:t>
            </w:r>
          </w:p>
          <w:p>
            <w:pPr>
              <w:snapToGrid w:val="0"/>
              <w:spacing w:after="0" w:line="360" w:lineRule="auto"/>
              <w:jc w:val="left"/>
              <w:rPr>
                <w:rFonts w:ascii="宋体" w:hAnsi="宋体" w:cs="仿宋_GB2312"/>
                <w:color w:val="auto"/>
                <w:sz w:val="24"/>
                <w:highlight w:val="none"/>
                <w:u w:val="none"/>
                <w:lang w:bidi="ar"/>
              </w:rPr>
            </w:pPr>
            <w:r>
              <w:rPr>
                <w:rFonts w:hint="eastAsia" w:ascii="宋体" w:hAnsi="宋体" w:cs="仿宋_GB2312"/>
                <w:color w:val="auto"/>
                <w:sz w:val="24"/>
                <w:highlight w:val="none"/>
                <w:u w:val="none"/>
                <w:lang w:bidi="ar"/>
              </w:rPr>
              <w:t>3、颜色：握把橡胶套为黑色，其余棍体为亚光黑色；质量：≤340g；</w:t>
            </w:r>
            <w:r>
              <w:rPr>
                <w:rFonts w:hint="eastAsia" w:ascii="宋体" w:hAnsi="宋体" w:cs="仿宋_GB2312"/>
                <w:b/>
                <w:bCs/>
                <w:color w:val="auto"/>
                <w:sz w:val="24"/>
                <w:highlight w:val="none"/>
                <w:u w:val="none"/>
                <w:lang w:bidi="ar"/>
              </w:rPr>
              <w:t>（需提供</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w:t>
            </w:r>
            <w:r>
              <w:rPr>
                <w:rFonts w:hint="eastAsia" w:ascii="宋体" w:hAnsi="宋体" w:cs="仿宋_GB2312"/>
                <w:b/>
                <w:bCs/>
                <w:color w:val="auto"/>
                <w:sz w:val="24"/>
                <w:highlight w:val="none"/>
                <w:u w:val="none"/>
                <w:lang w:bidi="ar"/>
              </w:rPr>
              <w:t>执行标准：《GA 886-2018  公安单警装备 伸缩警棍》）</w:t>
            </w:r>
          </w:p>
          <w:p>
            <w:pPr>
              <w:snapToGrid w:val="0"/>
              <w:spacing w:after="0" w:line="360" w:lineRule="auto"/>
              <w:jc w:val="left"/>
              <w:rPr>
                <w:rFonts w:ascii="宋体" w:hAnsi="宋体"/>
                <w:b/>
                <w:color w:val="auto"/>
                <w:sz w:val="24"/>
                <w:highlight w:val="none"/>
                <w:u w:val="none"/>
              </w:rPr>
            </w:pPr>
            <w:r>
              <w:rPr>
                <w:rFonts w:hint="eastAsia" w:ascii="宋体" w:hAnsi="宋体" w:cs="仿宋_GB2312"/>
                <w:color w:val="auto"/>
                <w:sz w:val="24"/>
                <w:highlight w:val="none"/>
                <w:u w:val="none"/>
                <w:lang w:bidi="ar"/>
              </w:rPr>
              <w:t>4、伸缩可靠性:伸缩警棍伸展、收回为一个循环，分别用拉出伸展和甩动伸展循环≥3000次，能正常伸展和收回；</w:t>
            </w:r>
            <w:r>
              <w:rPr>
                <w:rFonts w:hint="eastAsia" w:ascii="宋体" w:hAnsi="宋体" w:cs="仿宋_GB2312"/>
                <w:b/>
                <w:bCs/>
                <w:color w:val="auto"/>
                <w:sz w:val="24"/>
                <w:highlight w:val="none"/>
                <w:u w:val="none"/>
                <w:lang w:bidi="ar"/>
              </w:rPr>
              <w:t>（需提供</w:t>
            </w:r>
            <w:r>
              <w:rPr>
                <w:rFonts w:hint="eastAsia" w:ascii="宋体" w:hAnsi="宋体"/>
                <w:b/>
                <w:bCs/>
                <w:color w:val="auto"/>
                <w:sz w:val="24"/>
                <w:highlight w:val="none"/>
                <w:u w:val="none"/>
              </w:rPr>
              <w:t>经CMA或CNAS认证的第三方检测机构出具的检验报告复印件</w:t>
            </w:r>
            <w:r>
              <w:rPr>
                <w:rFonts w:hint="eastAsia" w:ascii="宋体" w:hAnsi="宋体" w:cs="仿宋_GB2312"/>
                <w:b/>
                <w:bCs/>
                <w:color w:val="auto"/>
                <w:sz w:val="24"/>
                <w:highlight w:val="none"/>
                <w:u w:val="none"/>
                <w:lang w:bidi="ar"/>
              </w:rPr>
              <w:t>并加盖</w:t>
            </w:r>
            <w:r>
              <w:rPr>
                <w:rFonts w:hint="eastAsia" w:ascii="宋体" w:hAnsi="宋体" w:cs="仿宋_GB2312"/>
                <w:b/>
                <w:bCs/>
                <w:color w:val="auto"/>
                <w:sz w:val="24"/>
                <w:highlight w:val="none"/>
                <w:u w:val="none"/>
                <w:lang w:val="en-US" w:eastAsia="zh-CN" w:bidi="ar"/>
              </w:rPr>
              <w:t>投标人</w:t>
            </w:r>
            <w:r>
              <w:rPr>
                <w:rFonts w:hint="eastAsia"/>
                <w:b/>
                <w:bCs/>
                <w:color w:val="auto"/>
                <w:sz w:val="24"/>
                <w:szCs w:val="24"/>
                <w:highlight w:val="none"/>
                <w:u w:val="none"/>
                <w:lang w:val="en-US" w:eastAsia="zh-CN"/>
              </w:rPr>
              <w:t>公章</w:t>
            </w:r>
            <w:r>
              <w:rPr>
                <w:rFonts w:hint="eastAsia" w:ascii="宋体" w:hAnsi="宋体"/>
                <w:b/>
                <w:bCs/>
                <w:color w:val="auto"/>
                <w:sz w:val="24"/>
                <w:highlight w:val="none"/>
                <w:u w:val="none"/>
              </w:rPr>
              <w:t>，</w:t>
            </w:r>
            <w:r>
              <w:rPr>
                <w:rFonts w:hint="eastAsia" w:ascii="宋体" w:hAnsi="宋体" w:cs="仿宋_GB2312"/>
                <w:b/>
                <w:bCs/>
                <w:color w:val="auto"/>
                <w:sz w:val="24"/>
                <w:highlight w:val="none"/>
                <w:u w:val="none"/>
                <w:lang w:bidi="ar"/>
              </w:rPr>
              <w:t>执行标准：《GA 886-2018  公安单警装备 伸缩警棍》）</w:t>
            </w:r>
          </w:p>
        </w:tc>
        <w:tc>
          <w:tcPr>
            <w:tcW w:w="1939" w:type="dxa"/>
            <w:vAlign w:val="center"/>
          </w:tcPr>
          <w:p>
            <w:pPr>
              <w:pStyle w:val="20"/>
              <w:tabs>
                <w:tab w:val="left" w:pos="420"/>
                <w:tab w:val="left" w:pos="540"/>
              </w:tabs>
              <w:snapToGrid w:val="0"/>
              <w:spacing w:after="0" w:line="360" w:lineRule="auto"/>
              <w:jc w:val="center"/>
              <w:rPr>
                <w:rFonts w:hAnsi="宋体" w:eastAsia="宋体"/>
                <w:b/>
                <w:color w:val="auto"/>
                <w:sz w:val="24"/>
                <w:szCs w:val="24"/>
                <w:highlight w:val="none"/>
                <w:u w:val="none"/>
              </w:rPr>
            </w:pPr>
            <w:r>
              <w:rPr>
                <w:rFonts w:hAnsi="宋体" w:eastAsia="宋体"/>
                <w:color w:val="auto"/>
                <w:sz w:val="24"/>
                <w:szCs w:val="24"/>
                <w:highlight w:val="none"/>
                <w:u w:val="none"/>
              </w:rPr>
              <w:drawing>
                <wp:inline distT="0" distB="0" distL="114300" distR="114300">
                  <wp:extent cx="858520" cy="330835"/>
                  <wp:effectExtent l="0" t="0" r="17780" b="12065"/>
                  <wp:docPr id="619138246" name="图片 61913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38246" name="图片 619138246"/>
                          <pic:cNvPicPr>
                            <a:picLocks noChangeAspect="1"/>
                          </pic:cNvPicPr>
                        </pic:nvPicPr>
                        <pic:blipFill>
                          <a:blip r:embed="rId22"/>
                          <a:stretch>
                            <a:fillRect/>
                          </a:stretch>
                        </pic:blipFill>
                        <pic:spPr>
                          <a:xfrm>
                            <a:off x="0" y="0"/>
                            <a:ext cx="858520" cy="330835"/>
                          </a:xfrm>
                          <a:prstGeom prst="rect">
                            <a:avLst/>
                          </a:prstGeom>
                          <a:noFill/>
                          <a:ln w="9525">
                            <a:noFill/>
                          </a:ln>
                        </pic:spPr>
                      </pic:pic>
                    </a:graphicData>
                  </a:graphic>
                </wp:inline>
              </w:drawing>
            </w:r>
          </w:p>
        </w:tc>
      </w:tr>
    </w:tbl>
    <w:p>
      <w:pPr>
        <w:pStyle w:val="20"/>
        <w:numPr>
          <w:ilvl w:val="0"/>
          <w:numId w:val="7"/>
        </w:numPr>
        <w:tabs>
          <w:tab w:val="left" w:pos="540"/>
        </w:tabs>
        <w:snapToGrid w:val="0"/>
        <w:spacing w:after="0" w:line="360" w:lineRule="auto"/>
        <w:rPr>
          <w:rFonts w:hAnsi="宋体"/>
          <w:b/>
          <w:color w:val="auto"/>
          <w:sz w:val="24"/>
          <w:szCs w:val="24"/>
          <w:highlight w:val="none"/>
        </w:rPr>
      </w:pPr>
      <w:r>
        <w:rPr>
          <w:rFonts w:hint="eastAsia" w:hAnsi="宋体"/>
          <w:b/>
          <w:color w:val="auto"/>
          <w:sz w:val="24"/>
          <w:szCs w:val="24"/>
          <w:highlight w:val="none"/>
        </w:rPr>
        <w:t>商务要求</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交付的时间和地点</w:t>
      </w:r>
    </w:p>
    <w:p>
      <w:pPr>
        <w:numPr>
          <w:ilvl w:val="0"/>
          <w:numId w:val="11"/>
        </w:numPr>
        <w:tabs>
          <w:tab w:val="clear" w:pos="425"/>
        </w:tabs>
        <w:snapToGrid w:val="0"/>
        <w:spacing w:after="0" w:line="360" w:lineRule="auto"/>
        <w:ind w:left="567" w:hanging="283"/>
        <w:rPr>
          <w:rFonts w:cs="宋体" w:asciiTheme="minorEastAsia" w:hAnsiTheme="minorEastAsia"/>
          <w:color w:val="auto"/>
          <w:sz w:val="24"/>
          <w:highlight w:val="none"/>
          <w:lang w:eastAsia="zh-TW"/>
        </w:rPr>
      </w:pPr>
      <w:r>
        <w:rPr>
          <w:rFonts w:hint="eastAsia" w:cs="宋体" w:asciiTheme="minorEastAsia" w:hAnsiTheme="minorEastAsia"/>
          <w:color w:val="auto"/>
          <w:sz w:val="24"/>
          <w:highlight w:val="none"/>
        </w:rPr>
        <w:t>交付的时间：合同签订后</w:t>
      </w:r>
      <w:r>
        <w:rPr>
          <w:rFonts w:hint="eastAsia" w:cs="宋体" w:asciiTheme="minorEastAsia" w:hAnsiTheme="minorEastAsia"/>
          <w:color w:val="auto"/>
          <w:sz w:val="24"/>
          <w:highlight w:val="none"/>
          <w:u w:val="single"/>
        </w:rPr>
        <w:t>60个</w:t>
      </w:r>
      <w:r>
        <w:rPr>
          <w:rFonts w:hint="eastAsia" w:cs="宋体" w:asciiTheme="minorEastAsia" w:hAnsiTheme="minorEastAsia"/>
          <w:color w:val="auto"/>
          <w:sz w:val="24"/>
          <w:highlight w:val="none"/>
        </w:rPr>
        <w:t>日历日内交货。</w:t>
      </w:r>
    </w:p>
    <w:p>
      <w:pPr>
        <w:numPr>
          <w:ilvl w:val="0"/>
          <w:numId w:val="11"/>
        </w:numPr>
        <w:tabs>
          <w:tab w:val="clear" w:pos="425"/>
        </w:tabs>
        <w:snapToGrid w:val="0"/>
        <w:spacing w:after="0" w:line="360" w:lineRule="auto"/>
        <w:ind w:left="567" w:hanging="283"/>
        <w:rPr>
          <w:rFonts w:ascii="宋体" w:hAnsi="宋体" w:cs="宋体"/>
          <w:color w:val="auto"/>
          <w:szCs w:val="21"/>
          <w:highlight w:val="none"/>
        </w:rPr>
      </w:pPr>
      <w:r>
        <w:rPr>
          <w:rFonts w:hint="eastAsia" w:cs="宋体" w:asciiTheme="minorEastAsia" w:hAnsiTheme="minorEastAsia"/>
          <w:color w:val="auto"/>
          <w:sz w:val="24"/>
          <w:highlight w:val="none"/>
        </w:rPr>
        <w:t>交付的地点：英德市采购人指定地点。</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报价要求说明</w:t>
      </w:r>
    </w:p>
    <w:p>
      <w:pPr>
        <w:numPr>
          <w:ilvl w:val="0"/>
          <w:numId w:val="12"/>
        </w:numPr>
        <w:tabs>
          <w:tab w:val="clear" w:pos="425"/>
        </w:tabs>
        <w:snapToGrid w:val="0"/>
        <w:spacing w:after="0" w:line="360" w:lineRule="auto"/>
        <w:ind w:left="567" w:hanging="283"/>
        <w:rPr>
          <w:color w:val="auto"/>
          <w:sz w:val="24"/>
          <w:highlight w:val="none"/>
        </w:rPr>
      </w:pPr>
      <w:r>
        <w:rPr>
          <w:rFonts w:hint="eastAsia"/>
          <w:color w:val="auto"/>
          <w:sz w:val="24"/>
          <w:highlight w:val="none"/>
        </w:rPr>
        <w:t>投标人根据采购需求，报出总价，报价不能超出单价最高限价、项目预算，否则将按无效报价处理；</w:t>
      </w:r>
    </w:p>
    <w:p>
      <w:pPr>
        <w:numPr>
          <w:ilvl w:val="0"/>
          <w:numId w:val="12"/>
        </w:numPr>
        <w:tabs>
          <w:tab w:val="clear" w:pos="425"/>
        </w:tabs>
        <w:snapToGrid w:val="0"/>
        <w:spacing w:after="0" w:line="360" w:lineRule="auto"/>
        <w:ind w:left="567" w:hanging="283"/>
        <w:rPr>
          <w:color w:val="auto"/>
          <w:sz w:val="24"/>
          <w:highlight w:val="none"/>
        </w:rPr>
      </w:pPr>
      <w:r>
        <w:rPr>
          <w:rFonts w:hint="eastAsia" w:ascii="宋体"/>
          <w:color w:val="auto"/>
          <w:sz w:val="24"/>
          <w:highlight w:val="none"/>
        </w:rPr>
        <w:t>货物需符合实际尺寸、材质规定、安全要求等参数，</w:t>
      </w:r>
      <w:r>
        <w:rPr>
          <w:rFonts w:hint="eastAsia" w:ascii="宋体" w:hAnsi="宋体" w:cs="仿宋_GB2312"/>
          <w:color w:val="auto"/>
          <w:sz w:val="24"/>
          <w:highlight w:val="none"/>
        </w:rPr>
        <w:t>自合同签订后60个日历日内完交货。</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服务方式</w:t>
      </w:r>
    </w:p>
    <w:p>
      <w:pPr>
        <w:numPr>
          <w:ilvl w:val="0"/>
          <w:numId w:val="13"/>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本项目为全承包方式,即投标报价包含人员保险、人工（含餐费）、服务、运输、搬运、杂税费等项目实施所有费用等与本项目相关的一切可预计及未能预计的相关费用；</w:t>
      </w:r>
    </w:p>
    <w:p>
      <w:pPr>
        <w:numPr>
          <w:ilvl w:val="0"/>
          <w:numId w:val="13"/>
        </w:numPr>
        <w:tabs>
          <w:tab w:val="left" w:pos="567"/>
          <w:tab w:val="clear" w:pos="425"/>
        </w:tabs>
        <w:snapToGrid w:val="0"/>
        <w:spacing w:after="0" w:line="360" w:lineRule="auto"/>
        <w:ind w:left="567" w:hanging="283"/>
        <w:rPr>
          <w:color w:val="auto"/>
          <w:sz w:val="24"/>
          <w:highlight w:val="none"/>
        </w:rPr>
      </w:pPr>
      <w:r>
        <w:rPr>
          <w:rFonts w:hint="eastAsia" w:ascii="宋体" w:hAnsi="宋体"/>
          <w:color w:val="auto"/>
          <w:sz w:val="24"/>
          <w:highlight w:val="none"/>
        </w:rPr>
        <w:t>监狱为国家刑罚执行机关，</w:t>
      </w:r>
      <w:r>
        <w:rPr>
          <w:rFonts w:hint="eastAsia" w:ascii="宋体" w:hAnsi="宋体"/>
          <w:color w:val="auto"/>
          <w:sz w:val="24"/>
          <w:highlight w:val="none"/>
          <w:lang w:val="en-US" w:eastAsia="zh-CN"/>
        </w:rPr>
        <w:t>中标人</w:t>
      </w:r>
      <w:r>
        <w:rPr>
          <w:rFonts w:hint="eastAsia" w:ascii="宋体" w:hAnsi="宋体"/>
          <w:color w:val="auto"/>
          <w:sz w:val="24"/>
          <w:highlight w:val="none"/>
        </w:rPr>
        <w:t>及工作人员需对</w:t>
      </w:r>
      <w:r>
        <w:rPr>
          <w:rFonts w:hint="eastAsia" w:ascii="宋体" w:hAnsi="宋体"/>
          <w:color w:val="auto"/>
          <w:sz w:val="24"/>
          <w:highlight w:val="none"/>
          <w:lang w:val="en-US" w:eastAsia="zh-CN"/>
        </w:rPr>
        <w:t>货物供货</w:t>
      </w:r>
      <w:r>
        <w:rPr>
          <w:rFonts w:hint="eastAsia" w:ascii="宋体" w:hAnsi="宋体"/>
          <w:color w:val="auto"/>
          <w:sz w:val="24"/>
          <w:highlight w:val="none"/>
        </w:rPr>
        <w:t>服务过程中了解到的监狱工作内容保密，如有泄露将依法追究相关责任；</w:t>
      </w:r>
    </w:p>
    <w:p>
      <w:pPr>
        <w:numPr>
          <w:ilvl w:val="0"/>
          <w:numId w:val="13"/>
        </w:numPr>
        <w:tabs>
          <w:tab w:val="left" w:pos="567"/>
          <w:tab w:val="clear" w:pos="425"/>
        </w:tabs>
        <w:snapToGrid w:val="0"/>
        <w:spacing w:after="0" w:line="360" w:lineRule="auto"/>
        <w:ind w:left="567" w:hanging="283"/>
        <w:rPr>
          <w:color w:val="auto"/>
          <w:sz w:val="24"/>
          <w:highlight w:val="none"/>
        </w:rPr>
      </w:pPr>
      <w:r>
        <w:rPr>
          <w:rFonts w:hint="eastAsia" w:ascii="宋体" w:hAnsi="宋体"/>
          <w:color w:val="auto"/>
          <w:sz w:val="24"/>
          <w:highlight w:val="none"/>
        </w:rPr>
        <w:t>工作人员进入监管区，不服从管理安排的，未按照相关要求落实的，不允许再进入，造成损失和不良影响的将追究相应责任。</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售后保障</w:t>
      </w:r>
    </w:p>
    <w:p>
      <w:pPr>
        <w:numPr>
          <w:ilvl w:val="0"/>
          <w:numId w:val="14"/>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中标人未按时完成履约行为或</w:t>
      </w:r>
      <w:r>
        <w:rPr>
          <w:rFonts w:hint="eastAsia" w:ascii="宋体" w:hAnsi="宋体"/>
          <w:color w:val="auto"/>
          <w:sz w:val="24"/>
          <w:highlight w:val="none"/>
          <w:lang w:val="en-US" w:eastAsia="zh-CN"/>
        </w:rPr>
        <w:t>货物</w:t>
      </w:r>
      <w:r>
        <w:rPr>
          <w:rFonts w:hint="eastAsia" w:ascii="宋体" w:hAnsi="宋体"/>
          <w:color w:val="auto"/>
          <w:sz w:val="24"/>
          <w:highlight w:val="none"/>
        </w:rPr>
        <w:t>质量达不到要求，经采购人一次提出书面批评意见后，仍无改进，采购人有权终止合同；</w:t>
      </w:r>
    </w:p>
    <w:p>
      <w:pPr>
        <w:numPr>
          <w:ilvl w:val="0"/>
          <w:numId w:val="14"/>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质量保证期，验收合格之日起，不少于2年维修维护，上述费用均包含在本项目投标报价中，采购人不再另行支付。</w:t>
      </w:r>
    </w:p>
    <w:p>
      <w:pPr>
        <w:numPr>
          <w:ilvl w:val="0"/>
          <w:numId w:val="14"/>
        </w:numPr>
        <w:tabs>
          <w:tab w:val="left" w:pos="567"/>
          <w:tab w:val="clear" w:pos="425"/>
        </w:tabs>
        <w:snapToGrid w:val="0"/>
        <w:spacing w:after="0" w:line="360" w:lineRule="auto"/>
        <w:ind w:left="567" w:hanging="283"/>
        <w:rPr>
          <w:rFonts w:ascii="宋体" w:hAnsi="宋体"/>
          <w:color w:val="auto"/>
          <w:sz w:val="24"/>
          <w:highlight w:val="none"/>
        </w:rPr>
      </w:pPr>
      <w:r>
        <w:rPr>
          <w:rFonts w:hint="eastAsia" w:ascii="宋体" w:hAnsi="宋体"/>
          <w:color w:val="auto"/>
          <w:sz w:val="24"/>
          <w:highlight w:val="none"/>
        </w:rPr>
        <w:t>签订合同后5个工作日内，中标人以中标总价的5%作为缴纳履约保证金。中标人履行完成合同约定权利义务事项</w:t>
      </w:r>
      <w:r>
        <w:rPr>
          <w:rFonts w:hint="eastAsia" w:ascii="宋体" w:hAnsi="宋体"/>
          <w:color w:val="auto"/>
          <w:sz w:val="24"/>
          <w:highlight w:val="none"/>
          <w:lang w:eastAsia="zh-CN"/>
        </w:rPr>
        <w:t>后，</w:t>
      </w:r>
      <w:r>
        <w:rPr>
          <w:rFonts w:hint="eastAsia" w:ascii="宋体" w:hAnsi="宋体"/>
          <w:color w:val="auto"/>
          <w:sz w:val="24"/>
          <w:highlight w:val="none"/>
        </w:rPr>
        <w:t>在</w:t>
      </w:r>
      <w:r>
        <w:rPr>
          <w:rFonts w:hint="eastAsia" w:ascii="宋体" w:hAnsi="宋体"/>
          <w:color w:val="auto"/>
          <w:sz w:val="24"/>
          <w:highlight w:val="none"/>
          <w:lang w:eastAsia="zh-CN"/>
        </w:rPr>
        <w:t>采购方收到中标人提请退还履约保证金申请之日起，采购人在</w:t>
      </w:r>
      <w:r>
        <w:rPr>
          <w:rFonts w:hint="eastAsia" w:ascii="宋体" w:hAnsi="宋体"/>
          <w:color w:val="auto"/>
          <w:sz w:val="24"/>
          <w:highlight w:val="none"/>
          <w:lang w:val="en-US" w:eastAsia="zh-CN"/>
        </w:rPr>
        <w:t>30日内无息退还履约保证金。</w:t>
      </w:r>
      <w:r>
        <w:rPr>
          <w:rFonts w:hint="eastAsia" w:ascii="宋体" w:hAnsi="宋体"/>
          <w:color w:val="auto"/>
          <w:sz w:val="24"/>
          <w:highlight w:val="none"/>
        </w:rPr>
        <w:t>如因中标人的原因提前中止合同的，履约保证金将不予退回。（履约保证金以支票、汇票、本票或者金融机构等非现金形式提交</w:t>
      </w:r>
      <w:r>
        <w:rPr>
          <w:rFonts w:hint="eastAsia" w:ascii="宋体" w:hAnsi="宋体"/>
          <w:color w:val="auto"/>
          <w:sz w:val="24"/>
          <w:highlight w:val="none"/>
          <w:lang w:eastAsia="zh-CN"/>
        </w:rPr>
        <w:t>。</w:t>
      </w:r>
      <w:r>
        <w:rPr>
          <w:rFonts w:hint="eastAsia" w:ascii="宋体" w:hAnsi="宋体"/>
          <w:color w:val="auto"/>
          <w:sz w:val="24"/>
          <w:highlight w:val="none"/>
        </w:rPr>
        <w:t>）</w:t>
      </w:r>
    </w:p>
    <w:p>
      <w:pPr>
        <w:numPr>
          <w:ilvl w:val="0"/>
          <w:numId w:val="14"/>
        </w:numPr>
        <w:tabs>
          <w:tab w:val="left" w:pos="567"/>
          <w:tab w:val="clear" w:pos="425"/>
        </w:tabs>
        <w:snapToGrid w:val="0"/>
        <w:spacing w:after="0" w:line="360" w:lineRule="auto"/>
        <w:ind w:left="567" w:hanging="283"/>
        <w:rPr>
          <w:rFonts w:hint="eastAsia" w:ascii="宋体" w:hAnsi="宋体"/>
          <w:color w:val="auto"/>
          <w:sz w:val="24"/>
          <w:highlight w:val="none"/>
        </w:rPr>
      </w:pPr>
      <w:r>
        <w:rPr>
          <w:rFonts w:hint="eastAsia" w:ascii="宋体" w:hAnsi="宋体"/>
          <w:color w:val="auto"/>
          <w:sz w:val="24"/>
          <w:highlight w:val="none"/>
        </w:rPr>
        <w:t>中标人</w:t>
      </w:r>
      <w:r>
        <w:rPr>
          <w:rFonts w:hint="eastAsia" w:ascii="宋体" w:hAnsi="宋体" w:cs="宋体"/>
          <w:color w:val="auto"/>
          <w:sz w:val="24"/>
          <w:highlight w:val="none"/>
          <w:lang w:eastAsia="zh-TW"/>
        </w:rPr>
        <w:t>违反合同及其附件约定的任何义务，采购人有权在履约保证金中直接扣除中标人应向采购人支付的违约金或损失赔偿额，如有不足的，中标人应对超过的部分予以赔偿。</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合同设备验收</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eastAsiaTheme="minorEastAsia"/>
          <w:color w:val="auto"/>
          <w:kern w:val="2"/>
          <w:sz w:val="24"/>
          <w:szCs w:val="22"/>
          <w:highlight w:val="none"/>
        </w:rPr>
        <w:t>全部合同货物到达交货地点</w:t>
      </w:r>
      <w:r>
        <w:rPr>
          <w:rFonts w:hint="eastAsia" w:asciiTheme="minorEastAsia" w:hAnsiTheme="minorEastAsia" w:eastAsiaTheme="minorEastAsia" w:cstheme="minorBidi"/>
          <w:color w:val="auto"/>
          <w:kern w:val="2"/>
          <w:sz w:val="24"/>
          <w:highlight w:val="none"/>
        </w:rPr>
        <w:t>且采购人收到验收申请</w:t>
      </w:r>
      <w:r>
        <w:rPr>
          <w:rFonts w:hint="eastAsia" w:cs="宋体" w:asciiTheme="minorEastAsia" w:hAnsiTheme="minorEastAsia" w:eastAsiaTheme="minorEastAsia"/>
          <w:color w:val="auto"/>
          <w:kern w:val="2"/>
          <w:sz w:val="24"/>
          <w:szCs w:val="22"/>
          <w:highlight w:val="none"/>
        </w:rPr>
        <w:t>后</w:t>
      </w:r>
      <w:r>
        <w:rPr>
          <w:rFonts w:hint="eastAsia" w:cs="宋体" w:asciiTheme="minorEastAsia" w:hAnsiTheme="minorEastAsia" w:eastAsiaTheme="minorEastAsia"/>
          <w:color w:val="auto"/>
          <w:kern w:val="2"/>
          <w:sz w:val="24"/>
          <w:szCs w:val="22"/>
          <w:highlight w:val="none"/>
          <w:u w:val="single"/>
        </w:rPr>
        <w:t>7日</w:t>
      </w:r>
      <w:r>
        <w:rPr>
          <w:rFonts w:hint="eastAsia" w:cs="宋体" w:asciiTheme="minorEastAsia" w:hAnsiTheme="minorEastAsia" w:eastAsiaTheme="minorEastAsia"/>
          <w:color w:val="auto"/>
          <w:kern w:val="2"/>
          <w:sz w:val="24"/>
          <w:szCs w:val="22"/>
          <w:highlight w:val="none"/>
        </w:rPr>
        <w:t>内进行验收。</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设备验收在采购人和中标人双方共同参与下按国家有关的规定、规范进行</w:t>
      </w:r>
      <w:r>
        <w:rPr>
          <w:rFonts w:hint="eastAsia" w:cs="宋体" w:asciiTheme="minorEastAsia" w:hAnsiTheme="minorEastAsia"/>
          <w:color w:val="auto"/>
          <w:sz w:val="24"/>
          <w:highlight w:val="none"/>
        </w:rPr>
        <w:t>；</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验收时如发现所交付的设备有短装、次品、损坏或其它不符合合同规定之情形者，采购人应作出详尽的现场记录，或由采购人、中标人双方签署备忘录。此现场记录或备忘录可用作补充、缺失和更换损坏部件的有效证据。因此产生的有关费用由中标人承担</w:t>
      </w:r>
      <w:r>
        <w:rPr>
          <w:rFonts w:hint="eastAsia" w:cs="宋体" w:asciiTheme="minorEastAsia" w:hAnsiTheme="minorEastAsia"/>
          <w:color w:val="auto"/>
          <w:sz w:val="24"/>
          <w:highlight w:val="none"/>
        </w:rPr>
        <w:t>；</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如果合同设备运输和安装过程中因事故造成货物短缺、损坏，中标人应及时安排补货、换货，以保证合同设备安装的成功完成。换货的相关费用由中标人承担</w:t>
      </w:r>
      <w:r>
        <w:rPr>
          <w:rFonts w:hint="eastAsia" w:cs="宋体" w:asciiTheme="minorEastAsia" w:hAnsiTheme="minorEastAsia"/>
          <w:color w:val="auto"/>
          <w:sz w:val="24"/>
          <w:highlight w:val="none"/>
        </w:rPr>
        <w:t>；</w:t>
      </w:r>
    </w:p>
    <w:p>
      <w:pPr>
        <w:numPr>
          <w:ilvl w:val="0"/>
          <w:numId w:val="15"/>
        </w:numPr>
        <w:tabs>
          <w:tab w:val="left" w:pos="567"/>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中标人保证合同项下提供的设备不侵犯任何第三方的专利、商标或版权。否则，中标人须承担 对第三方的专利或版权的侵权责任并承担因此而发生的所有费用。</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交付验收标准依次序对照适用标准</w:t>
      </w:r>
    </w:p>
    <w:p>
      <w:pPr>
        <w:numPr>
          <w:ilvl w:val="0"/>
          <w:numId w:val="16"/>
        </w:numPr>
        <w:tabs>
          <w:tab w:val="clear" w:pos="425"/>
        </w:tabs>
        <w:autoSpaceDE w:val="0"/>
        <w:autoSpaceDN w:val="0"/>
        <w:snapToGrid w:val="0"/>
        <w:spacing w:after="0" w:line="360" w:lineRule="auto"/>
        <w:ind w:left="567" w:hanging="283"/>
        <w:rPr>
          <w:rFonts w:ascii="宋体" w:hAnsi="宋体"/>
          <w:color w:val="auto"/>
          <w:sz w:val="24"/>
          <w:highlight w:val="none"/>
        </w:rPr>
      </w:pPr>
      <w:r>
        <w:rPr>
          <w:rFonts w:ascii="宋体" w:hAnsi="宋体"/>
          <w:color w:val="auto"/>
          <w:sz w:val="24"/>
          <w:highlight w:val="none"/>
        </w:rPr>
        <w:t>符合中华人民共和国国家安全质量标准、环保标准或行业标准；</w:t>
      </w:r>
    </w:p>
    <w:p>
      <w:pPr>
        <w:numPr>
          <w:ilvl w:val="0"/>
          <w:numId w:val="16"/>
        </w:numPr>
        <w:tabs>
          <w:tab w:val="clear" w:pos="425"/>
        </w:tabs>
        <w:autoSpaceDE w:val="0"/>
        <w:autoSpaceDN w:val="0"/>
        <w:snapToGrid w:val="0"/>
        <w:spacing w:after="0" w:line="360" w:lineRule="auto"/>
        <w:ind w:left="567" w:hanging="283"/>
        <w:rPr>
          <w:rFonts w:ascii="宋体" w:hAnsi="宋体"/>
          <w:color w:val="auto"/>
          <w:sz w:val="24"/>
          <w:highlight w:val="none"/>
        </w:rPr>
      </w:pPr>
      <w:r>
        <w:rPr>
          <w:rFonts w:ascii="宋体" w:hAnsi="宋体"/>
          <w:color w:val="auto"/>
          <w:sz w:val="24"/>
          <w:highlight w:val="none"/>
        </w:rPr>
        <w:t>符合招标文件和响应承诺中采购人认可的合理最佳配置、参数及各项要求；</w:t>
      </w:r>
    </w:p>
    <w:p>
      <w:pPr>
        <w:numPr>
          <w:ilvl w:val="0"/>
          <w:numId w:val="16"/>
        </w:numPr>
        <w:tabs>
          <w:tab w:val="clear" w:pos="425"/>
        </w:tabs>
        <w:autoSpaceDE w:val="0"/>
        <w:autoSpaceDN w:val="0"/>
        <w:snapToGrid w:val="0"/>
        <w:spacing w:after="0" w:line="360" w:lineRule="auto"/>
        <w:ind w:left="567" w:hanging="283"/>
        <w:rPr>
          <w:rFonts w:ascii="宋体" w:hAnsi="宋体"/>
          <w:color w:val="auto"/>
          <w:sz w:val="24"/>
          <w:highlight w:val="none"/>
        </w:rPr>
      </w:pPr>
      <w:r>
        <w:rPr>
          <w:rFonts w:ascii="宋体" w:hAnsi="宋体"/>
          <w:color w:val="auto"/>
          <w:sz w:val="24"/>
          <w:highlight w:val="none"/>
        </w:rPr>
        <w:t>货物来源国官方标准。</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lang w:val="en-US" w:eastAsia="zh-CN"/>
        </w:rPr>
        <w:t>货物</w:t>
      </w:r>
      <w:r>
        <w:rPr>
          <w:rFonts w:hint="eastAsia" w:asciiTheme="minorHAnsi" w:hAnsiTheme="minorHAnsi" w:eastAsiaTheme="minorEastAsia" w:cstheme="minorBidi"/>
          <w:b/>
          <w:bCs/>
          <w:color w:val="auto"/>
          <w:kern w:val="2"/>
          <w:sz w:val="24"/>
          <w:highlight w:val="none"/>
        </w:rPr>
        <w:t>要求</w:t>
      </w:r>
    </w:p>
    <w:p>
      <w:pPr>
        <w:numPr>
          <w:ilvl w:val="0"/>
          <w:numId w:val="17"/>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货物为原制造商制造的全新产品，整机无污染，无侵权行为、表面无划损、无任何缺陷隐患，在中国境内可依常规安全合法使用。</w:t>
      </w:r>
    </w:p>
    <w:p>
      <w:pPr>
        <w:numPr>
          <w:ilvl w:val="0"/>
          <w:numId w:val="17"/>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货物为原厂商未启封全新包装，具出厂合格证，序列号、包装箱号与出厂批号一致，并可追索查阅。</w:t>
      </w:r>
    </w:p>
    <w:p>
      <w:pPr>
        <w:numPr>
          <w:ilvl w:val="0"/>
          <w:numId w:val="17"/>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cs="宋体" w:asciiTheme="minorEastAsia" w:hAnsiTheme="minorEastAsia"/>
          <w:color w:val="auto"/>
          <w:sz w:val="24"/>
          <w:highlight w:val="none"/>
        </w:rPr>
        <w:t>有关键主机设备的用户手册、保修手册、有关单证资料及配备件、随机工具等，使用操作及安全 须知等重要资料应附有中文说明。</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包装和运输</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中标人应提供运至交付地点所需要的包装，包装应符合经济、牢固、美观的要求，采取防潮、防晒、防锈、防振及防止其它损坏的必要措施，以防止货物在运转中损坏或变质。</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包装必须要符合相关法律、法规的要求，包括与环境、职业健康和安全有关的法律、法规标准。</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运输包装应根据产品的特点及国家相关标准标注有相应的运输标志。</w:t>
      </w:r>
    </w:p>
    <w:p>
      <w:pPr>
        <w:numPr>
          <w:ilvl w:val="0"/>
          <w:numId w:val="18"/>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中标人负责将货物运输并卸载到采购人指定地点。</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售后服务</w:t>
      </w:r>
    </w:p>
    <w:p>
      <w:pPr>
        <w:numPr>
          <w:ilvl w:val="0"/>
          <w:numId w:val="19"/>
        </w:numPr>
        <w:tabs>
          <w:tab w:val="left" w:pos="567"/>
          <w:tab w:val="clear" w:pos="425"/>
        </w:tabs>
        <w:snapToGrid w:val="0"/>
        <w:spacing w:after="0" w:line="360" w:lineRule="auto"/>
        <w:ind w:left="567" w:hanging="283"/>
        <w:rPr>
          <w:rFonts w:cs="宋体" w:asciiTheme="minorEastAsia" w:hAnsiTheme="minorEastAsia"/>
          <w:color w:val="auto"/>
          <w:sz w:val="24"/>
          <w:highlight w:val="none"/>
        </w:rPr>
      </w:pPr>
      <w:r>
        <w:rPr>
          <w:rFonts w:hint="eastAsia" w:cs="宋体" w:asciiTheme="minorEastAsia" w:hAnsiTheme="minorEastAsia"/>
          <w:color w:val="auto"/>
          <w:sz w:val="24"/>
          <w:highlight w:val="none"/>
        </w:rPr>
        <w:t>保修期</w:t>
      </w:r>
    </w:p>
    <w:p>
      <w:pPr>
        <w:pStyle w:val="85"/>
        <w:numPr>
          <w:ilvl w:val="0"/>
          <w:numId w:val="20"/>
        </w:numPr>
        <w:tabs>
          <w:tab w:val="left" w:pos="567"/>
        </w:tabs>
        <w:snapToGrid w:val="0"/>
        <w:spacing w:after="0" w:line="360" w:lineRule="auto"/>
        <w:ind w:left="200" w:leftChars="100" w:firstLine="0" w:firstLineChars="0"/>
        <w:rPr>
          <w:rFonts w:cs="宋体" w:asciiTheme="minorEastAsia" w:hAnsiTheme="minorEastAsia"/>
          <w:color w:val="auto"/>
          <w:sz w:val="24"/>
          <w:highlight w:val="none"/>
        </w:rPr>
      </w:pPr>
      <w:r>
        <w:rPr>
          <w:rFonts w:hint="eastAsia" w:cs="宋体" w:asciiTheme="minorEastAsia" w:hAnsiTheme="minorEastAsia"/>
          <w:color w:val="auto"/>
          <w:sz w:val="24"/>
          <w:highlight w:val="none"/>
        </w:rPr>
        <w:t>质量保修范围：由于材料、工艺等问题而导致的产品功能失效、性能下降等缺陷(属于自然力或战争等不可抗拒力、人为因素等造成的除外)。</w:t>
      </w:r>
    </w:p>
    <w:p>
      <w:pPr>
        <w:pStyle w:val="85"/>
        <w:numPr>
          <w:ilvl w:val="0"/>
          <w:numId w:val="20"/>
        </w:numPr>
        <w:tabs>
          <w:tab w:val="left" w:pos="567"/>
        </w:tabs>
        <w:snapToGrid w:val="0"/>
        <w:spacing w:after="0" w:line="360" w:lineRule="auto"/>
        <w:ind w:left="200" w:leftChars="100" w:firstLine="0" w:firstLineChars="0"/>
        <w:rPr>
          <w:rFonts w:ascii="宋体" w:hAnsi="宋体"/>
          <w:color w:val="auto"/>
          <w:sz w:val="24"/>
          <w:highlight w:val="none"/>
        </w:rPr>
      </w:pPr>
      <w:r>
        <w:rPr>
          <w:rFonts w:hint="eastAsia" w:ascii="宋体" w:hAnsi="宋体" w:cs="仿宋_GB2312"/>
          <w:color w:val="auto"/>
          <w:sz w:val="24"/>
          <w:highlight w:val="none"/>
        </w:rPr>
        <w:t>保修期</w:t>
      </w:r>
      <w:r>
        <w:rPr>
          <w:rFonts w:hint="eastAsia" w:ascii="宋体" w:hAnsi="宋体"/>
          <w:color w:val="auto"/>
          <w:sz w:val="24"/>
          <w:highlight w:val="none"/>
        </w:rPr>
        <w:t>为不少于</w:t>
      </w:r>
      <w:r>
        <w:rPr>
          <w:rFonts w:ascii="宋体" w:hAnsi="宋体"/>
          <w:color w:val="auto"/>
          <w:sz w:val="24"/>
          <w:highlight w:val="none"/>
          <w:u w:val="single"/>
        </w:rPr>
        <w:t>2</w:t>
      </w:r>
      <w:r>
        <w:rPr>
          <w:rFonts w:hint="eastAsia" w:ascii="宋体" w:hAnsi="宋体"/>
          <w:color w:val="auto"/>
          <w:sz w:val="24"/>
          <w:highlight w:val="none"/>
        </w:rPr>
        <w:t>年，保修</w:t>
      </w:r>
      <w:r>
        <w:rPr>
          <w:rFonts w:hint="eastAsia" w:ascii="宋体" w:hAnsi="宋体" w:cs="宋体"/>
          <w:color w:val="auto"/>
          <w:sz w:val="24"/>
          <w:highlight w:val="none"/>
        </w:rPr>
        <w:t>期自货物最终验收</w:t>
      </w:r>
      <w:r>
        <w:rPr>
          <w:rFonts w:hint="eastAsia" w:ascii="宋体" w:hAnsi="宋体" w:cs="宋体"/>
          <w:color w:val="auto"/>
          <w:sz w:val="24"/>
          <w:highlight w:val="none"/>
          <w:lang w:eastAsia="zh-CN"/>
        </w:rPr>
        <w:t>之日起算</w:t>
      </w:r>
      <w:r>
        <w:rPr>
          <w:rFonts w:hint="eastAsia" w:ascii="宋体" w:hAnsi="宋体" w:cs="宋体"/>
          <w:color w:val="auto"/>
          <w:sz w:val="24"/>
          <w:highlight w:val="none"/>
        </w:rPr>
        <w:t>。</w:t>
      </w:r>
    </w:p>
    <w:p>
      <w:pPr>
        <w:numPr>
          <w:ilvl w:val="1"/>
          <w:numId w:val="10"/>
        </w:numPr>
        <w:adjustRightInd/>
        <w:snapToGrid w:val="0"/>
        <w:spacing w:after="0" w:line="360" w:lineRule="auto"/>
        <w:ind w:left="709"/>
        <w:textAlignment w:val="auto"/>
        <w:rPr>
          <w:rFonts w:asciiTheme="minorHAnsi" w:hAnsiTheme="minorHAnsi" w:eastAsiaTheme="minorEastAsia" w:cstheme="minorBidi"/>
          <w:b/>
          <w:bCs/>
          <w:color w:val="auto"/>
          <w:kern w:val="2"/>
          <w:sz w:val="24"/>
          <w:highlight w:val="none"/>
        </w:rPr>
      </w:pPr>
      <w:r>
        <w:rPr>
          <w:rFonts w:hint="eastAsia" w:asciiTheme="minorHAnsi" w:hAnsiTheme="minorHAnsi" w:eastAsiaTheme="minorEastAsia" w:cstheme="minorBidi"/>
          <w:b/>
          <w:bCs/>
          <w:color w:val="auto"/>
          <w:kern w:val="2"/>
          <w:sz w:val="24"/>
          <w:highlight w:val="none"/>
        </w:rPr>
        <w:t xml:space="preserve">保险 </w:t>
      </w:r>
    </w:p>
    <w:p>
      <w:pPr>
        <w:adjustRightInd/>
        <w:snapToGrid w:val="0"/>
        <w:spacing w:after="0" w:line="360" w:lineRule="auto"/>
        <w:ind w:firstLine="424" w:firstLineChars="177"/>
        <w:textAlignment w:val="auto"/>
        <w:rPr>
          <w:rFonts w:asciiTheme="minorHAnsi" w:hAnsiTheme="minorHAnsi" w:eastAsiaTheme="minorEastAsia" w:cstheme="minorBidi"/>
          <w:color w:val="auto"/>
          <w:kern w:val="2"/>
          <w:sz w:val="24"/>
          <w:highlight w:val="none"/>
        </w:rPr>
      </w:pPr>
      <w:r>
        <w:rPr>
          <w:rFonts w:hint="eastAsia" w:asciiTheme="minorHAnsi" w:hAnsiTheme="minorHAnsi" w:eastAsiaTheme="minorEastAsia" w:cstheme="minorBidi"/>
          <w:color w:val="auto"/>
          <w:kern w:val="2"/>
          <w:sz w:val="24"/>
          <w:highlight w:val="none"/>
        </w:rPr>
        <w:t>货物交付运输前，采购人已经支付部分或全部款项的，中标人应当办理以采购人为受益人的货物“一切险”，投保金额不少于采购人已经支付款项总额，保险保至项目最终交货地点。</w:t>
      </w:r>
    </w:p>
    <w:p>
      <w:pPr>
        <w:numPr>
          <w:ilvl w:val="1"/>
          <w:numId w:val="10"/>
        </w:numPr>
        <w:adjustRightInd/>
        <w:snapToGrid w:val="0"/>
        <w:spacing w:after="0" w:line="360" w:lineRule="auto"/>
        <w:ind w:left="709"/>
        <w:textAlignment w:val="auto"/>
        <w:rPr>
          <w:rFonts w:ascii="宋体" w:hAnsi="宋体"/>
          <w:b/>
          <w:bCs/>
          <w:color w:val="auto"/>
          <w:sz w:val="24"/>
          <w:highlight w:val="none"/>
        </w:rPr>
      </w:pPr>
      <w:r>
        <w:rPr>
          <w:rFonts w:hint="eastAsia" w:ascii="宋体" w:hAnsi="宋体"/>
          <w:b/>
          <w:bCs/>
          <w:color w:val="auto"/>
          <w:sz w:val="24"/>
          <w:highlight w:val="none"/>
        </w:rPr>
        <w:t>付款及结算方式</w:t>
      </w:r>
    </w:p>
    <w:p>
      <w:pPr>
        <w:numPr>
          <w:ilvl w:val="0"/>
          <w:numId w:val="21"/>
        </w:numPr>
        <w:tabs>
          <w:tab w:val="left" w:pos="567"/>
          <w:tab w:val="clear" w:pos="425"/>
        </w:tabs>
        <w:snapToGrid w:val="0"/>
        <w:spacing w:after="0" w:line="360" w:lineRule="auto"/>
        <w:ind w:left="567" w:hanging="283"/>
        <w:rPr>
          <w:rFonts w:ascii="宋体" w:hAnsi="宋体" w:cs="宋体"/>
          <w:color w:val="auto"/>
          <w:sz w:val="24"/>
          <w:highlight w:val="none"/>
        </w:rPr>
      </w:pPr>
      <w:r>
        <w:rPr>
          <w:rFonts w:hint="eastAsia" w:ascii="宋体" w:hAnsi="宋体" w:cs="宋体"/>
          <w:color w:val="auto"/>
          <w:sz w:val="24"/>
          <w:highlight w:val="none"/>
        </w:rPr>
        <w:t>全部合同货物到达交货地点，并安装调试且验收合格后，凭验收合格单或验收合格报告，采购人自收到发票之日起</w:t>
      </w:r>
      <w:r>
        <w:rPr>
          <w:rFonts w:hint="eastAsia" w:ascii="宋体" w:hAnsi="宋体" w:cs="宋体"/>
          <w:color w:val="auto"/>
          <w:sz w:val="24"/>
          <w:highlight w:val="none"/>
          <w:u w:val="single"/>
        </w:rPr>
        <w:t>30</w:t>
      </w:r>
      <w:r>
        <w:rPr>
          <w:rFonts w:hint="eastAsia" w:ascii="宋体" w:hAnsi="宋体" w:cs="宋体"/>
          <w:color w:val="auto"/>
          <w:sz w:val="24"/>
          <w:highlight w:val="none"/>
          <w:u w:val="single"/>
          <w:lang w:eastAsia="zh-TW"/>
        </w:rPr>
        <w:t>日</w:t>
      </w:r>
      <w:r>
        <w:rPr>
          <w:rFonts w:hint="eastAsia" w:ascii="宋体" w:hAnsi="宋体" w:cs="宋体"/>
          <w:color w:val="auto"/>
          <w:sz w:val="24"/>
          <w:highlight w:val="none"/>
        </w:rPr>
        <w:t>内向中标人支付合同总价的</w:t>
      </w:r>
      <w:r>
        <w:rPr>
          <w:rFonts w:hint="eastAsia" w:ascii="宋体" w:hAnsi="宋体" w:cs="宋体"/>
          <w:color w:val="auto"/>
          <w:sz w:val="24"/>
          <w:highlight w:val="none"/>
          <w:u w:val="single"/>
          <w:lang w:val="en-US" w:eastAsia="zh-CN"/>
        </w:rPr>
        <w:t>100</w:t>
      </w:r>
      <w:r>
        <w:rPr>
          <w:rFonts w:hint="eastAsia" w:ascii="宋体" w:hAnsi="宋体" w:cs="宋体"/>
          <w:color w:val="auto"/>
          <w:sz w:val="24"/>
          <w:highlight w:val="none"/>
        </w:rPr>
        <w:t>%。</w:t>
      </w:r>
    </w:p>
    <w:p>
      <w:pPr>
        <w:numPr>
          <w:ilvl w:val="0"/>
          <w:numId w:val="21"/>
        </w:numPr>
        <w:tabs>
          <w:tab w:val="left" w:pos="567"/>
          <w:tab w:val="clear" w:pos="425"/>
        </w:tabs>
        <w:snapToGrid w:val="0"/>
        <w:spacing w:after="0" w:line="360" w:lineRule="auto"/>
        <w:ind w:left="567" w:hanging="283"/>
        <w:rPr>
          <w:rFonts w:ascii="宋体" w:hAnsi="宋体" w:cs="宋体"/>
          <w:color w:val="auto"/>
          <w:sz w:val="24"/>
          <w:highlight w:val="none"/>
        </w:rPr>
      </w:pPr>
      <w:r>
        <w:rPr>
          <w:rFonts w:hint="eastAsia" w:ascii="宋体" w:hAnsi="宋体" w:cs="宋体"/>
          <w:color w:val="auto"/>
          <w:sz w:val="24"/>
          <w:highlight w:val="none"/>
        </w:rPr>
        <w:t>每次</w:t>
      </w:r>
      <w:r>
        <w:rPr>
          <w:rFonts w:hint="eastAsia" w:ascii="宋体" w:hAnsi="宋体" w:cs="宋体"/>
          <w:color w:val="auto"/>
          <w:sz w:val="24"/>
          <w:highlight w:val="none"/>
          <w:lang w:eastAsia="zh-TW"/>
        </w:rPr>
        <w:t>按合同支付款项前，中标人</w:t>
      </w:r>
      <w:r>
        <w:rPr>
          <w:rFonts w:hint="eastAsia" w:ascii="宋体" w:hAnsi="宋体" w:cs="宋体"/>
          <w:color w:val="auto"/>
          <w:sz w:val="24"/>
          <w:highlight w:val="none"/>
        </w:rPr>
        <w:t>应</w:t>
      </w:r>
      <w:r>
        <w:rPr>
          <w:rFonts w:hint="eastAsia" w:ascii="宋体" w:hAnsi="宋体" w:cs="宋体"/>
          <w:color w:val="auto"/>
          <w:sz w:val="24"/>
          <w:highlight w:val="none"/>
          <w:lang w:eastAsia="zh-TW"/>
        </w:rPr>
        <w:t>向采购人提供与支付金额相符的有效发票，且收款方、出具发票方、合同乙方均必须与中标人名称一致；</w:t>
      </w:r>
    </w:p>
    <w:p>
      <w:pPr>
        <w:numPr>
          <w:ilvl w:val="0"/>
          <w:numId w:val="21"/>
        </w:numPr>
        <w:tabs>
          <w:tab w:val="left" w:pos="567"/>
          <w:tab w:val="clear" w:pos="425"/>
        </w:tabs>
        <w:snapToGrid w:val="0"/>
        <w:spacing w:after="0" w:line="360" w:lineRule="auto"/>
        <w:ind w:left="567" w:hanging="283"/>
        <w:rPr>
          <w:rFonts w:ascii="宋体" w:hAnsi="宋体" w:cs="宋体"/>
          <w:color w:val="auto"/>
          <w:sz w:val="24"/>
          <w:highlight w:val="none"/>
        </w:rPr>
      </w:pPr>
      <w:r>
        <w:rPr>
          <w:rFonts w:hint="eastAsia" w:ascii="宋体" w:hAnsi="宋体" w:cs="宋体"/>
          <w:color w:val="auto"/>
          <w:sz w:val="24"/>
          <w:highlight w:val="none"/>
        </w:rPr>
        <w:t>付款方式：采用支票、银行汇票、电汇三种形式。</w:t>
      </w:r>
    </w:p>
    <w:p>
      <w:pPr>
        <w:numPr>
          <w:ilvl w:val="0"/>
          <w:numId w:val="21"/>
        </w:numPr>
        <w:tabs>
          <w:tab w:val="left" w:pos="567"/>
          <w:tab w:val="clear" w:pos="425"/>
        </w:tabs>
        <w:snapToGrid w:val="0"/>
        <w:spacing w:after="0" w:line="360" w:lineRule="auto"/>
        <w:ind w:left="567" w:hanging="283"/>
        <w:rPr>
          <w:rFonts w:hint="eastAsia" w:ascii="宋体" w:hAnsi="宋体" w:cs="宋体"/>
          <w:color w:val="auto"/>
          <w:sz w:val="24"/>
          <w:highlight w:val="none"/>
        </w:rPr>
      </w:pPr>
      <w:r>
        <w:rPr>
          <w:rFonts w:hint="eastAsia" w:ascii="宋体" w:hAnsi="宋体" w:cs="宋体"/>
          <w:color w:val="auto"/>
          <w:sz w:val="24"/>
          <w:highlight w:val="none"/>
        </w:rPr>
        <w:t>违约责任：</w:t>
      </w:r>
      <w:r>
        <w:rPr>
          <w:rFonts w:hint="eastAsia" w:ascii="宋体" w:hAnsi="宋体" w:cs="宋体"/>
          <w:color w:val="auto"/>
          <w:sz w:val="24"/>
          <w:highlight w:val="none"/>
          <w:lang w:eastAsia="zh-TW"/>
        </w:rPr>
        <w:t>采购人逾期</w:t>
      </w:r>
      <w:r>
        <w:rPr>
          <w:rFonts w:hint="eastAsia" w:ascii="宋体" w:hAnsi="宋体" w:cs="宋体"/>
          <w:color w:val="auto"/>
          <w:sz w:val="24"/>
          <w:highlight w:val="none"/>
        </w:rPr>
        <w:t>支付合同款项</w:t>
      </w:r>
      <w:r>
        <w:rPr>
          <w:rFonts w:hint="eastAsia" w:ascii="宋体" w:hAnsi="宋体" w:cs="宋体"/>
          <w:color w:val="auto"/>
          <w:sz w:val="24"/>
          <w:highlight w:val="none"/>
          <w:lang w:eastAsia="zh-TW"/>
        </w:rPr>
        <w:t>的，除应当</w:t>
      </w:r>
      <w:r>
        <w:rPr>
          <w:rFonts w:hint="eastAsia" w:ascii="宋体" w:hAnsi="宋体" w:cs="宋体"/>
          <w:color w:val="auto"/>
          <w:sz w:val="24"/>
          <w:highlight w:val="none"/>
        </w:rPr>
        <w:t>支付合同款项</w:t>
      </w:r>
      <w:r>
        <w:rPr>
          <w:rFonts w:hint="eastAsia" w:ascii="宋体" w:hAnsi="宋体" w:cs="宋体"/>
          <w:color w:val="auto"/>
          <w:sz w:val="24"/>
          <w:highlight w:val="none"/>
          <w:lang w:eastAsia="zh-TW"/>
        </w:rPr>
        <w:t>外，还应当每日按合同总价的</w:t>
      </w:r>
      <w:r>
        <w:rPr>
          <w:rFonts w:hint="eastAsia" w:ascii="宋体" w:hAnsi="宋体" w:cs="宋体"/>
          <w:color w:val="auto"/>
          <w:sz w:val="24"/>
          <w:highlight w:val="none"/>
          <w:u w:val="single"/>
          <w:lang w:eastAsia="zh-TW"/>
        </w:rPr>
        <w:t>3‰</w:t>
      </w:r>
      <w:r>
        <w:rPr>
          <w:rFonts w:hint="eastAsia" w:ascii="宋体" w:hAnsi="宋体" w:cs="宋体"/>
          <w:color w:val="auto"/>
          <w:sz w:val="24"/>
          <w:highlight w:val="none"/>
          <w:lang w:eastAsia="zh-TW"/>
        </w:rPr>
        <w:t>向</w:t>
      </w:r>
      <w:r>
        <w:rPr>
          <w:rFonts w:hint="eastAsia" w:ascii="宋体" w:hAnsi="宋体" w:cs="宋体"/>
          <w:color w:val="auto"/>
          <w:sz w:val="24"/>
          <w:highlight w:val="none"/>
        </w:rPr>
        <w:t>中标人</w:t>
      </w:r>
      <w:r>
        <w:rPr>
          <w:rFonts w:hint="eastAsia" w:ascii="宋体" w:hAnsi="宋体" w:cs="宋体"/>
          <w:color w:val="auto"/>
          <w:sz w:val="24"/>
          <w:highlight w:val="none"/>
          <w:lang w:eastAsia="zh-TW"/>
        </w:rPr>
        <w:t>偿付违约金，但因中标人自身原因导致无法及时</w:t>
      </w:r>
      <w:r>
        <w:rPr>
          <w:rFonts w:hint="eastAsia" w:ascii="宋体" w:hAnsi="宋体" w:cs="宋体"/>
          <w:color w:val="auto"/>
          <w:sz w:val="24"/>
          <w:highlight w:val="none"/>
        </w:rPr>
        <w:t>支付</w:t>
      </w:r>
      <w:r>
        <w:rPr>
          <w:rFonts w:hint="eastAsia" w:ascii="宋体" w:hAnsi="宋体" w:cs="宋体"/>
          <w:color w:val="auto"/>
          <w:sz w:val="24"/>
          <w:highlight w:val="none"/>
          <w:lang w:eastAsia="zh-TW"/>
        </w:rPr>
        <w:t>的除外。</w:t>
      </w:r>
    </w:p>
    <w:p>
      <w:pPr>
        <w:snapToGrid w:val="0"/>
        <w:spacing w:after="0" w:line="360" w:lineRule="auto"/>
        <w:outlineLvl w:val="9"/>
        <w:rPr>
          <w:rFonts w:ascii="宋体" w:hAnsi="宋体" w:cs="宋体"/>
          <w:color w:val="auto"/>
          <w:sz w:val="28"/>
          <w:szCs w:val="28"/>
          <w:highlight w:val="none"/>
        </w:rPr>
      </w:pPr>
      <w:r>
        <w:rPr>
          <w:rFonts w:ascii="宋体" w:hAnsi="宋体" w:cs="宋体"/>
          <w:color w:val="auto"/>
          <w:sz w:val="28"/>
          <w:szCs w:val="28"/>
          <w:highlight w:val="none"/>
        </w:rPr>
        <w:br w:type="page"/>
      </w:r>
    </w:p>
    <w:p>
      <w:pPr>
        <w:snapToGrid w:val="0"/>
        <w:spacing w:after="0" w:line="360" w:lineRule="auto"/>
        <w:jc w:val="center"/>
        <w:outlineLvl w:val="0"/>
        <w:rPr>
          <w:b/>
          <w:bCs/>
          <w:color w:val="auto"/>
          <w:sz w:val="28"/>
          <w:szCs w:val="28"/>
          <w:highlight w:val="none"/>
        </w:rPr>
      </w:pPr>
      <w:bookmarkStart w:id="4" w:name="_Toc153184831"/>
      <w:bookmarkStart w:id="5" w:name="_Toc29040"/>
      <w:r>
        <w:rPr>
          <w:rFonts w:hint="eastAsia"/>
          <w:b/>
          <w:bCs/>
          <w:color w:val="auto"/>
          <w:sz w:val="28"/>
          <w:szCs w:val="28"/>
          <w:highlight w:val="none"/>
        </w:rPr>
        <w:t>第三章 评标方法和标准</w:t>
      </w:r>
      <w:bookmarkEnd w:id="4"/>
      <w:bookmarkEnd w:id="5"/>
    </w:p>
    <w:p>
      <w:pPr>
        <w:pStyle w:val="85"/>
        <w:numPr>
          <w:ilvl w:val="0"/>
          <w:numId w:val="22"/>
        </w:numPr>
        <w:tabs>
          <w:tab w:val="left" w:pos="420"/>
          <w:tab w:val="left" w:pos="630"/>
        </w:tabs>
        <w:autoSpaceDE w:val="0"/>
        <w:autoSpaceDN w:val="0"/>
        <w:snapToGrid w:val="0"/>
        <w:spacing w:after="0" w:line="360" w:lineRule="auto"/>
        <w:ind w:firstLineChars="0"/>
        <w:rPr>
          <w:rFonts w:ascii="宋体" w:hAnsi="宋体"/>
          <w:b/>
          <w:color w:val="auto"/>
          <w:sz w:val="24"/>
          <w:highlight w:val="none"/>
        </w:rPr>
      </w:pPr>
      <w:r>
        <w:rPr>
          <w:rFonts w:hint="eastAsia" w:ascii="宋体" w:hAnsi="宋体"/>
          <w:b/>
          <w:color w:val="auto"/>
          <w:sz w:val="24"/>
          <w:highlight w:val="none"/>
        </w:rPr>
        <w:t>说明：</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color w:val="auto"/>
          <w:sz w:val="24"/>
          <w:highlight w:val="none"/>
        </w:rPr>
      </w:pPr>
      <w:r>
        <w:rPr>
          <w:rFonts w:hint="eastAsia" w:ascii="宋体" w:hAnsi="宋体"/>
          <w:color w:val="auto"/>
          <w:sz w:val="24"/>
          <w:highlight w:val="none"/>
        </w:rPr>
        <w:t>投标人必须严格按照《资格性审查表》、《符合性审查表》的评审内容的要求如实提供证明材料并应加盖投标人公章，若投标人不满足《资格性审查表》、《符合性审查表》中任何情形之一的，则其投标无效。</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strike/>
          <w:color w:val="auto"/>
          <w:sz w:val="24"/>
          <w:highlight w:val="none"/>
        </w:rPr>
      </w:pPr>
      <w:r>
        <w:rPr>
          <w:rFonts w:hint="eastAsia" w:ascii="宋体" w:hAnsi="宋体"/>
          <w:color w:val="auto"/>
          <w:sz w:val="24"/>
          <w:highlight w:val="none"/>
        </w:rPr>
        <w:t>资格性、符合性审查内容详见《资格性审查表》、《符合性审查表》。</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color w:val="auto"/>
          <w:sz w:val="24"/>
          <w:highlight w:val="none"/>
        </w:rPr>
      </w:pPr>
      <w:r>
        <w:rPr>
          <w:rFonts w:hint="eastAsia" w:ascii="宋体" w:hAnsi="宋体"/>
          <w:color w:val="auto"/>
          <w:sz w:val="24"/>
          <w:highlight w:val="none"/>
        </w:rPr>
        <w:t>技术、商务评分：评标委员会各成员分值的算术平均值（四舍五入后，小数点后保留两位有效数）。</w:t>
      </w:r>
    </w:p>
    <w:p>
      <w:pPr>
        <w:pStyle w:val="85"/>
        <w:numPr>
          <w:ilvl w:val="0"/>
          <w:numId w:val="23"/>
        </w:numPr>
        <w:tabs>
          <w:tab w:val="left" w:pos="630"/>
        </w:tabs>
        <w:autoSpaceDE w:val="0"/>
        <w:autoSpaceDN w:val="0"/>
        <w:snapToGrid w:val="0"/>
        <w:spacing w:after="0" w:line="360" w:lineRule="auto"/>
        <w:ind w:left="567" w:hanging="567" w:firstLineChars="0"/>
        <w:rPr>
          <w:rFonts w:ascii="宋体" w:hAnsi="宋体"/>
          <w:color w:val="auto"/>
          <w:sz w:val="24"/>
          <w:highlight w:val="none"/>
        </w:rPr>
      </w:pPr>
      <w:r>
        <w:rPr>
          <w:rFonts w:hint="eastAsia" w:ascii="宋体" w:hAnsi="宋体"/>
          <w:color w:val="auto"/>
          <w:sz w:val="24"/>
          <w:highlight w:val="none"/>
        </w:rPr>
        <w:t>投标人应如实提交《综合评分表》要求提交的相关各类证明、资料等并应加盖投标人公章，投标人如未按要求提交的，该项评分为零分。</w:t>
      </w:r>
    </w:p>
    <w:p>
      <w:pPr>
        <w:snapToGrid w:val="0"/>
        <w:spacing w:after="0" w:line="360" w:lineRule="auto"/>
        <w:rPr>
          <w:rFonts w:cs="宋体" w:asciiTheme="minorEastAsia" w:hAnsiTheme="minorEastAsia" w:eastAsiaTheme="minorEastAsia"/>
          <w:color w:val="auto"/>
          <w:sz w:val="24"/>
          <w:highlight w:val="none"/>
          <w:lang w:eastAsia="zh-TW"/>
        </w:rPr>
      </w:pPr>
    </w:p>
    <w:p>
      <w:pPr>
        <w:widowControl/>
        <w:spacing w:after="0"/>
        <w:jc w:val="left"/>
        <w:rPr>
          <w:rFonts w:ascii="黑体" w:hAnsi="宋体" w:eastAsia="黑体" w:cs="宋体"/>
          <w:color w:val="auto"/>
          <w:sz w:val="28"/>
          <w:szCs w:val="28"/>
          <w:highlight w:val="none"/>
        </w:rPr>
      </w:pPr>
      <w:r>
        <w:rPr>
          <w:rFonts w:ascii="黑体" w:hAnsi="宋体" w:eastAsia="黑体" w:cs="宋体"/>
          <w:color w:val="auto"/>
          <w:sz w:val="28"/>
          <w:szCs w:val="28"/>
          <w:highlight w:val="none"/>
        </w:rPr>
        <w:br w:type="page"/>
      </w:r>
    </w:p>
    <w:p>
      <w:pPr>
        <w:snapToGrid w:val="0"/>
        <w:spacing w:before="156" w:beforeLines="50" w:after="0" w:line="360" w:lineRule="auto"/>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资格性审查表</w:t>
      </w:r>
    </w:p>
    <w:tbl>
      <w:tblPr>
        <w:tblStyle w:val="38"/>
        <w:tblW w:w="95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8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1106" w:type="dxa"/>
            <w:vAlign w:val="center"/>
          </w:tcPr>
          <w:p>
            <w:pPr>
              <w:snapToGrid w:val="0"/>
              <w:spacing w:after="0"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8462" w:type="dxa"/>
            <w:vAlign w:val="center"/>
          </w:tcPr>
          <w:p>
            <w:pPr>
              <w:snapToGrid w:val="0"/>
              <w:spacing w:after="0"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(一)</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1.</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提供2022年度财务状况报告或2023年以来任意1个月的财务状况报告复印件，或银行出具的资信证明材料复印件；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3.</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提供2023年以来任意1个月缴纳税收的凭据证明材料复印件；如依法免税的，应提供相关材料；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4.</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提供2023年以来任意1个月缴纳社会保障资金的凭据证明材料复印件；如依法不需要缴纳社会保障资金的，应提供相关材料；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5.</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提供履行合同所必需的设备和专业技术能力的证明材料；（提供《投标人资格声明函》）；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6.</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提供参加采购活动前3年内在经营活动中没有重大违法记录的书面声明；（提供《投标人资格声明函》）。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7.</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法律、行政法规规定的其他条件。（提供《投标人资格声明函》）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（二）</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1.</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本</w:t>
            </w:r>
            <w:r>
              <w:rPr>
                <w:rFonts w:hint="eastAsia" w:asciiTheme="minorEastAsia" w:hAnsiTheme="minorEastAsia" w:eastAsiaTheme="minorEastAsia"/>
                <w:bCs/>
                <w:color w:val="auto"/>
                <w:sz w:val="24"/>
                <w:highlight w:val="none"/>
                <w:lang w:val="en-US" w:eastAsia="zh-CN"/>
              </w:rPr>
              <w:t>项目</w:t>
            </w:r>
            <w:r>
              <w:rPr>
                <w:rFonts w:hint="eastAsia" w:asciiTheme="minorEastAsia" w:hAnsiTheme="minorEastAsia" w:eastAsiaTheme="minorEastAsia"/>
                <w:bCs/>
                <w:color w:val="auto"/>
                <w:sz w:val="24"/>
                <w:highlight w:val="none"/>
              </w:rPr>
              <w:t>专门面向中小企业采购,供应商提供货物的制造商应为中小微企业、监狱企业、残疾人福利性单位。（提供《中小企业声明函》或属于监狱企业的证明材料或《残疾人福利性单位声明函》）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(三)</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本项目的特定资格要求：无。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(四)</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为采购项目提供整体设计、规范编制或者项目管理、监理、检测等服务的供应商，不得再参加该采购项目同一合同项下的其他采购活动。（提供《投标人资格声明函》）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(五)</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单位负责人为同一人或者存在直接控股、管理关系的不同供应商，不得参加同一合同项下的采购活动。（提供《投标人资格声明函》）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(六)</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投标人未被列入“信用中国”网站(www.creditchina.gov.cn)以下任何记录名单之一：①失信被执行人；②重大税收违法失信主体；③政府采购严重违法失信行为。同时，不处于中国政府采购网(www.ccgp.gov.cn)“政府采购严重违法失信行为信息记录”中的禁止参加政府采购活动期间。（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③投标人为分公司的，同时对该分公司所属总公司（总所）进行信用记录查询，该分公司所属总公司（总所）存在不良信用记录的，视同供应商存在不良信用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(七)</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成功购买本招标文件的供应商。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八</w:t>
            </w:r>
            <w:r>
              <w:rPr>
                <w:rFonts w:cs="宋体" w:asciiTheme="minorEastAsia" w:hAnsiTheme="minorEastAsia" w:eastAsiaTheme="minorEastAsia"/>
                <w:color w:val="auto"/>
                <w:sz w:val="24"/>
                <w:highlight w:val="none"/>
              </w:rPr>
              <w:t>)</w:t>
            </w:r>
          </w:p>
        </w:tc>
        <w:tc>
          <w:tcPr>
            <w:tcW w:w="8462" w:type="dxa"/>
            <w:vAlign w:val="center"/>
          </w:tcPr>
          <w:p>
            <w:pPr>
              <w:tabs>
                <w:tab w:val="left" w:pos="612"/>
              </w:tabs>
              <w:snapToGrid w:val="0"/>
              <w:spacing w:after="0" w:line="360" w:lineRule="auto"/>
              <w:rPr>
                <w:rFonts w:asciiTheme="minorEastAsia" w:hAnsiTheme="minorEastAsia" w:eastAsiaTheme="minorEastAsia"/>
                <w:bCs/>
                <w:color w:val="auto"/>
                <w:sz w:val="24"/>
                <w:highlight w:val="none"/>
              </w:rPr>
            </w:pPr>
            <w:r>
              <w:rPr>
                <w:rFonts w:hint="eastAsia" w:ascii="宋体" w:hAnsi="宋体"/>
                <w:color w:val="auto"/>
                <w:sz w:val="24"/>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06" w:type="dxa"/>
            <w:vAlign w:val="center"/>
          </w:tcPr>
          <w:p>
            <w:pPr>
              <w:pStyle w:val="85"/>
              <w:snapToGrid w:val="0"/>
              <w:spacing w:after="0" w:line="360" w:lineRule="auto"/>
              <w:ind w:left="142" w:leftChars="71" w:firstLine="0" w:firstLineChars="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九</w:t>
            </w:r>
            <w:r>
              <w:rPr>
                <w:rFonts w:cs="宋体" w:asciiTheme="minorEastAsia" w:hAnsiTheme="minorEastAsia" w:eastAsiaTheme="minorEastAsia"/>
                <w:color w:val="auto"/>
                <w:sz w:val="24"/>
                <w:highlight w:val="none"/>
              </w:rPr>
              <w:t>)</w:t>
            </w:r>
          </w:p>
        </w:tc>
        <w:tc>
          <w:tcPr>
            <w:tcW w:w="8462" w:type="dxa"/>
            <w:vAlign w:val="center"/>
          </w:tcPr>
          <w:p>
            <w:pPr>
              <w:tabs>
                <w:tab w:val="left" w:pos="612"/>
              </w:tabs>
              <w:snapToGrid w:val="0"/>
              <w:spacing w:after="0"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投标人资格声明函已提交并符合招标文件要求的；</w:t>
            </w:r>
          </w:p>
        </w:tc>
      </w:tr>
    </w:tbl>
    <w:p>
      <w:pPr>
        <w:snapToGrid w:val="0"/>
        <w:spacing w:after="0" w:line="360" w:lineRule="auto"/>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符合性审查表</w:t>
      </w:r>
    </w:p>
    <w:tbl>
      <w:tblPr>
        <w:tblStyle w:val="38"/>
        <w:tblW w:w="95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8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snapToGrid w:val="0"/>
              <w:spacing w:after="0" w:line="360" w:lineRule="auto"/>
              <w:jc w:val="center"/>
              <w:rPr>
                <w:rFonts w:ascii="宋体" w:cs="宋体"/>
                <w:b/>
                <w:color w:val="auto"/>
                <w:sz w:val="24"/>
                <w:highlight w:val="none"/>
              </w:rPr>
            </w:pPr>
            <w:r>
              <w:rPr>
                <w:rFonts w:hint="eastAsia" w:ascii="宋体" w:cs="宋体"/>
                <w:b/>
                <w:color w:val="auto"/>
                <w:sz w:val="24"/>
                <w:highlight w:val="none"/>
              </w:rPr>
              <w:t>序号</w:t>
            </w:r>
          </w:p>
        </w:tc>
        <w:tc>
          <w:tcPr>
            <w:tcW w:w="8471" w:type="dxa"/>
            <w:vAlign w:val="center"/>
          </w:tcPr>
          <w:p>
            <w:pPr>
              <w:snapToGrid w:val="0"/>
              <w:spacing w:after="0" w:line="360" w:lineRule="auto"/>
              <w:jc w:val="center"/>
              <w:rPr>
                <w:rFonts w:ascii="宋体" w:cs="宋体"/>
                <w:b/>
                <w:color w:val="auto"/>
                <w:sz w:val="24"/>
                <w:highlight w:val="none"/>
              </w:rPr>
            </w:pPr>
            <w:r>
              <w:rPr>
                <w:rFonts w:hint="eastAsia" w:ascii="宋体" w:hAnsi="宋体" w:cs="宋体"/>
                <w:b/>
                <w:color w:val="auto"/>
                <w:sz w:val="24"/>
                <w:highlight w:val="none"/>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1"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tabs>
                <w:tab w:val="left" w:pos="612"/>
              </w:tabs>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按照招标文件规定要求签署、盖章且投标文件有法定代表人签字或盖个人名章（或签字人有法定代表人有效授权书）的；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5"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tabs>
                <w:tab w:val="left" w:pos="612"/>
              </w:tabs>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投标函已提交并符合招标文件要求的，且</w:t>
            </w:r>
            <w:r>
              <w:rPr>
                <w:rFonts w:hint="eastAsia" w:ascii="宋体" w:hAnsi="宋体"/>
                <w:color w:val="auto"/>
                <w:sz w:val="24"/>
                <w:highlight w:val="none"/>
              </w:rPr>
              <w:t>投标有效期不少于招标文件中载明的投标有效期；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tabs>
                <w:tab w:val="left" w:pos="612"/>
              </w:tabs>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投标报价按照招标文件要求进行报价，没有删除品种、缺项、漏项（数量不符合将被视为漏项）的；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snapToGrid w:val="0"/>
              <w:spacing w:after="0"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单价投标报价均未超过对应采购</w:t>
            </w:r>
            <w:r>
              <w:rPr>
                <w:rFonts w:hint="eastAsia" w:cs="宋体" w:asciiTheme="minorEastAsia" w:hAnsiTheme="minorEastAsia" w:eastAsiaTheme="minorEastAsia"/>
                <w:color w:val="auto"/>
                <w:sz w:val="24"/>
                <w:highlight w:val="none"/>
                <w:lang w:val="en-US" w:eastAsia="zh-CN"/>
              </w:rPr>
              <w:t>标的</w:t>
            </w:r>
            <w:r>
              <w:rPr>
                <w:rFonts w:hint="eastAsia" w:cs="宋体" w:asciiTheme="minorEastAsia" w:hAnsiTheme="minorEastAsia" w:eastAsiaTheme="minorEastAsia"/>
                <w:color w:val="auto"/>
                <w:sz w:val="24"/>
                <w:highlight w:val="none"/>
              </w:rPr>
              <w:t>单价最高限价的；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shd w:val="clear" w:color="auto" w:fill="auto"/>
            <w:vAlign w:val="center"/>
          </w:tcPr>
          <w:p>
            <w:pPr>
              <w:snapToGrid w:val="0"/>
              <w:spacing w:after="0" w:line="360" w:lineRule="auto"/>
              <w:ind w:left="1"/>
              <w:rPr>
                <w:rFonts w:ascii="宋体" w:hAnsi="宋体" w:cs="宋体"/>
                <w:color w:val="auto"/>
                <w:sz w:val="24"/>
                <w:highlight w:val="none"/>
              </w:rPr>
            </w:pPr>
            <w:r>
              <w:rPr>
                <w:rFonts w:hint="eastAsia" w:ascii="宋体" w:hAnsi="宋体" w:cs="宋体"/>
                <w:color w:val="auto"/>
                <w:sz w:val="24"/>
                <w:highlight w:val="none"/>
              </w:rPr>
              <w:t>投标文件未出现选择性报价或有附加条件报价的情形；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投标文件没有招标文件中规定的其它无效投标条款的；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1097" w:type="dxa"/>
            <w:vAlign w:val="center"/>
          </w:tcPr>
          <w:p>
            <w:pPr>
              <w:numPr>
                <w:ilvl w:val="0"/>
                <w:numId w:val="24"/>
              </w:numPr>
              <w:tabs>
                <w:tab w:val="left" w:pos="176"/>
                <w:tab w:val="left" w:pos="612"/>
              </w:tabs>
              <w:snapToGrid w:val="0"/>
              <w:spacing w:after="0" w:line="360" w:lineRule="auto"/>
              <w:jc w:val="center"/>
              <w:rPr>
                <w:rFonts w:ascii="宋体" w:hAnsi="宋体" w:cs="宋体"/>
                <w:color w:val="auto"/>
                <w:sz w:val="24"/>
                <w:highlight w:val="none"/>
              </w:rPr>
            </w:pPr>
          </w:p>
        </w:tc>
        <w:tc>
          <w:tcPr>
            <w:tcW w:w="8471" w:type="dxa"/>
            <w:vAlign w:val="center"/>
          </w:tcPr>
          <w:p>
            <w:pPr>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按有关法律、法规、规章不属于投标无效的。</w:t>
            </w:r>
          </w:p>
        </w:tc>
      </w:tr>
    </w:tbl>
    <w:p>
      <w:pPr>
        <w:snapToGrid w:val="0"/>
        <w:spacing w:after="0" w:line="360" w:lineRule="auto"/>
        <w:rPr>
          <w:color w:val="auto"/>
          <w:highlight w:val="none"/>
        </w:rPr>
      </w:pPr>
      <w:r>
        <w:rPr>
          <w:color w:val="auto"/>
          <w:highlight w:val="none"/>
        </w:rPr>
        <w:br w:type="page"/>
      </w:r>
    </w:p>
    <w:p>
      <w:pPr>
        <w:widowControl/>
        <w:spacing w:after="0"/>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综合评分表</w:t>
      </w:r>
    </w:p>
    <w:tbl>
      <w:tblPr>
        <w:tblStyle w:val="38"/>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
        <w:gridCol w:w="1470"/>
        <w:gridCol w:w="5548"/>
        <w:gridCol w:w="886"/>
        <w:gridCol w:w="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470"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评审因素</w:t>
            </w:r>
          </w:p>
        </w:tc>
        <w:tc>
          <w:tcPr>
            <w:tcW w:w="5548"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评分细则</w:t>
            </w:r>
          </w:p>
        </w:tc>
        <w:tc>
          <w:tcPr>
            <w:tcW w:w="886"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分值</w:t>
            </w:r>
          </w:p>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w:t>
            </w:r>
          </w:p>
        </w:tc>
        <w:tc>
          <w:tcPr>
            <w:tcW w:w="764"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权重</w:t>
            </w:r>
          </w:p>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898"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一</w:t>
            </w:r>
          </w:p>
        </w:tc>
        <w:tc>
          <w:tcPr>
            <w:tcW w:w="8668" w:type="dxa"/>
            <w:gridSpan w:val="4"/>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技术部分（</w:t>
            </w:r>
            <w:r>
              <w:rPr>
                <w:rFonts w:hint="eastAsia" w:ascii="宋体" w:hAnsi="宋体"/>
                <w:b/>
                <w:color w:val="auto"/>
                <w:sz w:val="24"/>
                <w:highlight w:val="none"/>
              </w:rPr>
              <w:t>合计</w:t>
            </w:r>
            <w:r>
              <w:rPr>
                <w:rFonts w:hint="eastAsia" w:ascii="宋体" w:hAnsi="宋体"/>
                <w:b/>
                <w:color w:val="auto"/>
                <w:sz w:val="24"/>
                <w:highlight w:val="none"/>
                <w:lang w:val="en-US" w:eastAsia="zh-CN"/>
              </w:rPr>
              <w:t>46</w:t>
            </w:r>
            <w:r>
              <w:rPr>
                <w:rFonts w:hint="eastAsia" w:ascii="宋体" w:hAnsi="宋体"/>
                <w:b/>
                <w:color w:val="auto"/>
                <w:sz w:val="24"/>
                <w:highlight w:val="none"/>
              </w:rPr>
              <w:t>分</w:t>
            </w:r>
            <w:r>
              <w:rPr>
                <w:rFonts w:hint="eastAsia"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cs="宋体" w:asciiTheme="minorEastAsia" w:hAnsiTheme="minorEastAsia" w:eastAsiaTheme="minorEastAsia"/>
                <w:color w:val="auto"/>
                <w:sz w:val="24"/>
                <w:highlight w:val="none"/>
              </w:rPr>
            </w:pPr>
            <w:r>
              <w:rPr>
                <w:rFonts w:hint="eastAsia" w:ascii="宋体" w:hAnsi="宋体" w:cs="宋体"/>
                <w:color w:val="auto"/>
                <w:sz w:val="24"/>
                <w:highlight w:val="none"/>
              </w:rPr>
              <w:t>重要技术参数的响应情况</w:t>
            </w:r>
          </w:p>
        </w:tc>
        <w:tc>
          <w:tcPr>
            <w:tcW w:w="5548" w:type="dxa"/>
            <w:vAlign w:val="center"/>
          </w:tcPr>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根据各投标人所投产品对《第二章 采购需求》中“技术指标参数”的标注“▲”的重要技术参数（共</w:t>
            </w:r>
            <w:r>
              <w:rPr>
                <w:rFonts w:ascii="宋体" w:hAnsi="宋体" w:cs="宋体"/>
                <w:color w:val="auto"/>
                <w:sz w:val="24"/>
                <w:highlight w:val="none"/>
              </w:rPr>
              <w:t>11</w:t>
            </w:r>
            <w:r>
              <w:rPr>
                <w:rFonts w:hint="eastAsia" w:ascii="宋体" w:hAnsi="宋体" w:cs="宋体"/>
                <w:color w:val="auto"/>
                <w:sz w:val="24"/>
                <w:highlight w:val="none"/>
              </w:rPr>
              <w:t>项）的响应情况进行评审：</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标注“▲”的重要技术参数，该项为“正偏离”或“符合”或“无偏离”的，该项得2分；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响应为“负偏离”的，该项不得分。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本项最高得</w:t>
            </w:r>
            <w:r>
              <w:rPr>
                <w:rFonts w:ascii="宋体" w:hAnsi="宋体" w:cs="宋体"/>
                <w:color w:val="auto"/>
                <w:sz w:val="24"/>
                <w:highlight w:val="none"/>
              </w:rPr>
              <w:t>22</w:t>
            </w:r>
            <w:r>
              <w:rPr>
                <w:rFonts w:hint="eastAsia" w:ascii="宋体" w:hAnsi="宋体" w:cs="宋体"/>
                <w:color w:val="auto"/>
                <w:sz w:val="24"/>
                <w:highlight w:val="none"/>
              </w:rPr>
              <w:t>分。</w:t>
            </w:r>
          </w:p>
          <w:p>
            <w:pPr>
              <w:adjustRightInd/>
              <w:snapToGrid w:val="0"/>
              <w:spacing w:after="0" w:line="276" w:lineRule="auto"/>
              <w:rPr>
                <w:rFonts w:asciiTheme="minorEastAsia" w:hAnsiTheme="minorEastAsia" w:eastAsiaTheme="minorEastAsia"/>
                <w:color w:val="auto"/>
                <w:sz w:val="24"/>
                <w:highlight w:val="none"/>
              </w:rPr>
            </w:pPr>
            <w:r>
              <w:rPr>
                <w:rFonts w:hint="eastAsia" w:ascii="宋体" w:hAnsi="宋体" w:cs="宋体"/>
                <w:color w:val="auto"/>
                <w:sz w:val="24"/>
                <w:highlight w:val="none"/>
              </w:rPr>
              <w:t>备注：如采购需求中有明确提供的证明资料，则以采购需求中要求的为准，如采购需求中无明确证明材料的，则提供投标货物制造商公开发布的印刷资料或相应技术参数的厂家证明资料或检测机构出具的检测报告为准；未按要求提供证明资料的均不得分。</w:t>
            </w:r>
          </w:p>
        </w:tc>
        <w:tc>
          <w:tcPr>
            <w:tcW w:w="886"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w:t>
            </w:r>
          </w:p>
        </w:tc>
        <w:tc>
          <w:tcPr>
            <w:tcW w:w="764"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bCs/>
                <w:color w:val="auto"/>
                <w:sz w:val="24"/>
                <w:highlight w:val="none"/>
              </w:rPr>
            </w:pPr>
            <w:r>
              <w:rPr>
                <w:rFonts w:hint="eastAsia" w:ascii="宋体" w:hAnsi="宋体" w:cs="宋体"/>
                <w:color w:val="auto"/>
                <w:sz w:val="24"/>
                <w:highlight w:val="none"/>
              </w:rPr>
              <w:t>一般技术参数的响应情况</w:t>
            </w:r>
          </w:p>
        </w:tc>
        <w:tc>
          <w:tcPr>
            <w:tcW w:w="5548" w:type="dxa"/>
            <w:vAlign w:val="center"/>
          </w:tcPr>
          <w:p>
            <w:pPr>
              <w:adjustRightInd/>
              <w:snapToGrid w:val="0"/>
              <w:spacing w:after="0" w:line="276" w:lineRule="auto"/>
              <w:rPr>
                <w:rFonts w:hint="eastAsia" w:ascii="宋体" w:hAnsi="宋体" w:cs="宋体"/>
                <w:color w:val="auto"/>
                <w:sz w:val="24"/>
                <w:highlight w:val="none"/>
              </w:rPr>
            </w:pPr>
            <w:r>
              <w:rPr>
                <w:rFonts w:hint="eastAsia" w:ascii="宋体" w:hAnsi="宋体" w:cs="宋体"/>
                <w:color w:val="auto"/>
                <w:sz w:val="24"/>
                <w:highlight w:val="none"/>
              </w:rPr>
              <w:t>根据各投标人所投产品对《第二章 采购需求》中 “技术指标参数”未标注“▲”的一般技术参数的响应情况进行评审：</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所投产品未标注“▲”的一般技术参数（共26项）未标注“▲”的一般技术参数</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该项响应</w:t>
            </w:r>
            <w:r>
              <w:rPr>
                <w:rFonts w:hint="eastAsia" w:ascii="宋体" w:hAnsi="宋体" w:cs="宋体"/>
                <w:color w:val="auto"/>
                <w:sz w:val="24"/>
                <w:highlight w:val="none"/>
              </w:rPr>
              <w:t>为“正偏离”或“符合”或“无偏离”的，该</w:t>
            </w:r>
            <w:r>
              <w:rPr>
                <w:rFonts w:ascii="宋体" w:hAnsi="宋体" w:cs="宋体"/>
                <w:color w:val="auto"/>
                <w:sz w:val="24"/>
                <w:highlight w:val="none"/>
              </w:rPr>
              <w:t>项</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0.5</w:t>
            </w:r>
            <w:r>
              <w:rPr>
                <w:rFonts w:hint="eastAsia" w:ascii="宋体" w:hAnsi="宋体" w:cs="宋体"/>
                <w:color w:val="auto"/>
                <w:sz w:val="24"/>
                <w:highlight w:val="none"/>
              </w:rPr>
              <w:t>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响应为“负偏离”的</w:t>
            </w:r>
            <w:r>
              <w:rPr>
                <w:rFonts w:hint="eastAsia" w:ascii="宋体" w:hAnsi="宋体" w:cs="宋体"/>
                <w:color w:val="auto"/>
                <w:sz w:val="24"/>
                <w:highlight w:val="none"/>
                <w:lang w:eastAsia="zh-CN"/>
              </w:rPr>
              <w:t>，</w:t>
            </w:r>
            <w:r>
              <w:rPr>
                <w:rFonts w:hint="eastAsia" w:ascii="宋体" w:hAnsi="宋体" w:cs="宋体"/>
                <w:color w:val="auto"/>
                <w:sz w:val="24"/>
                <w:highlight w:val="none"/>
              </w:rPr>
              <w:t>视为该</w:t>
            </w:r>
            <w:r>
              <w:rPr>
                <w:rFonts w:hint="eastAsia" w:ascii="宋体" w:hAnsi="宋体" w:cs="宋体"/>
                <w:color w:val="auto"/>
                <w:sz w:val="24"/>
                <w:highlight w:val="none"/>
                <w:lang w:val="en-US" w:eastAsia="zh-CN"/>
              </w:rPr>
              <w:t>项</w:t>
            </w:r>
            <w:r>
              <w:rPr>
                <w:rFonts w:hint="eastAsia" w:ascii="宋体" w:hAnsi="宋体" w:cs="宋体"/>
                <w:color w:val="auto"/>
                <w:sz w:val="24"/>
                <w:highlight w:val="none"/>
              </w:rPr>
              <w:t>不满足，该</w:t>
            </w:r>
            <w:r>
              <w:rPr>
                <w:rFonts w:hint="eastAsia" w:ascii="宋体" w:hAnsi="宋体" w:cs="宋体"/>
                <w:color w:val="auto"/>
                <w:sz w:val="24"/>
                <w:highlight w:val="none"/>
                <w:lang w:val="en-US" w:eastAsia="zh-CN"/>
              </w:rPr>
              <w:t>项</w:t>
            </w:r>
            <w:r>
              <w:rPr>
                <w:rFonts w:hint="eastAsia" w:ascii="宋体" w:hAnsi="宋体" w:cs="宋体"/>
                <w:color w:val="auto"/>
                <w:sz w:val="24"/>
                <w:highlight w:val="none"/>
              </w:rPr>
              <w:t>不得分。</w:t>
            </w:r>
          </w:p>
          <w:p>
            <w:pPr>
              <w:adjustRightInd/>
              <w:snapToGrid w:val="0"/>
              <w:spacing w:after="0" w:line="276" w:lineRule="auto"/>
              <w:rPr>
                <w:rFonts w:ascii="宋体" w:hAnsi="宋体" w:cs="宋体"/>
                <w:color w:val="auto"/>
                <w:sz w:val="24"/>
                <w:highlight w:val="none"/>
              </w:rPr>
            </w:pPr>
            <w:r>
              <w:rPr>
                <w:rFonts w:hint="eastAsia" w:ascii="宋体" w:hAnsi="宋体" w:cs="宋体"/>
                <w:color w:val="auto"/>
                <w:sz w:val="24"/>
                <w:highlight w:val="none"/>
              </w:rPr>
              <w:t>本项最高得</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hint="eastAsia" w:ascii="宋体" w:hAnsi="宋体" w:cs="宋体"/>
                <w:color w:val="auto"/>
                <w:sz w:val="24"/>
                <w:highlight w:val="none"/>
              </w:rPr>
              <w:t>备注：如采购需求中有明确提供的证明资料，则以采购需求中要求的为准，如采购需求中无明确证明材料的，则以投标人提供的《采购需求条款响应一览表》的响应情况进行评审。</w:t>
            </w:r>
          </w:p>
        </w:tc>
        <w:tc>
          <w:tcPr>
            <w:tcW w:w="886" w:type="dxa"/>
            <w:vAlign w:val="center"/>
          </w:tcPr>
          <w:p>
            <w:pPr>
              <w:snapToGrid w:val="0"/>
              <w:spacing w:after="0" w:line="276" w:lineRule="auto"/>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13</w:t>
            </w:r>
          </w:p>
        </w:tc>
        <w:tc>
          <w:tcPr>
            <w:tcW w:w="764" w:type="dxa"/>
            <w:vAlign w:val="center"/>
          </w:tcPr>
          <w:p>
            <w:pPr>
              <w:snapToGrid w:val="0"/>
              <w:spacing w:after="0" w:line="276" w:lineRule="auto"/>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bCs/>
                <w:color w:val="auto"/>
                <w:sz w:val="24"/>
                <w:highlight w:val="none"/>
              </w:rPr>
            </w:pPr>
            <w:r>
              <w:rPr>
                <w:rFonts w:hint="eastAsia" w:ascii="宋体" w:hAnsi="宋体" w:cs="宋体"/>
                <w:bCs/>
                <w:color w:val="auto"/>
                <w:sz w:val="24"/>
                <w:highlight w:val="none"/>
              </w:rPr>
              <w:t>项目实施方案</w:t>
            </w:r>
          </w:p>
        </w:tc>
        <w:tc>
          <w:tcPr>
            <w:tcW w:w="5548" w:type="dxa"/>
            <w:vAlign w:val="center"/>
          </w:tcPr>
          <w:p>
            <w:pPr>
              <w:snapToGrid w:val="0"/>
              <w:spacing w:after="0" w:line="276" w:lineRule="auto"/>
              <w:jc w:val="left"/>
              <w:rPr>
                <w:rFonts w:ascii="宋体" w:hAnsi="宋体" w:cs="宋体"/>
                <w:color w:val="auto"/>
                <w:sz w:val="24"/>
                <w:highlight w:val="none"/>
              </w:rPr>
            </w:pPr>
            <w:r>
              <w:rPr>
                <w:rFonts w:hint="eastAsia" w:ascii="宋体" w:hAnsi="宋体" w:cs="宋体"/>
                <w:color w:val="auto"/>
                <w:sz w:val="24"/>
                <w:highlight w:val="none"/>
              </w:rPr>
              <w:t>根据各投标人提供的项目实施方案，包括供货计划、物流运输、产品包装等保障措施进行评审：</w:t>
            </w:r>
          </w:p>
          <w:p>
            <w:pPr>
              <w:snapToGrid w:val="0"/>
              <w:spacing w:after="0" w:line="276"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项目实施方案非常</w:t>
            </w:r>
            <w:r>
              <w:rPr>
                <w:rFonts w:hint="eastAsia" w:asciiTheme="minorEastAsia" w:hAnsiTheme="minorEastAsia" w:eastAsiaTheme="minorEastAsia"/>
                <w:color w:val="auto"/>
                <w:sz w:val="24"/>
                <w:highlight w:val="none"/>
                <w:lang w:val="en-US" w:eastAsia="zh-CN"/>
              </w:rPr>
              <w:t>合理</w:t>
            </w:r>
            <w:r>
              <w:rPr>
                <w:rFonts w:hint="eastAsia" w:asciiTheme="minorEastAsia" w:hAnsiTheme="minorEastAsia" w:eastAsiaTheme="minorEastAsia"/>
                <w:color w:val="auto"/>
                <w:sz w:val="24"/>
                <w:highlight w:val="none"/>
                <w:lang w:eastAsia="zh-CN"/>
              </w:rPr>
              <w:t>，物流运输、产品包装等保障措施</w:t>
            </w:r>
            <w:r>
              <w:rPr>
                <w:rFonts w:hint="eastAsia" w:asciiTheme="minorEastAsia" w:hAnsiTheme="minorEastAsia" w:eastAsiaTheme="minorEastAsia"/>
                <w:color w:val="auto"/>
                <w:sz w:val="24"/>
                <w:highlight w:val="none"/>
                <w:lang w:val="en-US" w:eastAsia="zh-CN"/>
              </w:rPr>
              <w:t>能够完全保证货物包装完好结实，干净整洁、无损坏、褶皱、标识清晰，货物运输及装卸货过程中保障货物安全完好等，</w:t>
            </w:r>
            <w:r>
              <w:rPr>
                <w:rFonts w:hint="eastAsia" w:asciiTheme="minorEastAsia" w:hAnsiTheme="minorEastAsia" w:eastAsiaTheme="minorEastAsia"/>
                <w:color w:val="auto"/>
                <w:sz w:val="24"/>
                <w:highlight w:val="none"/>
              </w:rPr>
              <w:t>针对方案非常合理、可行的，得</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项目实施方案</w:t>
            </w:r>
            <w:r>
              <w:rPr>
                <w:rFonts w:hint="eastAsia" w:asciiTheme="minorEastAsia" w:hAnsiTheme="minorEastAsia" w:eastAsiaTheme="minorEastAsia"/>
                <w:color w:val="auto"/>
                <w:sz w:val="24"/>
                <w:highlight w:val="none"/>
                <w:lang w:val="en-US" w:eastAsia="zh-CN"/>
              </w:rPr>
              <w:t>较</w:t>
            </w:r>
            <w:r>
              <w:rPr>
                <w:rFonts w:hint="eastAsia" w:asciiTheme="minorEastAsia" w:hAnsiTheme="minorEastAsia" w:eastAsiaTheme="minorEastAsia"/>
                <w:color w:val="auto"/>
                <w:sz w:val="24"/>
                <w:highlight w:val="none"/>
              </w:rPr>
              <w:t>合理，物流运输、产品包装等保障措施</w:t>
            </w:r>
            <w:r>
              <w:rPr>
                <w:rFonts w:hint="eastAsia" w:asciiTheme="minorEastAsia" w:hAnsiTheme="minorEastAsia" w:eastAsiaTheme="minorEastAsia"/>
                <w:color w:val="auto"/>
                <w:sz w:val="24"/>
                <w:highlight w:val="none"/>
                <w:lang w:val="en-US" w:eastAsia="zh-CN"/>
              </w:rPr>
              <w:t>较能</w:t>
            </w:r>
            <w:r>
              <w:rPr>
                <w:rFonts w:hint="eastAsia" w:asciiTheme="minorEastAsia" w:hAnsiTheme="minorEastAsia" w:eastAsiaTheme="minorEastAsia"/>
                <w:color w:val="auto"/>
                <w:sz w:val="24"/>
                <w:highlight w:val="none"/>
              </w:rPr>
              <w:t>保证</w:t>
            </w:r>
            <w:r>
              <w:rPr>
                <w:rFonts w:hint="eastAsia" w:asciiTheme="minorEastAsia" w:hAnsiTheme="minorEastAsia" w:eastAsiaTheme="minorEastAsia"/>
                <w:color w:val="auto"/>
                <w:sz w:val="24"/>
                <w:highlight w:val="none"/>
                <w:lang w:val="en-US" w:eastAsia="zh-CN"/>
              </w:rPr>
              <w:t>货物包装完好，外观无损坏，货物运输及装卸易破损，</w:t>
            </w:r>
            <w:r>
              <w:rPr>
                <w:rFonts w:hint="eastAsia" w:asciiTheme="minorEastAsia" w:hAnsiTheme="minorEastAsia" w:eastAsiaTheme="minorEastAsia"/>
                <w:color w:val="auto"/>
                <w:sz w:val="24"/>
                <w:highlight w:val="none"/>
              </w:rPr>
              <w:t>针对方案</w:t>
            </w:r>
            <w:r>
              <w:rPr>
                <w:rFonts w:hint="eastAsia" w:asciiTheme="minorEastAsia" w:hAnsiTheme="minorEastAsia" w:eastAsiaTheme="minorEastAsia"/>
                <w:color w:val="auto"/>
                <w:sz w:val="24"/>
                <w:highlight w:val="none"/>
                <w:lang w:val="en-US" w:eastAsia="zh-CN"/>
              </w:rPr>
              <w:t>较</w:t>
            </w:r>
            <w:r>
              <w:rPr>
                <w:rFonts w:hint="eastAsia" w:asciiTheme="minorEastAsia" w:hAnsiTheme="minorEastAsia" w:eastAsiaTheme="minorEastAsia"/>
                <w:color w:val="auto"/>
                <w:sz w:val="24"/>
                <w:highlight w:val="none"/>
              </w:rPr>
              <w:t>合理，得</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项目实施方案不太合理，物流运输、产品包装等保障措施能够</w:t>
            </w:r>
            <w:r>
              <w:rPr>
                <w:rFonts w:hint="eastAsia" w:asciiTheme="minorEastAsia" w:hAnsiTheme="minorEastAsia" w:eastAsiaTheme="minorEastAsia"/>
                <w:color w:val="auto"/>
                <w:sz w:val="24"/>
                <w:highlight w:val="none"/>
                <w:lang w:val="en-US" w:eastAsia="zh-CN"/>
              </w:rPr>
              <w:t>基本</w:t>
            </w:r>
            <w:r>
              <w:rPr>
                <w:rFonts w:hint="eastAsia" w:asciiTheme="minorEastAsia" w:hAnsiTheme="minorEastAsia" w:eastAsiaTheme="minorEastAsia"/>
                <w:color w:val="auto"/>
                <w:sz w:val="24"/>
                <w:highlight w:val="none"/>
              </w:rPr>
              <w:t>保证</w:t>
            </w:r>
            <w:r>
              <w:rPr>
                <w:rFonts w:hint="eastAsia" w:asciiTheme="minorEastAsia" w:hAnsiTheme="minorEastAsia" w:eastAsiaTheme="minorEastAsia"/>
                <w:color w:val="auto"/>
                <w:sz w:val="24"/>
                <w:highlight w:val="none"/>
                <w:lang w:val="en-US" w:eastAsia="zh-CN"/>
              </w:rPr>
              <w:t>货物包装基本完好，外观有损坏，标识模糊，</w:t>
            </w:r>
            <w:r>
              <w:rPr>
                <w:rFonts w:hint="eastAsia" w:asciiTheme="minorEastAsia" w:hAnsiTheme="minorEastAsia" w:eastAsiaTheme="minorEastAsia"/>
                <w:color w:val="auto"/>
                <w:sz w:val="24"/>
                <w:highlight w:val="none"/>
              </w:rPr>
              <w:t>针对方案基本可行，得</w:t>
            </w:r>
            <w:r>
              <w:rPr>
                <w:rFonts w:hint="eastAsia" w:asciiTheme="minorEastAsia" w:hAnsiTheme="minorEastAsia" w:eastAsiaTheme="minorEastAsia"/>
                <w:color w:val="auto"/>
                <w:sz w:val="24"/>
                <w:highlight w:val="none"/>
                <w:lang w:val="en-US" w:eastAsia="zh-CN"/>
              </w:rPr>
              <w:t>2</w:t>
            </w:r>
            <w:r>
              <w:rPr>
                <w:rFonts w:hint="eastAsia" w:asciiTheme="minorEastAsia" w:hAnsiTheme="minorEastAsia" w:eastAsiaTheme="minorEastAsia"/>
                <w:color w:val="auto"/>
                <w:sz w:val="24"/>
                <w:highlight w:val="none"/>
              </w:rPr>
              <w:t>分；</w:t>
            </w:r>
          </w:p>
          <w:p>
            <w:pPr>
              <w:snapToGrid w:val="0"/>
              <w:spacing w:after="0" w:line="276" w:lineRule="auto"/>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项目实施方案不合理，物流运输、产品包装等保障措施</w:t>
            </w:r>
            <w:r>
              <w:rPr>
                <w:rFonts w:hint="eastAsia" w:asciiTheme="minorEastAsia" w:hAnsiTheme="minorEastAsia" w:eastAsiaTheme="minorEastAsia"/>
                <w:color w:val="auto"/>
                <w:sz w:val="24"/>
                <w:highlight w:val="none"/>
                <w:lang w:val="en-US" w:eastAsia="zh-CN"/>
              </w:rPr>
              <w:t>可能导致货物包装</w:t>
            </w:r>
            <w:r>
              <w:rPr>
                <w:rFonts w:hint="default" w:asciiTheme="minorEastAsia" w:hAnsiTheme="minorEastAsia" w:eastAsiaTheme="minorEastAsia"/>
                <w:color w:val="auto"/>
                <w:sz w:val="24"/>
                <w:highlight w:val="none"/>
                <w:lang w:val="en-US" w:eastAsia="zh-CN"/>
              </w:rPr>
              <w:t>一般</w:t>
            </w:r>
            <w:r>
              <w:rPr>
                <w:rFonts w:hint="eastAsia" w:asciiTheme="minorEastAsia" w:hAnsiTheme="minorEastAsia" w:eastAsiaTheme="minorEastAsia"/>
                <w:color w:val="auto"/>
                <w:sz w:val="24"/>
                <w:highlight w:val="none"/>
                <w:lang w:val="en-US" w:eastAsia="zh-CN"/>
              </w:rPr>
              <w:t>，外观有损坏，无标识，货物运输及装卸极易造成货物损坏。</w:t>
            </w:r>
            <w:r>
              <w:rPr>
                <w:rFonts w:hint="eastAsia" w:asciiTheme="minorEastAsia" w:hAnsiTheme="minorEastAsia" w:eastAsiaTheme="minorEastAsia"/>
                <w:color w:val="auto"/>
                <w:sz w:val="24"/>
                <w:highlight w:val="none"/>
              </w:rPr>
              <w:t>针对方案差或未提供方案的，得1分。</w:t>
            </w:r>
          </w:p>
          <w:p>
            <w:pPr>
              <w:snapToGrid w:val="0"/>
              <w:spacing w:after="0" w:line="276"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不提供方案不得分。</w:t>
            </w:r>
            <w:r>
              <w:rPr>
                <w:rFonts w:asciiTheme="minorEastAsia" w:hAnsiTheme="minorEastAsia" w:eastAsiaTheme="minorEastAsia"/>
                <w:color w:val="auto"/>
                <w:sz w:val="24"/>
                <w:highlight w:val="none"/>
              </w:rPr>
              <w:t xml:space="preserve"> </w:t>
            </w:r>
          </w:p>
        </w:tc>
        <w:tc>
          <w:tcPr>
            <w:tcW w:w="886" w:type="dxa"/>
            <w:vAlign w:val="center"/>
          </w:tcPr>
          <w:p>
            <w:pPr>
              <w:snapToGrid w:val="0"/>
              <w:spacing w:after="0" w:line="276" w:lineRule="auto"/>
              <w:jc w:val="center"/>
              <w:rPr>
                <w:rFonts w:hint="eastAsia" w:eastAsia="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6</w:t>
            </w:r>
          </w:p>
        </w:tc>
        <w:tc>
          <w:tcPr>
            <w:tcW w:w="764" w:type="dxa"/>
            <w:vAlign w:val="center"/>
          </w:tcPr>
          <w:p>
            <w:pPr>
              <w:snapToGrid w:val="0"/>
              <w:spacing w:after="0" w:line="276" w:lineRule="auto"/>
              <w:jc w:val="center"/>
              <w:rPr>
                <w:rFonts w:hint="eastAsia" w:eastAsia="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7" w:hRule="atLeast"/>
        </w:trPr>
        <w:tc>
          <w:tcPr>
            <w:tcW w:w="898" w:type="dxa"/>
            <w:vAlign w:val="center"/>
          </w:tcPr>
          <w:p>
            <w:pPr>
              <w:pStyle w:val="85"/>
              <w:numPr>
                <w:ilvl w:val="0"/>
                <w:numId w:val="25"/>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hint="eastAsia" w:ascii="宋体" w:hAnsi="宋体" w:cs="宋体"/>
                <w:color w:val="auto"/>
                <w:sz w:val="24"/>
                <w:highlight w:val="none"/>
              </w:rPr>
              <w:t>质保期承诺</w:t>
            </w:r>
          </w:p>
        </w:tc>
        <w:tc>
          <w:tcPr>
            <w:tcW w:w="5548" w:type="dxa"/>
            <w:vAlign w:val="center"/>
          </w:tcPr>
          <w:p>
            <w:pPr>
              <w:autoSpaceDE w:val="0"/>
              <w:autoSpaceDN w:val="0"/>
              <w:snapToGrid w:val="0"/>
              <w:spacing w:after="0" w:line="276" w:lineRule="auto"/>
              <w:textAlignment w:val="auto"/>
              <w:rPr>
                <w:rFonts w:ascii="宋体" w:hAnsi="宋体" w:cs="宋体"/>
                <w:color w:val="auto"/>
                <w:kern w:val="2"/>
                <w:sz w:val="24"/>
                <w:highlight w:val="none"/>
                <w:lang w:val="de-DE"/>
              </w:rPr>
            </w:pPr>
            <w:r>
              <w:rPr>
                <w:rFonts w:hint="eastAsia" w:ascii="宋体" w:hAnsi="宋体" w:cs="宋体"/>
                <w:color w:val="auto"/>
                <w:kern w:val="2"/>
                <w:sz w:val="24"/>
                <w:highlight w:val="none"/>
              </w:rPr>
              <w:t>各投标人针对本项目所投设备承诺的质保期年</w:t>
            </w:r>
            <w:r>
              <w:rPr>
                <w:rFonts w:hint="eastAsia" w:ascii="宋体" w:hAnsi="宋体" w:cs="宋体"/>
                <w:color w:val="auto"/>
                <w:kern w:val="2"/>
                <w:sz w:val="24"/>
                <w:highlight w:val="none"/>
                <w:lang w:val="de-DE"/>
              </w:rPr>
              <w:t>限进行评审：</w:t>
            </w:r>
          </w:p>
          <w:p>
            <w:pPr>
              <w:autoSpaceDE w:val="0"/>
              <w:autoSpaceDN w:val="0"/>
              <w:snapToGrid w:val="0"/>
              <w:spacing w:after="0" w:line="276" w:lineRule="auto"/>
              <w:textAlignment w:val="auto"/>
              <w:rPr>
                <w:rFonts w:ascii="宋体" w:hAnsi="宋体" w:cs="宋体"/>
                <w:color w:val="auto"/>
                <w:kern w:val="2"/>
                <w:sz w:val="24"/>
                <w:highlight w:val="none"/>
                <w:lang w:val="de-DE"/>
              </w:rPr>
            </w:pPr>
            <w:r>
              <w:rPr>
                <w:rFonts w:hint="eastAsia" w:ascii="宋体" w:hAnsi="宋体" w:cs="宋体"/>
                <w:color w:val="auto"/>
                <w:kern w:val="2"/>
                <w:sz w:val="24"/>
                <w:highlight w:val="none"/>
                <w:lang w:val="de-DE"/>
              </w:rPr>
              <w:t>满足</w:t>
            </w:r>
            <w:r>
              <w:rPr>
                <w:rFonts w:hint="eastAsia" w:ascii="宋体" w:hAnsi="宋体" w:cs="宋体"/>
                <w:color w:val="auto"/>
                <w:kern w:val="2"/>
                <w:sz w:val="24"/>
                <w:highlight w:val="none"/>
              </w:rPr>
              <w:t>采购需求</w:t>
            </w:r>
            <w:r>
              <w:rPr>
                <w:rFonts w:hint="eastAsia" w:ascii="宋体" w:hAnsi="宋体" w:cs="宋体"/>
                <w:color w:val="auto"/>
                <w:kern w:val="2"/>
                <w:sz w:val="24"/>
                <w:highlight w:val="none"/>
                <w:lang w:val="de-DE"/>
              </w:rPr>
              <w:t>（</w:t>
            </w:r>
            <w:r>
              <w:rPr>
                <w:rFonts w:hint="eastAsia" w:ascii="宋体" w:hAnsi="宋体" w:cs="宋体"/>
                <w:color w:val="auto"/>
                <w:kern w:val="2"/>
                <w:sz w:val="24"/>
                <w:highlight w:val="none"/>
              </w:rPr>
              <w:t>2年</w:t>
            </w:r>
            <w:r>
              <w:rPr>
                <w:rFonts w:hint="eastAsia" w:ascii="宋体" w:hAnsi="宋体" w:cs="宋体"/>
                <w:color w:val="auto"/>
                <w:kern w:val="2"/>
                <w:sz w:val="24"/>
                <w:highlight w:val="none"/>
                <w:lang w:val="de-DE"/>
              </w:rPr>
              <w:t>）要求的</w:t>
            </w:r>
            <w:r>
              <w:rPr>
                <w:rFonts w:hint="eastAsia" w:ascii="宋体" w:hAnsi="宋体" w:cs="宋体"/>
                <w:color w:val="auto"/>
                <w:kern w:val="2"/>
                <w:sz w:val="24"/>
                <w:highlight w:val="none"/>
              </w:rPr>
              <w:t>基础上</w:t>
            </w:r>
            <w:r>
              <w:rPr>
                <w:rFonts w:hint="eastAsia" w:ascii="宋体" w:hAnsi="宋体" w:cs="宋体"/>
                <w:color w:val="auto"/>
                <w:kern w:val="2"/>
                <w:sz w:val="24"/>
                <w:highlight w:val="none"/>
                <w:lang w:val="de-DE"/>
              </w:rPr>
              <w:t>，每增加</w:t>
            </w:r>
            <w:r>
              <w:rPr>
                <w:rFonts w:hint="eastAsia" w:ascii="宋体" w:hAnsi="宋体" w:cs="宋体"/>
                <w:color w:val="auto"/>
                <w:kern w:val="2"/>
                <w:sz w:val="24"/>
                <w:highlight w:val="none"/>
                <w:lang w:eastAsia="zh-CN"/>
              </w:rPr>
              <w:t>半年</w:t>
            </w:r>
            <w:r>
              <w:rPr>
                <w:rFonts w:hint="eastAsia" w:ascii="宋体" w:hAnsi="宋体" w:cs="宋体"/>
                <w:color w:val="auto"/>
                <w:kern w:val="2"/>
                <w:sz w:val="24"/>
                <w:highlight w:val="none"/>
                <w:lang w:val="de-DE"/>
              </w:rPr>
              <w:t>加</w:t>
            </w:r>
            <w:r>
              <w:rPr>
                <w:rFonts w:ascii="宋体" w:hAnsi="宋体" w:cs="宋体"/>
                <w:color w:val="auto"/>
                <w:kern w:val="2"/>
                <w:sz w:val="24"/>
                <w:highlight w:val="none"/>
                <w:lang w:val="de-DE"/>
              </w:rPr>
              <w:t>2</w:t>
            </w:r>
            <w:r>
              <w:rPr>
                <w:rFonts w:hint="eastAsia" w:ascii="宋体" w:hAnsi="宋体" w:cs="宋体"/>
                <w:color w:val="auto"/>
                <w:kern w:val="2"/>
                <w:sz w:val="24"/>
                <w:highlight w:val="none"/>
                <w:lang w:val="en-US" w:eastAsia="zh-CN"/>
              </w:rPr>
              <w:t>.5</w:t>
            </w:r>
            <w:r>
              <w:rPr>
                <w:rFonts w:hint="eastAsia" w:ascii="宋体" w:hAnsi="宋体" w:cs="宋体"/>
                <w:color w:val="auto"/>
                <w:kern w:val="2"/>
                <w:sz w:val="24"/>
                <w:highlight w:val="none"/>
                <w:lang w:val="de-DE"/>
              </w:rPr>
              <w:t>分，本项最高得</w:t>
            </w:r>
            <w:r>
              <w:rPr>
                <w:rFonts w:hint="eastAsia" w:ascii="宋体" w:hAnsi="宋体" w:cs="宋体"/>
                <w:color w:val="auto"/>
                <w:kern w:val="2"/>
                <w:sz w:val="24"/>
                <w:highlight w:val="none"/>
                <w:lang w:val="en-US" w:eastAsia="zh-CN"/>
              </w:rPr>
              <w:t>5</w:t>
            </w:r>
            <w:r>
              <w:rPr>
                <w:rFonts w:hint="eastAsia" w:ascii="宋体" w:hAnsi="宋体" w:cs="宋体"/>
                <w:color w:val="auto"/>
                <w:kern w:val="2"/>
                <w:sz w:val="24"/>
                <w:highlight w:val="none"/>
                <w:lang w:val="de-DE"/>
              </w:rPr>
              <w:t>分。</w:t>
            </w:r>
          </w:p>
          <w:p>
            <w:pPr>
              <w:snapToGrid w:val="0"/>
              <w:spacing w:after="0" w:line="276" w:lineRule="auto"/>
              <w:jc w:val="left"/>
              <w:rPr>
                <w:rFonts w:asciiTheme="minorEastAsia" w:hAnsiTheme="minorEastAsia" w:eastAsiaTheme="minorEastAsia"/>
                <w:color w:val="auto"/>
                <w:sz w:val="24"/>
                <w:highlight w:val="none"/>
              </w:rPr>
            </w:pPr>
            <w:r>
              <w:rPr>
                <w:rFonts w:hint="eastAsia" w:ascii="宋体" w:hAnsi="宋体" w:cs="宋体"/>
                <w:color w:val="auto"/>
                <w:kern w:val="2"/>
                <w:sz w:val="24"/>
                <w:highlight w:val="none"/>
                <w:lang w:val="de-DE"/>
              </w:rPr>
              <w:t>备注：提供</w:t>
            </w:r>
            <w:r>
              <w:rPr>
                <w:rFonts w:hint="eastAsia" w:ascii="宋体" w:hAnsi="宋体" w:cs="宋体"/>
                <w:color w:val="auto"/>
                <w:kern w:val="2"/>
                <w:sz w:val="24"/>
                <w:highlight w:val="none"/>
              </w:rPr>
              <w:t>质保期</w:t>
            </w:r>
            <w:r>
              <w:rPr>
                <w:rFonts w:hint="eastAsia" w:ascii="宋体" w:hAnsi="宋体" w:cs="宋体"/>
                <w:color w:val="auto"/>
                <w:kern w:val="2"/>
                <w:sz w:val="24"/>
                <w:highlight w:val="none"/>
                <w:lang w:val="de-DE"/>
              </w:rPr>
              <w:t>承诺函并明确具体年限，格式自拟</w:t>
            </w:r>
            <w:r>
              <w:rPr>
                <w:rFonts w:hint="eastAsia" w:ascii="宋体" w:hAnsi="宋体" w:cs="宋体"/>
                <w:color w:val="auto"/>
                <w:kern w:val="2"/>
                <w:sz w:val="24"/>
                <w:highlight w:val="none"/>
              </w:rPr>
              <w:t>加盖投标人公章</w:t>
            </w:r>
            <w:r>
              <w:rPr>
                <w:rFonts w:hint="eastAsia" w:ascii="宋体" w:hAnsi="宋体" w:cs="宋体"/>
                <w:color w:val="auto"/>
                <w:kern w:val="2"/>
                <w:sz w:val="24"/>
                <w:highlight w:val="none"/>
                <w:lang w:val="de-DE"/>
              </w:rPr>
              <w:t>。</w:t>
            </w:r>
          </w:p>
        </w:tc>
        <w:tc>
          <w:tcPr>
            <w:tcW w:w="886" w:type="dxa"/>
            <w:vAlign w:val="center"/>
          </w:tcPr>
          <w:p>
            <w:pPr>
              <w:snapToGrid w:val="0"/>
              <w:spacing w:after="0" w:line="276"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val="en-US" w:eastAsia="zh-CN"/>
              </w:rPr>
              <w:t>5</w:t>
            </w:r>
          </w:p>
        </w:tc>
        <w:tc>
          <w:tcPr>
            <w:tcW w:w="764" w:type="dxa"/>
            <w:vAlign w:val="center"/>
          </w:tcPr>
          <w:p>
            <w:pPr>
              <w:snapToGrid w:val="0"/>
              <w:spacing w:after="0" w:line="276" w:lineRule="auto"/>
              <w:jc w:val="center"/>
              <w:rPr>
                <w:rFonts w:hint="eastAsia" w:eastAsia="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898" w:type="dxa"/>
            <w:vAlign w:val="center"/>
          </w:tcPr>
          <w:p>
            <w:pPr>
              <w:snapToGrid w:val="0"/>
              <w:spacing w:after="0" w:line="276"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w:t>
            </w:r>
          </w:p>
        </w:tc>
        <w:tc>
          <w:tcPr>
            <w:tcW w:w="8668" w:type="dxa"/>
            <w:gridSpan w:val="4"/>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商务部分（</w:t>
            </w:r>
            <w:r>
              <w:rPr>
                <w:rFonts w:hint="eastAsia" w:ascii="宋体" w:hAnsi="宋体"/>
                <w:b/>
                <w:color w:val="auto"/>
                <w:sz w:val="24"/>
                <w:highlight w:val="none"/>
              </w:rPr>
              <w:t>合计</w:t>
            </w:r>
            <w:r>
              <w:rPr>
                <w:rFonts w:hint="eastAsia" w:ascii="宋体" w:hAnsi="宋体"/>
                <w:b/>
                <w:bCs w:val="0"/>
                <w:color w:val="auto"/>
                <w:sz w:val="24"/>
                <w:highlight w:val="none"/>
              </w:rPr>
              <w:t>1</w:t>
            </w:r>
            <w:r>
              <w:rPr>
                <w:rFonts w:hint="eastAsia" w:ascii="宋体" w:hAnsi="宋体"/>
                <w:b/>
                <w:bCs w:val="0"/>
                <w:color w:val="auto"/>
                <w:sz w:val="24"/>
                <w:highlight w:val="none"/>
                <w:lang w:val="en-US" w:eastAsia="zh-CN"/>
              </w:rPr>
              <w:t>4</w:t>
            </w:r>
            <w:r>
              <w:rPr>
                <w:rFonts w:hint="eastAsia" w:ascii="宋体" w:hAnsi="宋体"/>
                <w:b/>
                <w:color w:val="auto"/>
                <w:sz w:val="24"/>
                <w:highlight w:val="none"/>
              </w:rPr>
              <w:t>分</w:t>
            </w:r>
            <w:r>
              <w:rPr>
                <w:rFonts w:hint="eastAsia"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6"/>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ind w:left="-60" w:leftChars="-30" w:right="-84" w:rightChars="-4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202</w:t>
            </w:r>
            <w:r>
              <w:rPr>
                <w:rFonts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rPr>
              <w:t>年</w:t>
            </w:r>
            <w:r>
              <w:rPr>
                <w:rFonts w:hint="eastAsia" w:ascii="宋体" w:hAnsi="宋体" w:cs="宋体"/>
                <w:color w:val="auto"/>
                <w:sz w:val="24"/>
                <w:highlight w:val="none"/>
              </w:rPr>
              <w:t>1月1日</w:t>
            </w:r>
            <w:r>
              <w:rPr>
                <w:rFonts w:hint="eastAsia" w:cs="宋体" w:asciiTheme="minorEastAsia" w:hAnsiTheme="minorEastAsia" w:eastAsiaTheme="minorEastAsia"/>
                <w:color w:val="auto"/>
                <w:sz w:val="24"/>
                <w:highlight w:val="none"/>
              </w:rPr>
              <w:t>至今同类业绩经验</w:t>
            </w:r>
          </w:p>
        </w:tc>
        <w:tc>
          <w:tcPr>
            <w:tcW w:w="5548" w:type="dxa"/>
            <w:vAlign w:val="center"/>
          </w:tcPr>
          <w:p>
            <w:pPr>
              <w:snapToGrid w:val="0"/>
              <w:spacing w:after="0" w:line="276" w:lineRule="auto"/>
              <w:ind w:left="-60" w:leftChars="-30" w:right="-84" w:rightChars="-42"/>
              <w:jc w:val="left"/>
              <w:rPr>
                <w:rFonts w:ascii="宋体" w:hAnsi="宋体" w:cs="宋体"/>
                <w:color w:val="auto"/>
                <w:sz w:val="24"/>
                <w:highlight w:val="none"/>
              </w:rPr>
            </w:pPr>
            <w:r>
              <w:rPr>
                <w:rFonts w:hint="eastAsia" w:ascii="宋体" w:hAnsi="宋体" w:cs="宋体"/>
                <w:color w:val="auto"/>
                <w:sz w:val="24"/>
                <w:highlight w:val="none"/>
              </w:rPr>
              <w:t>每提供一项202</w:t>
            </w:r>
            <w:r>
              <w:rPr>
                <w:rFonts w:ascii="宋体" w:hAnsi="宋体" w:cs="宋体"/>
                <w:color w:val="auto"/>
                <w:sz w:val="24"/>
                <w:highlight w:val="none"/>
              </w:rPr>
              <w:t>1</w:t>
            </w:r>
            <w:r>
              <w:rPr>
                <w:rFonts w:hint="eastAsia" w:ascii="宋体" w:hAnsi="宋体" w:cs="宋体"/>
                <w:color w:val="auto"/>
                <w:sz w:val="24"/>
                <w:highlight w:val="none"/>
              </w:rPr>
              <w:t>年1月1日至今同类项目业绩的（同类项目指合同清单中至少包含本项目任意一个采购标的的项目）得</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rPr>
              <w:t>分，本项最高得</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rPr>
              <w:t>分。</w:t>
            </w:r>
          </w:p>
          <w:p>
            <w:pPr>
              <w:snapToGrid w:val="0"/>
              <w:spacing w:after="0" w:line="276" w:lineRule="auto"/>
              <w:ind w:left="-60" w:leftChars="-30" w:right="-84" w:rightChars="-42"/>
              <w:jc w:val="left"/>
              <w:rPr>
                <w:rFonts w:asciiTheme="minorEastAsia" w:hAnsiTheme="minorEastAsia" w:eastAsiaTheme="minorEastAsia"/>
                <w:color w:val="auto"/>
                <w:sz w:val="24"/>
                <w:highlight w:val="none"/>
              </w:rPr>
            </w:pPr>
            <w:r>
              <w:rPr>
                <w:rFonts w:hint="eastAsia" w:ascii="宋体" w:hAnsi="宋体" w:cs="宋体"/>
                <w:color w:val="auto"/>
                <w:sz w:val="24"/>
                <w:highlight w:val="none"/>
              </w:rPr>
              <w:t>备注：请附上202</w:t>
            </w:r>
            <w:r>
              <w:rPr>
                <w:rFonts w:ascii="宋体" w:hAnsi="宋体" w:cs="宋体"/>
                <w:color w:val="auto"/>
                <w:sz w:val="24"/>
                <w:highlight w:val="none"/>
              </w:rPr>
              <w:t>1</w:t>
            </w:r>
            <w:r>
              <w:rPr>
                <w:rFonts w:hint="eastAsia" w:ascii="宋体" w:hAnsi="宋体" w:cs="宋体"/>
                <w:color w:val="auto"/>
                <w:sz w:val="24"/>
                <w:highlight w:val="none"/>
              </w:rPr>
              <w:t>年1月1日至今同类项目业绩的合同关键页（含签订合同双方的单位名称、合同项目名称、合同清单、签订合同双方的落款盖章、签订日期的关键页）复印件作为证明资料。</w:t>
            </w:r>
          </w:p>
        </w:tc>
        <w:tc>
          <w:tcPr>
            <w:tcW w:w="886"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5</w:t>
            </w:r>
          </w:p>
        </w:tc>
        <w:tc>
          <w:tcPr>
            <w:tcW w:w="764"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6"/>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b/>
                <w:color w:val="auto"/>
                <w:sz w:val="24"/>
                <w:highlight w:val="none"/>
              </w:rPr>
            </w:pPr>
            <w:r>
              <w:rPr>
                <w:rFonts w:hint="eastAsia" w:ascii="宋体" w:hAnsi="宋体" w:cs="宋体"/>
                <w:color w:val="auto"/>
                <w:kern w:val="2"/>
                <w:sz w:val="24"/>
                <w:highlight w:val="none"/>
              </w:rPr>
              <w:t>企业管理体系认证</w:t>
            </w:r>
          </w:p>
        </w:tc>
        <w:tc>
          <w:tcPr>
            <w:tcW w:w="5548" w:type="dxa"/>
            <w:vAlign w:val="center"/>
          </w:tcPr>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lang w:val="en-US" w:eastAsia="zh-CN"/>
              </w:rPr>
              <w:t>核心产品货物制造商</w:t>
            </w:r>
            <w:r>
              <w:rPr>
                <w:rFonts w:hint="eastAsia" w:ascii="宋体" w:hAnsi="宋体" w:cs="宋体"/>
                <w:color w:val="auto"/>
                <w:kern w:val="2"/>
                <w:sz w:val="24"/>
                <w:highlight w:val="none"/>
              </w:rPr>
              <w:t>具有有效期内的质量管理体系认证证书，得</w:t>
            </w:r>
            <w:r>
              <w:rPr>
                <w:rFonts w:hint="eastAsia" w:ascii="宋体" w:hAnsi="宋体" w:cs="宋体"/>
                <w:color w:val="auto"/>
                <w:kern w:val="2"/>
                <w:sz w:val="24"/>
                <w:highlight w:val="none"/>
                <w:lang w:val="en-US" w:eastAsia="zh-CN"/>
              </w:rPr>
              <w:t>3</w:t>
            </w:r>
            <w:r>
              <w:rPr>
                <w:rFonts w:hint="eastAsia" w:ascii="宋体" w:hAnsi="宋体" w:cs="宋体"/>
                <w:color w:val="auto"/>
                <w:kern w:val="2"/>
                <w:sz w:val="24"/>
                <w:highlight w:val="none"/>
              </w:rPr>
              <w:t>分；</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核心产品货物制造商具有有效期内的环境管理体系认证证书，得</w:t>
            </w:r>
            <w:r>
              <w:rPr>
                <w:rFonts w:hint="eastAsia" w:ascii="宋体" w:hAnsi="宋体" w:cs="宋体"/>
                <w:color w:val="auto"/>
                <w:kern w:val="2"/>
                <w:sz w:val="24"/>
                <w:highlight w:val="none"/>
                <w:lang w:val="en-US" w:eastAsia="zh-CN"/>
              </w:rPr>
              <w:t>3</w:t>
            </w:r>
            <w:r>
              <w:rPr>
                <w:rFonts w:hint="eastAsia" w:ascii="宋体" w:hAnsi="宋体" w:cs="宋体"/>
                <w:color w:val="auto"/>
                <w:kern w:val="2"/>
                <w:sz w:val="24"/>
                <w:highlight w:val="none"/>
              </w:rPr>
              <w:t>分；</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核心产品货物制造商具有有效期内的职业健康安全管理体系认证证书，得</w:t>
            </w:r>
            <w:r>
              <w:rPr>
                <w:rFonts w:hint="eastAsia" w:ascii="宋体" w:hAnsi="宋体" w:cs="宋体"/>
                <w:color w:val="auto"/>
                <w:kern w:val="2"/>
                <w:sz w:val="24"/>
                <w:highlight w:val="none"/>
                <w:lang w:val="en-US" w:eastAsia="zh-CN"/>
              </w:rPr>
              <w:t>3</w:t>
            </w:r>
            <w:r>
              <w:rPr>
                <w:rFonts w:hint="eastAsia" w:ascii="宋体" w:hAnsi="宋体" w:cs="宋体"/>
                <w:color w:val="auto"/>
                <w:kern w:val="2"/>
                <w:sz w:val="24"/>
                <w:highlight w:val="none"/>
              </w:rPr>
              <w:t xml:space="preserve">分； </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本项最高得</w:t>
            </w:r>
            <w:r>
              <w:rPr>
                <w:rFonts w:hint="eastAsia" w:ascii="宋体" w:hAnsi="宋体" w:cs="宋体"/>
                <w:color w:val="auto"/>
                <w:kern w:val="2"/>
                <w:sz w:val="24"/>
                <w:highlight w:val="none"/>
                <w:lang w:val="en-US" w:eastAsia="zh-CN"/>
              </w:rPr>
              <w:t>9</w:t>
            </w:r>
            <w:r>
              <w:rPr>
                <w:rFonts w:hint="eastAsia" w:ascii="宋体" w:hAnsi="宋体" w:cs="宋体"/>
                <w:color w:val="auto"/>
                <w:kern w:val="2"/>
                <w:sz w:val="24"/>
                <w:highlight w:val="none"/>
              </w:rPr>
              <w:t>分。无或其他不得分。</w:t>
            </w:r>
          </w:p>
          <w:p>
            <w:pPr>
              <w:autoSpaceDE w:val="0"/>
              <w:autoSpaceDN w:val="0"/>
              <w:snapToGrid w:val="0"/>
              <w:spacing w:after="0" w:line="276" w:lineRule="auto"/>
              <w:jc w:val="left"/>
              <w:textAlignment w:val="auto"/>
              <w:rPr>
                <w:rFonts w:ascii="宋体" w:hAnsi="宋体" w:cs="宋体"/>
                <w:color w:val="auto"/>
                <w:kern w:val="2"/>
                <w:sz w:val="24"/>
                <w:highlight w:val="none"/>
              </w:rPr>
            </w:pPr>
            <w:r>
              <w:rPr>
                <w:rFonts w:hint="eastAsia" w:ascii="宋体" w:hAnsi="宋体" w:cs="宋体"/>
                <w:color w:val="auto"/>
                <w:kern w:val="2"/>
                <w:sz w:val="24"/>
                <w:highlight w:val="none"/>
              </w:rPr>
              <w:t>备注：须提供以上有效期内的证书复印件及网上查询截图（中国国家认证认可监督管理委员会http://www.cnca.gov.cn/或国家市场监督管理总局http://cx.cnca.cn/），加盖投标人公章作为评价证明材料，无或未按要求递交证明文件的不得分。</w:t>
            </w:r>
          </w:p>
        </w:tc>
        <w:tc>
          <w:tcPr>
            <w:tcW w:w="886" w:type="dxa"/>
            <w:vAlign w:val="center"/>
          </w:tcPr>
          <w:p>
            <w:pPr>
              <w:snapToGrid w:val="0"/>
              <w:spacing w:after="0" w:line="276" w:lineRule="auto"/>
              <w:ind w:left="-74" w:leftChars="-37" w:right="-70" w:rightChars="-35"/>
              <w:jc w:val="center"/>
              <w:rPr>
                <w:rFonts w:hint="eastAsia" w:eastAsia="宋体" w:cs="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9</w:t>
            </w:r>
          </w:p>
        </w:tc>
        <w:tc>
          <w:tcPr>
            <w:tcW w:w="764" w:type="dxa"/>
            <w:vAlign w:val="center"/>
          </w:tcPr>
          <w:p>
            <w:pPr>
              <w:snapToGrid w:val="0"/>
              <w:spacing w:after="0" w:line="276" w:lineRule="auto"/>
              <w:ind w:left="-74" w:leftChars="-37" w:right="-70" w:rightChars="-35"/>
              <w:jc w:val="center"/>
              <w:rPr>
                <w:rFonts w:hint="eastAsia" w:eastAsia="宋体" w:cs="宋体" w:asciiTheme="minorEastAsia" w:hAnsiTheme="minorEastAsia"/>
                <w:color w:val="auto"/>
                <w:sz w:val="24"/>
                <w:highlight w:val="none"/>
                <w:lang w:eastAsia="zh-CN"/>
              </w:rPr>
            </w:pPr>
            <w:r>
              <w:rPr>
                <w:rFonts w:hint="eastAsia" w:ascii="宋体" w:hAnsi="宋体" w:cs="宋体"/>
                <w:color w:val="auto"/>
                <w:sz w:val="24"/>
                <w:highlight w:val="none"/>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898"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w:t>
            </w:r>
          </w:p>
        </w:tc>
        <w:tc>
          <w:tcPr>
            <w:tcW w:w="8668" w:type="dxa"/>
            <w:gridSpan w:val="4"/>
            <w:vAlign w:val="center"/>
          </w:tcPr>
          <w:p>
            <w:pPr>
              <w:snapToGrid w:val="0"/>
              <w:spacing w:after="0" w:line="276" w:lineRule="auto"/>
              <w:ind w:left="-74" w:leftChars="-37" w:right="-70" w:rightChars="-3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价格部分（</w:t>
            </w:r>
            <w:r>
              <w:rPr>
                <w:rFonts w:hint="eastAsia" w:ascii="宋体" w:hAnsi="宋体"/>
                <w:b/>
                <w:color w:val="auto"/>
                <w:sz w:val="24"/>
                <w:highlight w:val="none"/>
              </w:rPr>
              <w:t>合计</w:t>
            </w:r>
            <w:r>
              <w:rPr>
                <w:rFonts w:hint="eastAsia" w:ascii="宋体" w:hAnsi="宋体"/>
                <w:b/>
                <w:color w:val="auto"/>
                <w:sz w:val="24"/>
                <w:highlight w:val="none"/>
                <w:lang w:val="en-US" w:eastAsia="zh-CN"/>
              </w:rPr>
              <w:t>40</w:t>
            </w:r>
            <w:r>
              <w:rPr>
                <w:rFonts w:hint="eastAsia" w:ascii="宋体" w:hAnsi="宋体"/>
                <w:b/>
                <w:color w:val="auto"/>
                <w:sz w:val="24"/>
                <w:highlight w:val="none"/>
              </w:rPr>
              <w:t>分</w:t>
            </w:r>
            <w:r>
              <w:rPr>
                <w:rFonts w:hint="eastAsia" w:asciiTheme="minorEastAsia" w:hAnsiTheme="minorEastAsia" w:eastAsiaTheme="minorEastAsia"/>
                <w:b/>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898" w:type="dxa"/>
            <w:vAlign w:val="center"/>
          </w:tcPr>
          <w:p>
            <w:pPr>
              <w:pStyle w:val="85"/>
              <w:numPr>
                <w:ilvl w:val="0"/>
                <w:numId w:val="27"/>
              </w:numPr>
              <w:snapToGrid w:val="0"/>
              <w:spacing w:after="0" w:line="276" w:lineRule="auto"/>
              <w:ind w:firstLineChars="0"/>
              <w:jc w:val="center"/>
              <w:rPr>
                <w:rFonts w:asciiTheme="minorEastAsia" w:hAnsiTheme="minorEastAsia" w:eastAsiaTheme="minorEastAsia"/>
                <w:color w:val="auto"/>
                <w:sz w:val="24"/>
                <w:highlight w:val="none"/>
              </w:rPr>
            </w:pPr>
          </w:p>
        </w:tc>
        <w:tc>
          <w:tcPr>
            <w:tcW w:w="1470" w:type="dxa"/>
            <w:vAlign w:val="center"/>
          </w:tcPr>
          <w:p>
            <w:pPr>
              <w:snapToGrid w:val="0"/>
              <w:spacing w:after="0" w:line="276"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投标报价</w:t>
            </w:r>
          </w:p>
        </w:tc>
        <w:tc>
          <w:tcPr>
            <w:tcW w:w="5548" w:type="dxa"/>
            <w:vAlign w:val="center"/>
          </w:tcPr>
          <w:p>
            <w:pPr>
              <w:autoSpaceDE w:val="0"/>
              <w:autoSpaceDN w:val="0"/>
              <w:snapToGrid w:val="0"/>
              <w:spacing w:after="0" w:line="276" w:lineRule="auto"/>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价格分</w:t>
            </w:r>
            <w:r>
              <w:rPr>
                <w:rFonts w:hint="eastAsia" w:cs="宋体" w:asciiTheme="minorEastAsia" w:hAnsiTheme="minorEastAsia" w:eastAsiaTheme="minorEastAsia"/>
                <w:color w:val="auto"/>
                <w:sz w:val="24"/>
                <w:highlight w:val="none"/>
              </w:rPr>
              <w:t>应当采用低价优先法计算，即满足招标文件要求且投标价格最低的投标报价为评标基准价，其价格分为满分。其他投标人的价格分统一按照下列公式计算：</w:t>
            </w:r>
          </w:p>
          <w:p>
            <w:pPr>
              <w:widowControl/>
              <w:snapToGrid w:val="0"/>
              <w:spacing w:after="0" w:line="276"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投标报价得分=(评标基准价／投标报价)×100×权重</w:t>
            </w:r>
          </w:p>
          <w:p>
            <w:pPr>
              <w:widowControl/>
              <w:snapToGrid w:val="0"/>
              <w:spacing w:after="0" w:line="276"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备注：</w:t>
            </w:r>
          </w:p>
          <w:p>
            <w:pPr>
              <w:pStyle w:val="85"/>
              <w:widowControl/>
              <w:numPr>
                <w:ilvl w:val="0"/>
                <w:numId w:val="28"/>
              </w:numPr>
              <w:snapToGrid w:val="0"/>
              <w:spacing w:after="0" w:line="276" w:lineRule="auto"/>
              <w:ind w:firstLineChars="0"/>
              <w:jc w:val="left"/>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因落实政府采购政策进行价格调整的，以调整后的价格计算评标基准价和投标报价</w:t>
            </w:r>
            <w:r>
              <w:rPr>
                <w:rFonts w:hint="eastAsia" w:cs="宋体" w:asciiTheme="minorEastAsia" w:hAnsiTheme="minorEastAsia" w:eastAsiaTheme="minorEastAsia"/>
                <w:color w:val="auto"/>
                <w:sz w:val="24"/>
                <w:highlight w:val="none"/>
              </w:rPr>
              <w:t>,详见《价格扣除》。</w:t>
            </w:r>
          </w:p>
          <w:p>
            <w:pPr>
              <w:pStyle w:val="85"/>
              <w:numPr>
                <w:ilvl w:val="0"/>
                <w:numId w:val="28"/>
              </w:numPr>
              <w:snapToGrid w:val="0"/>
              <w:spacing w:after="0" w:line="276" w:lineRule="auto"/>
              <w:ind w:firstLineChars="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投标报价得分四舍五入后，</w:t>
            </w:r>
            <w:r>
              <w:rPr>
                <w:rFonts w:hint="eastAsia" w:cs="Arial" w:asciiTheme="minorEastAsia" w:hAnsiTheme="minorEastAsia" w:eastAsiaTheme="minorEastAsia"/>
                <w:color w:val="auto"/>
                <w:sz w:val="24"/>
                <w:highlight w:val="none"/>
              </w:rPr>
              <w:t>小数点后保留两位有效数</w:t>
            </w:r>
            <w:r>
              <w:rPr>
                <w:rFonts w:hint="eastAsia" w:asciiTheme="minorEastAsia" w:hAnsiTheme="minorEastAsia" w:eastAsiaTheme="minorEastAsia"/>
                <w:bCs/>
                <w:color w:val="auto"/>
                <w:sz w:val="24"/>
                <w:highlight w:val="none"/>
              </w:rPr>
              <w:t>；</w:t>
            </w:r>
          </w:p>
        </w:tc>
        <w:tc>
          <w:tcPr>
            <w:tcW w:w="886"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40</w:t>
            </w:r>
          </w:p>
        </w:tc>
        <w:tc>
          <w:tcPr>
            <w:tcW w:w="764" w:type="dxa"/>
            <w:vAlign w:val="center"/>
          </w:tcPr>
          <w:p>
            <w:pPr>
              <w:snapToGrid w:val="0"/>
              <w:spacing w:after="0" w:line="276" w:lineRule="auto"/>
              <w:ind w:left="-74" w:leftChars="-37" w:right="-70" w:rightChars="-35"/>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916" w:type="dxa"/>
            <w:gridSpan w:val="3"/>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合计</w:t>
            </w:r>
          </w:p>
        </w:tc>
        <w:tc>
          <w:tcPr>
            <w:tcW w:w="886"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100分</w:t>
            </w:r>
          </w:p>
        </w:tc>
        <w:tc>
          <w:tcPr>
            <w:tcW w:w="764" w:type="dxa"/>
            <w:vAlign w:val="center"/>
          </w:tcPr>
          <w:p>
            <w:pPr>
              <w:snapToGrid w:val="0"/>
              <w:spacing w:after="0" w:line="276" w:lineRule="auto"/>
              <w:ind w:left="-74" w:leftChars="-37" w:right="-70" w:rightChars="-35"/>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100%</w:t>
            </w:r>
            <w:r>
              <w:rPr>
                <w:rFonts w:cs="宋体" w:asciiTheme="minorEastAsia" w:hAnsiTheme="minorEastAsia" w:eastAsiaTheme="minorEastAsia"/>
                <w:b/>
                <w:color w:val="auto"/>
                <w:sz w:val="24"/>
                <w:highlight w:val="none"/>
              </w:rPr>
              <w:t xml:space="preserve"> </w:t>
            </w:r>
          </w:p>
        </w:tc>
      </w:tr>
    </w:tbl>
    <w:p>
      <w:pPr>
        <w:snapToGrid w:val="0"/>
        <w:spacing w:after="0" w:line="360" w:lineRule="auto"/>
        <w:rPr>
          <w:rFonts w:ascii="宋体" w:hAnsi="宋体"/>
          <w:bCs/>
          <w:color w:val="auto"/>
          <w:sz w:val="24"/>
          <w:highlight w:val="none"/>
        </w:rPr>
        <w:sectPr>
          <w:pgSz w:w="11906" w:h="16838"/>
          <w:pgMar w:top="1134" w:right="1134" w:bottom="1134" w:left="1134" w:header="851" w:footer="992" w:gutter="284"/>
          <w:cols w:space="720" w:num="1"/>
          <w:docGrid w:type="lines" w:linePitch="312" w:charSpace="0"/>
        </w:sectPr>
      </w:pPr>
    </w:p>
    <w:p>
      <w:pPr>
        <w:widowControl/>
        <w:spacing w:after="0"/>
        <w:jc w:val="center"/>
        <w:outlineLvl w:val="3"/>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政策功能</w:t>
      </w:r>
    </w:p>
    <w:p>
      <w:pPr>
        <w:widowControl/>
        <w:spacing w:after="0"/>
        <w:jc w:val="center"/>
        <w:outlineLvl w:val="4"/>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第一部分 价格扣除</w:t>
      </w:r>
    </w:p>
    <w:p>
      <w:pPr>
        <w:pStyle w:val="85"/>
        <w:numPr>
          <w:ilvl w:val="0"/>
          <w:numId w:val="29"/>
        </w:numPr>
        <w:adjustRightInd/>
        <w:snapToGrid w:val="0"/>
        <w:spacing w:after="0" w:line="360" w:lineRule="auto"/>
        <w:ind w:left="0" w:firstLine="0" w:firstLineChars="0"/>
        <w:jc w:val="center"/>
        <w:textAlignment w:val="auto"/>
        <w:rPr>
          <w:rFonts w:ascii="宋体" w:hAnsi="宋体"/>
          <w:b/>
          <w:bCs/>
          <w:color w:val="auto"/>
          <w:kern w:val="2"/>
          <w:sz w:val="24"/>
          <w:szCs w:val="22"/>
          <w:highlight w:val="none"/>
        </w:rPr>
      </w:pPr>
      <w:r>
        <w:rPr>
          <w:rFonts w:hint="eastAsia" w:ascii="宋体" w:hAnsi="宋体"/>
          <w:b/>
          <w:bCs/>
          <w:color w:val="auto"/>
          <w:kern w:val="2"/>
          <w:sz w:val="24"/>
          <w:szCs w:val="22"/>
          <w:highlight w:val="none"/>
        </w:rPr>
        <w:t>节能产品、环境标志产品价格扣除</w:t>
      </w:r>
    </w:p>
    <w:p>
      <w:pPr>
        <w:numPr>
          <w:ilvl w:val="1"/>
          <w:numId w:val="30"/>
        </w:numPr>
        <w:adjustRightInd/>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拟采购产品属于节能产品政府采购品目清单规定必须强制采购的，实行强制采购。</w:t>
      </w:r>
    </w:p>
    <w:p>
      <w:pPr>
        <w:numPr>
          <w:ilvl w:val="1"/>
          <w:numId w:val="30"/>
        </w:numPr>
        <w:adjustRightInd/>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本次采购产品在财政部、发展改革委、生态环境部等部门最新发布的《节能产品政府采购品目清单》或《</w:t>
      </w:r>
      <w:r>
        <w:rPr>
          <w:rFonts w:ascii="宋体" w:hAnsi="宋体"/>
          <w:color w:val="auto"/>
          <w:sz w:val="24"/>
          <w:highlight w:val="none"/>
        </w:rPr>
        <w:t>环境标志产品</w:t>
      </w:r>
      <w:r>
        <w:rPr>
          <w:rFonts w:hint="eastAsia" w:ascii="宋体" w:hAnsi="宋体"/>
          <w:color w:val="auto"/>
          <w:sz w:val="24"/>
          <w:highlight w:val="none"/>
        </w:rPr>
        <w:t>政府采购</w:t>
      </w:r>
      <w:r>
        <w:rPr>
          <w:rFonts w:ascii="宋体" w:hAnsi="宋体"/>
          <w:color w:val="auto"/>
          <w:sz w:val="24"/>
          <w:highlight w:val="none"/>
        </w:rPr>
        <w:t>品目清单</w:t>
      </w:r>
      <w:r>
        <w:rPr>
          <w:rFonts w:hint="eastAsia" w:ascii="宋体" w:hAnsi="宋体"/>
          <w:color w:val="auto"/>
          <w:sz w:val="24"/>
          <w:highlight w:val="none"/>
        </w:rPr>
        <w:t>》的清单范围内优先采购的节能产品、</w:t>
      </w:r>
      <w:r>
        <w:rPr>
          <w:rFonts w:ascii="宋体" w:hAnsi="宋体"/>
          <w:color w:val="auto"/>
          <w:sz w:val="24"/>
          <w:highlight w:val="none"/>
        </w:rPr>
        <w:t>环境标志产品类别</w:t>
      </w:r>
      <w:r>
        <w:rPr>
          <w:rFonts w:hint="eastAsia" w:ascii="宋体" w:hAnsi="宋体"/>
          <w:color w:val="auto"/>
          <w:sz w:val="24"/>
          <w:highlight w:val="none"/>
        </w:rPr>
        <w:t>，对于具有国家确定的认证机构出具的、处于有效期之内的节能产品或环境标志产品认证证书的，对节能产品或环境标志产品的价格分别给予</w:t>
      </w:r>
      <w:r>
        <w:rPr>
          <w:rFonts w:hint="eastAsia" w:ascii="宋体" w:hAnsi="宋体" w:eastAsia="宋体" w:cs="Times New Roman"/>
          <w:color w:val="auto"/>
          <w:sz w:val="24"/>
          <w:highlight w:val="none"/>
          <w:u w:val="none"/>
          <w:shd w:val="clear"/>
        </w:rPr>
        <w:t>1</w:t>
      </w:r>
      <w:r>
        <w:rPr>
          <w:rFonts w:hint="eastAsia" w:ascii="宋体" w:hAnsi="宋体" w:eastAsia="宋体" w:cs="Times New Roman"/>
          <w:color w:val="auto"/>
          <w:sz w:val="24"/>
          <w:highlight w:val="none"/>
        </w:rPr>
        <w:t>%的价</w:t>
      </w:r>
      <w:r>
        <w:rPr>
          <w:rFonts w:hint="eastAsia" w:ascii="宋体" w:hAnsi="宋体"/>
          <w:color w:val="auto"/>
          <w:sz w:val="24"/>
          <w:highlight w:val="none"/>
        </w:rPr>
        <w:t>格扣除。</w:t>
      </w:r>
    </w:p>
    <w:p>
      <w:pPr>
        <w:numPr>
          <w:ilvl w:val="1"/>
          <w:numId w:val="30"/>
        </w:numPr>
        <w:adjustRightInd/>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属于品目清单范围内的节能或环境标志产品，应当提供国家确定的认证机构出具的、处于有效期之内的节能产品或环境标志产品认证证书复印件，并加盖投标人单位的公章。</w:t>
      </w:r>
    </w:p>
    <w:p>
      <w:pPr>
        <w:adjustRightInd/>
        <w:snapToGrid w:val="0"/>
        <w:spacing w:after="0" w:line="360" w:lineRule="auto"/>
        <w:textAlignment w:val="auto"/>
        <w:rPr>
          <w:rFonts w:ascii="宋体" w:hAnsi="宋体"/>
          <w:color w:val="auto"/>
          <w:kern w:val="2"/>
          <w:sz w:val="24"/>
          <w:highlight w:val="none"/>
        </w:rPr>
      </w:pPr>
    </w:p>
    <w:p>
      <w:pPr>
        <w:widowControl/>
        <w:spacing w:after="0"/>
        <w:jc w:val="center"/>
        <w:outlineLvl w:val="4"/>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第二部分 政策功能说明</w:t>
      </w:r>
    </w:p>
    <w:p>
      <w:pPr>
        <w:pStyle w:val="85"/>
        <w:numPr>
          <w:ilvl w:val="0"/>
          <w:numId w:val="31"/>
        </w:numPr>
        <w:snapToGrid w:val="0"/>
        <w:spacing w:after="0" w:line="360" w:lineRule="auto"/>
        <w:ind w:left="0" w:firstLine="0" w:firstLineChars="0"/>
        <w:textAlignment w:val="auto"/>
        <w:rPr>
          <w:rFonts w:ascii="宋体" w:hAnsi="宋体"/>
          <w:b/>
          <w:bCs/>
          <w:color w:val="auto"/>
          <w:kern w:val="2"/>
          <w:sz w:val="24"/>
          <w:highlight w:val="none"/>
        </w:rPr>
      </w:pPr>
      <w:r>
        <w:rPr>
          <w:rFonts w:hint="eastAsia" w:ascii="宋体" w:hAnsi="宋体"/>
          <w:b/>
          <w:bCs/>
          <w:color w:val="auto"/>
          <w:kern w:val="2"/>
          <w:sz w:val="24"/>
          <w:highlight w:val="none"/>
        </w:rPr>
        <w:t>中小企业扶持政策</w:t>
      </w:r>
    </w:p>
    <w:p>
      <w:pPr>
        <w:numPr>
          <w:ilvl w:val="1"/>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在采购活动中，供应商提供的货物、工程或者服务符合下列情形的，享受</w:t>
      </w:r>
      <w:r>
        <w:rPr>
          <w:rFonts w:hint="eastAsia" w:ascii="宋体" w:hAnsi="宋体"/>
          <w:bCs/>
          <w:color w:val="auto"/>
          <w:sz w:val="24"/>
          <w:highlight w:val="none"/>
        </w:rPr>
        <w:t>《政府采购促进中小企业发展管理办法》</w:t>
      </w:r>
      <w:r>
        <w:rPr>
          <w:rFonts w:hint="eastAsia" w:ascii="宋体" w:hAnsi="宋体"/>
          <w:color w:val="auto"/>
          <w:kern w:val="2"/>
          <w:sz w:val="24"/>
          <w:highlight w:val="none"/>
        </w:rPr>
        <w:t>规定的中小企业扶持政策：</w:t>
      </w:r>
    </w:p>
    <w:p>
      <w:pPr>
        <w:numPr>
          <w:ilvl w:val="0"/>
          <w:numId w:val="33"/>
        </w:numPr>
        <w:snapToGrid w:val="0"/>
        <w:spacing w:after="0" w:line="360" w:lineRule="auto"/>
        <w:ind w:left="0" w:firstLine="0"/>
        <w:textAlignment w:val="auto"/>
        <w:rPr>
          <w:rFonts w:ascii="宋体" w:hAnsi="宋体"/>
          <w:b/>
          <w:bCs/>
          <w:color w:val="auto"/>
          <w:kern w:val="2"/>
          <w:sz w:val="24"/>
          <w:highlight w:val="none"/>
          <w:u w:val="double"/>
        </w:rPr>
      </w:pPr>
      <w:r>
        <w:rPr>
          <w:rFonts w:hint="eastAsia" w:ascii="宋体" w:hAnsi="宋体"/>
          <w:b/>
          <w:bCs/>
          <w:color w:val="auto"/>
          <w:kern w:val="2"/>
          <w:sz w:val="24"/>
          <w:highlight w:val="none"/>
          <w:u w:val="double"/>
        </w:rPr>
        <w:t>在货物采购项目中，货物由中小企业制造，即货物由中小企业生产且使用该中小企业商号或者注册商标；</w:t>
      </w:r>
    </w:p>
    <w:p>
      <w:pPr>
        <w:numPr>
          <w:ilvl w:val="0"/>
          <w:numId w:val="33"/>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在工程采购项目中，工程由中小企业承建，即工程施工单位为中小企业；</w:t>
      </w:r>
    </w:p>
    <w:p>
      <w:pPr>
        <w:numPr>
          <w:ilvl w:val="0"/>
          <w:numId w:val="33"/>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在服务采购项目中，服务由中小企业承接，即提供服务的人员为中小企业依照《中华人民共和国劳动合同法》订立劳动合同的从业人员。</w:t>
      </w:r>
    </w:p>
    <w:p>
      <w:pPr>
        <w:snapToGrid w:val="0"/>
        <w:spacing w:after="0" w:line="360" w:lineRule="auto"/>
        <w:textAlignment w:val="auto"/>
        <w:rPr>
          <w:rFonts w:ascii="宋体" w:hAnsi="宋体"/>
          <w:color w:val="auto"/>
          <w:kern w:val="2"/>
          <w:sz w:val="24"/>
          <w:highlight w:val="none"/>
        </w:rPr>
      </w:pPr>
      <w:r>
        <w:rPr>
          <w:rFonts w:hint="eastAsia" w:ascii="宋体" w:hAnsi="宋体"/>
          <w:color w:val="auto"/>
          <w:kern w:val="2"/>
          <w:sz w:val="24"/>
          <w:highlight w:val="none"/>
        </w:rPr>
        <w:t>在货物采购项目中，供应商提供的货物既有中小企业制造货物，也有大型企业制造货物的，不享受本办法规定的中小企业扶持政策。</w:t>
      </w:r>
    </w:p>
    <w:p>
      <w:pPr>
        <w:snapToGrid w:val="0"/>
        <w:spacing w:after="0" w:line="360" w:lineRule="auto"/>
        <w:textAlignment w:val="auto"/>
        <w:rPr>
          <w:rFonts w:ascii="宋体" w:hAnsi="宋体"/>
          <w:bCs/>
          <w:color w:val="auto"/>
          <w:sz w:val="24"/>
          <w:highlight w:val="none"/>
        </w:rPr>
      </w:pPr>
      <w:r>
        <w:rPr>
          <w:rFonts w:hint="eastAsia" w:ascii="宋体" w:hAnsi="宋体"/>
          <w:color w:val="auto"/>
          <w:kern w:val="2"/>
          <w:sz w:val="24"/>
          <w:highlight w:val="none"/>
        </w:rPr>
        <w:t>以联合体形式参加采购活动，联合体各方均为中小企业的，联合体视同中小企业。其中，联合体各方均为小微企业的，联合体视同小微企业。</w:t>
      </w:r>
    </w:p>
    <w:p>
      <w:pPr>
        <w:numPr>
          <w:ilvl w:val="1"/>
          <w:numId w:val="32"/>
        </w:numPr>
        <w:snapToGrid w:val="0"/>
        <w:spacing w:after="0" w:line="360" w:lineRule="auto"/>
        <w:ind w:left="0" w:firstLine="0"/>
        <w:textAlignment w:val="auto"/>
        <w:rPr>
          <w:rFonts w:ascii="宋体" w:hAnsi="宋体"/>
          <w:b/>
          <w:bCs/>
          <w:color w:val="auto"/>
          <w:kern w:val="2"/>
          <w:sz w:val="24"/>
          <w:highlight w:val="none"/>
        </w:rPr>
      </w:pPr>
      <w:r>
        <w:rPr>
          <w:rFonts w:hint="eastAsia" w:ascii="宋体" w:hAnsi="宋体"/>
          <w:color w:val="auto"/>
          <w:kern w:val="2"/>
          <w:sz w:val="24"/>
          <w:highlight w:val="none"/>
        </w:rPr>
        <w:t>参加</w:t>
      </w:r>
      <w:r>
        <w:rPr>
          <w:rFonts w:hint="eastAsia" w:ascii="宋体" w:hAnsi="宋体"/>
          <w:bCs/>
          <w:color w:val="auto"/>
          <w:sz w:val="24"/>
          <w:highlight w:val="none"/>
        </w:rPr>
        <w:t>采购活动的中小企业应当提供《中小企业声明函》（格式见第六章投标文件格式）</w:t>
      </w:r>
      <w:r>
        <w:rPr>
          <w:rFonts w:hint="eastAsia" w:ascii="宋体" w:hAnsi="宋体"/>
          <w:color w:val="auto"/>
          <w:sz w:val="24"/>
          <w:highlight w:val="none"/>
        </w:rPr>
        <w:t>。</w:t>
      </w:r>
    </w:p>
    <w:p>
      <w:pPr>
        <w:numPr>
          <w:ilvl w:val="1"/>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享受扶持政策获得采购合同的，小微企业不得将合同分包给大中型企业，中型企业不得将合同分包给大型企业；</w:t>
      </w:r>
    </w:p>
    <w:p>
      <w:pPr>
        <w:numPr>
          <w:ilvl w:val="1"/>
          <w:numId w:val="32"/>
        </w:numPr>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监狱企业</w:t>
      </w:r>
    </w:p>
    <w:p>
      <w:pPr>
        <w:numPr>
          <w:ilvl w:val="2"/>
          <w:numId w:val="32"/>
        </w:numPr>
        <w:snapToGrid w:val="0"/>
        <w:spacing w:after="0" w:line="360" w:lineRule="auto"/>
        <w:ind w:left="0" w:firstLine="0"/>
        <w:textAlignment w:val="auto"/>
        <w:rPr>
          <w:rFonts w:ascii="宋体" w:hAnsi="宋体"/>
          <w:color w:val="auto"/>
          <w:sz w:val="24"/>
          <w:highlight w:val="none"/>
        </w:rPr>
      </w:pPr>
      <w:r>
        <w:rPr>
          <w:rFonts w:hint="eastAsia" w:ascii="宋体" w:hAnsi="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32"/>
        </w:numPr>
        <w:snapToGrid w:val="0"/>
        <w:spacing w:after="0" w:line="360" w:lineRule="auto"/>
        <w:ind w:left="0" w:firstLine="0"/>
        <w:textAlignment w:val="auto"/>
        <w:rPr>
          <w:rFonts w:ascii="宋体" w:hAnsi="宋体"/>
          <w:b/>
          <w:bCs/>
          <w:color w:val="auto"/>
          <w:kern w:val="2"/>
          <w:sz w:val="24"/>
          <w:highlight w:val="none"/>
        </w:rPr>
      </w:pPr>
      <w:r>
        <w:rPr>
          <w:rFonts w:hint="eastAsia" w:ascii="宋体" w:hAnsi="宋体"/>
          <w:color w:val="auto"/>
          <w:sz w:val="24"/>
          <w:highlight w:val="none"/>
        </w:rPr>
        <w:t>监狱企业参加采购活动时，应当提供由省级以上监狱管理局、戒毒管理局（含新疆生产建设兵团）出具的属于监狱企业的证明文件，</w:t>
      </w:r>
      <w:r>
        <w:rPr>
          <w:rFonts w:hint="eastAsia" w:ascii="宋体" w:hAnsi="宋体" w:cs="宋体"/>
          <w:color w:val="auto"/>
          <w:sz w:val="24"/>
          <w:highlight w:val="none"/>
        </w:rPr>
        <w:t>否则不予认可</w:t>
      </w:r>
      <w:r>
        <w:rPr>
          <w:rFonts w:hint="eastAsia" w:ascii="宋体" w:hAnsi="宋体"/>
          <w:color w:val="auto"/>
          <w:sz w:val="24"/>
          <w:highlight w:val="none"/>
        </w:rPr>
        <w:t>。</w:t>
      </w:r>
    </w:p>
    <w:p>
      <w:pPr>
        <w:numPr>
          <w:ilvl w:val="2"/>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kern w:val="2"/>
          <w:sz w:val="24"/>
          <w:highlight w:val="none"/>
        </w:rPr>
        <w:t>在采购活动中，监狱企业视同小型、微型企业，享受预留份额、评审中价格扣除等政府采购促进中小企业发展的政府采购政策。</w:t>
      </w:r>
    </w:p>
    <w:p>
      <w:pPr>
        <w:numPr>
          <w:ilvl w:val="1"/>
          <w:numId w:val="32"/>
        </w:numPr>
        <w:snapToGrid w:val="0"/>
        <w:spacing w:after="0" w:line="360" w:lineRule="auto"/>
        <w:ind w:left="0" w:firstLine="0"/>
        <w:textAlignment w:val="auto"/>
        <w:rPr>
          <w:rFonts w:ascii="宋体" w:hAnsi="宋体"/>
          <w:color w:val="auto"/>
          <w:kern w:val="2"/>
          <w:sz w:val="24"/>
          <w:highlight w:val="none"/>
        </w:rPr>
      </w:pPr>
      <w:r>
        <w:rPr>
          <w:rFonts w:hint="eastAsia" w:ascii="宋体" w:hAnsi="宋体"/>
          <w:color w:val="auto"/>
          <w:sz w:val="24"/>
          <w:highlight w:val="none"/>
        </w:rPr>
        <w:t>残疾人福利性单位</w:t>
      </w:r>
    </w:p>
    <w:p>
      <w:pPr>
        <w:numPr>
          <w:ilvl w:val="2"/>
          <w:numId w:val="32"/>
        </w:numPr>
        <w:snapToGrid w:val="0"/>
        <w:spacing w:after="0" w:line="360" w:lineRule="auto"/>
        <w:ind w:left="0" w:firstLine="0"/>
        <w:textAlignment w:val="auto"/>
        <w:rPr>
          <w:rFonts w:ascii="宋体" w:hAnsi="宋体"/>
          <w:color w:val="auto"/>
          <w:sz w:val="24"/>
          <w:highlight w:val="none"/>
        </w:rPr>
      </w:pPr>
      <w:r>
        <w:rPr>
          <w:rFonts w:hint="eastAsia" w:ascii="宋体" w:hAnsi="宋体"/>
          <w:bCs/>
          <w:color w:val="auto"/>
          <w:sz w:val="24"/>
          <w:highlight w:val="none"/>
        </w:rPr>
        <w:t>根据财政部、民政部、中国残疾人联合会印发的《关于促进残疾人就业政府采购政策的通知》（财库〔2017〕141号）的规定，符合条件的残疾人福利性单位在参加采购活动时，应当提供该通知规定的《残疾人福利性单位声明函》（格式见第六章投标文件格式），并对</w:t>
      </w:r>
      <w:r>
        <w:rPr>
          <w:rFonts w:hint="eastAsia" w:ascii="宋体" w:hAnsi="宋体"/>
          <w:color w:val="auto"/>
          <w:sz w:val="24"/>
          <w:highlight w:val="none"/>
        </w:rPr>
        <w:t>声明的真实性负责。一旦中标将在中标公告中公告其声明函，接受社会监督。投标人提供的《残疾人福利性单位声明函》与事实不符的，依照《</w:t>
      </w:r>
      <w:r>
        <w:rPr>
          <w:rFonts w:hint="eastAsia" w:ascii="宋体" w:hAnsi="宋体"/>
          <w:bCs/>
          <w:color w:val="auto"/>
          <w:sz w:val="24"/>
          <w:highlight w:val="none"/>
        </w:rPr>
        <w:t>中华人民共和国政府采购法</w:t>
      </w:r>
      <w:r>
        <w:rPr>
          <w:rFonts w:hint="eastAsia" w:ascii="宋体" w:hAnsi="宋体"/>
          <w:color w:val="auto"/>
          <w:sz w:val="24"/>
          <w:highlight w:val="none"/>
        </w:rPr>
        <w:t>》第七十七条第一款的规定追究法律责任。</w:t>
      </w:r>
    </w:p>
    <w:p>
      <w:pPr>
        <w:numPr>
          <w:ilvl w:val="2"/>
          <w:numId w:val="32"/>
        </w:numPr>
        <w:snapToGrid w:val="0"/>
        <w:spacing w:after="0" w:line="360" w:lineRule="auto"/>
        <w:ind w:left="0" w:firstLine="0"/>
        <w:textAlignment w:val="auto"/>
        <w:rPr>
          <w:rFonts w:ascii="宋体" w:hAnsi="宋体"/>
          <w:bCs/>
          <w:color w:val="auto"/>
          <w:sz w:val="24"/>
          <w:highlight w:val="none"/>
        </w:rPr>
      </w:pPr>
      <w:r>
        <w:rPr>
          <w:rFonts w:hint="eastAsia" w:ascii="宋体" w:hAnsi="宋体"/>
          <w:bCs/>
          <w:color w:val="auto"/>
          <w:sz w:val="24"/>
          <w:highlight w:val="none"/>
        </w:rPr>
        <w:t>在采购活动中，残疾人福利性单位视同小型、微型企业，享受预留份额、评审中价格扣除等促进中小企业发展的政府采购政策。</w:t>
      </w:r>
    </w:p>
    <w:p>
      <w:pPr>
        <w:pStyle w:val="85"/>
        <w:widowControl/>
        <w:spacing w:after="0"/>
        <w:ind w:firstLine="0" w:firstLineChars="0"/>
        <w:jc w:val="center"/>
        <w:rPr>
          <w:rFonts w:ascii="黑体" w:hAnsi="宋体" w:eastAsia="黑体" w:cs="宋体"/>
          <w:color w:val="auto"/>
          <w:sz w:val="28"/>
          <w:szCs w:val="28"/>
          <w:highlight w:val="none"/>
        </w:rPr>
      </w:pPr>
    </w:p>
    <w:p>
      <w:pPr>
        <w:pStyle w:val="85"/>
        <w:numPr>
          <w:ilvl w:val="0"/>
          <w:numId w:val="31"/>
        </w:numPr>
        <w:snapToGrid w:val="0"/>
        <w:spacing w:after="0" w:line="360" w:lineRule="auto"/>
        <w:ind w:left="0" w:firstLine="0" w:firstLineChars="0"/>
        <w:textAlignment w:val="auto"/>
        <w:rPr>
          <w:rFonts w:ascii="宋体" w:hAnsi="宋体"/>
          <w:b/>
          <w:bCs/>
          <w:color w:val="auto"/>
          <w:kern w:val="2"/>
          <w:sz w:val="24"/>
          <w:highlight w:val="none"/>
        </w:rPr>
      </w:pPr>
      <w:r>
        <w:rPr>
          <w:rFonts w:hint="eastAsia" w:ascii="宋体" w:hAnsi="宋体"/>
          <w:b/>
          <w:bCs/>
          <w:color w:val="auto"/>
          <w:kern w:val="2"/>
          <w:sz w:val="24"/>
          <w:highlight w:val="none"/>
        </w:rPr>
        <w:t>商品包装和快递包装</w:t>
      </w:r>
    </w:p>
    <w:p>
      <w:pPr>
        <w:snapToGrid w:val="0"/>
        <w:spacing w:after="0" w:line="360" w:lineRule="auto"/>
        <w:textAlignment w:val="auto"/>
        <w:rPr>
          <w:rFonts w:asciiTheme="minorEastAsia" w:hAnsiTheme="minorEastAsia" w:eastAsiaTheme="minorEastAsia" w:cstheme="minorBidi"/>
          <w:color w:val="auto"/>
          <w:kern w:val="2"/>
          <w:sz w:val="24"/>
          <w:highlight w:val="none"/>
        </w:rPr>
      </w:pPr>
      <w:r>
        <w:rPr>
          <w:rFonts w:hint="eastAsia" w:asciiTheme="minorEastAsia" w:hAnsiTheme="minorEastAsia" w:eastAsiaTheme="minorEastAsia" w:cstheme="minorBidi"/>
          <w:color w:val="auto"/>
          <w:kern w:val="2"/>
          <w:sz w:val="24"/>
          <w:highlight w:val="none"/>
        </w:rPr>
        <w:t>本项目如涉及商品包装、快递包装，应当满足以下要求：</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商品包装环保要求</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商品包装层数不得超过3层，空隙率不大于40%；</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商品包装尽可能使用单一材质的包装材料，如因功能需求必需使用不同材质，不同材质间应便于分离；</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商品包装中铅、汞、镉、六价铬的总含量应不大于100mg/kg；</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商品包装印刷使用的油墨中挥发性有机化合物(VOCs)含量应不大于5%（以重量计）；</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塑料材质商品包装上呈现的印刷颜色不得超过6色；</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纸质商品包装应使用75%以上的可再生纤维原料生产；</w:t>
      </w:r>
    </w:p>
    <w:p>
      <w:pPr>
        <w:numPr>
          <w:ilvl w:val="1"/>
          <w:numId w:val="35"/>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木质商品包装的原料应来源于可持续性森林。</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商品包装检测方法</w:t>
      </w:r>
    </w:p>
    <w:p>
      <w:pPr>
        <w:numPr>
          <w:ilvl w:val="1"/>
          <w:numId w:val="36"/>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商品包装中重金属（铅、汞、镉、六价铬）总量的检测按照GB/T10004-2008《包装用塑料复合膜、袋干法复合、挤出复合》规定的方法进行。</w:t>
      </w:r>
    </w:p>
    <w:p>
      <w:pPr>
        <w:numPr>
          <w:ilvl w:val="1"/>
          <w:numId w:val="36"/>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商品包装印刷使用的油墨中挥发性有机化合物(VOCs)的检测按照GB/T23986-2009《色漆和清漆挥发性有机化合物(VOC)含量的测定气相色谱法》规定的方法进行。</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快递包装环保要求</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快递包装中重金属（铅、汞、镉、六价铬）总量应不大于100mg/kg；</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快递包装印刷使用的油墨中不应添加邻苯二甲酸酯，其挥发性有机化合物(VOCs)含量应不大于5%（以重量计）；</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快递包装中使用纸基材的包装材料，纸基材中的有机氯的含量应不大于150mg/kg；</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快递包装中使用塑料基材的包装材料不得使用邻苯二甲酸二异壬酯、邻苯二甲酸二正辛酯、邻苯二甲酸二(2-乙基)己酯、邻苯二甲酸二异癸酯、邻苯二甲酸丁基苄基酯、邻苯二甲酸二丁酯等作为增塑剂；</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快递中使用的塑料包装袋不得使用聚氯乙烯作为原料，且原料应为单一材质制成，生物分解率大于60%；</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快递中使用的充气类填充物不得使用聚氯乙烯作为原料，且原料为单一材质制成，生物分解率大于60%；</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快递中使用的集装袋应为单一材质制成，其重复使用次数应不小于80次；</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快递中应使用幅宽不大于45mm的生物降解胶带；</w:t>
      </w:r>
      <w:r>
        <w:rPr>
          <w:rFonts w:hint="eastAsia" w:asciiTheme="minorEastAsia" w:hAnsiTheme="minorEastAsia" w:eastAsiaTheme="minorEastAsia" w:cstheme="minorBidi"/>
          <w:color w:val="auto"/>
          <w:kern w:val="2"/>
          <w:sz w:val="24"/>
          <w:highlight w:val="none"/>
        </w:rPr>
        <w:t>（必要时，采购人可要求履约验收时提供第三方检测机构出具的检测报告复印件）</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快递包装中不得使用溶剂型胶粘剂；</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快递应使用电子面单；</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直接使用商品包装作为快递包装的商品，其商品包装满足《商品包装政府采购需求标准（试行）》即可；</w:t>
      </w:r>
    </w:p>
    <w:p>
      <w:pPr>
        <w:numPr>
          <w:ilvl w:val="1"/>
          <w:numId w:val="37"/>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快递包装产品质量和封装方式应符合相关国家或行业标准技术指标要求。</w:t>
      </w:r>
    </w:p>
    <w:p>
      <w:pPr>
        <w:numPr>
          <w:ilvl w:val="0"/>
          <w:numId w:val="34"/>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 xml:space="preserve">快递包装检测方法 </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快递包装中重金属（铅、汞、镉、六价铬）总量的检测按照GB/T10004-2008《包装用塑料复合膜、袋干法复合、挤出复合》规定的方法进行。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快递包装印刷使用的油墨中挥发性有机化合物(VOCs)的检测按照GB/T23986-2009《色漆和清漆挥发性有机化合物(VOC)含量的测定气相色谱法》规定的方法进行。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快递包装所使用的塑料包装的生物降解率的检测按照GB/T20197-2006《降解塑料的定义、分类、标识和降解性能要求》规定的方法进行。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快递包装使用纸基材的包装材料中有机氯的检测按照GB/T22904-2008《纸浆、纸和纸板总氯和有机氯的检定》规定的方法进行。</w:t>
      </w:r>
    </w:p>
    <w:p>
      <w:pPr>
        <w:numPr>
          <w:ilvl w:val="1"/>
          <w:numId w:val="38"/>
        </w:numPr>
        <w:snapToGrid w:val="0"/>
        <w:spacing w:after="0" w:line="360" w:lineRule="auto"/>
        <w:ind w:left="0" w:firstLine="0"/>
        <w:textAlignment w:val="auto"/>
        <w:rPr>
          <w:rFonts w:asciiTheme="minorEastAsia" w:hAnsiTheme="minorEastAsia" w:eastAsiaTheme="minorEastAsia" w:cstheme="minorBidi"/>
          <w:color w:val="auto"/>
          <w:kern w:val="2"/>
          <w:sz w:val="24"/>
          <w:highlight w:val="none"/>
        </w:rPr>
      </w:pPr>
      <w:r>
        <w:rPr>
          <w:rFonts w:asciiTheme="minorEastAsia" w:hAnsiTheme="minorEastAsia" w:eastAsiaTheme="minorEastAsia" w:cstheme="minorBidi"/>
          <w:color w:val="auto"/>
          <w:kern w:val="2"/>
          <w:sz w:val="24"/>
          <w:highlight w:val="none"/>
        </w:rPr>
        <w:t>快递包装中使用的生物降解胶带的生物降解率的检测按照GB/T19277.1《受控堆肥条件下材料最终需氧生物分解能力的测定采用测定释放的二氧化碳的方法 第1部分：通用方法》规定的方法进行。</w:t>
      </w:r>
    </w:p>
    <w:p>
      <w:pPr>
        <w:widowControl/>
        <w:spacing w:after="0"/>
        <w:jc w:val="left"/>
        <w:rPr>
          <w:b/>
          <w:bCs/>
          <w:color w:val="auto"/>
          <w:sz w:val="28"/>
          <w:szCs w:val="28"/>
          <w:highlight w:val="none"/>
        </w:rPr>
      </w:pPr>
      <w:r>
        <w:rPr>
          <w:rFonts w:hint="eastAsia" w:asciiTheme="minorEastAsia" w:hAnsiTheme="minorEastAsia" w:eastAsiaTheme="minorEastAsia" w:cstheme="minorBidi"/>
          <w:color w:val="auto"/>
          <w:kern w:val="2"/>
          <w:sz w:val="24"/>
          <w:highlight w:val="none"/>
        </w:rPr>
        <w:t>（五）项目验收时，采购人将根据上述要求对商品包装和快递包装组织验收工作。</w:t>
      </w:r>
    </w:p>
    <w:p>
      <w:pPr>
        <w:widowControl/>
        <w:spacing w:after="0"/>
        <w:jc w:val="left"/>
        <w:rPr>
          <w:b/>
          <w:bCs/>
          <w:color w:val="auto"/>
          <w:sz w:val="28"/>
          <w:szCs w:val="28"/>
          <w:highlight w:val="none"/>
        </w:rPr>
      </w:pPr>
    </w:p>
    <w:p>
      <w:pPr>
        <w:widowControl/>
        <w:spacing w:after="0"/>
        <w:jc w:val="left"/>
        <w:rPr>
          <w:b/>
          <w:bCs/>
          <w:color w:val="auto"/>
          <w:sz w:val="28"/>
          <w:szCs w:val="28"/>
          <w:highlight w:val="none"/>
        </w:rPr>
      </w:pPr>
      <w:r>
        <w:rPr>
          <w:b/>
          <w:bCs/>
          <w:color w:val="auto"/>
          <w:sz w:val="28"/>
          <w:szCs w:val="28"/>
          <w:highlight w:val="none"/>
        </w:rPr>
        <w:br w:type="page"/>
      </w:r>
    </w:p>
    <w:p>
      <w:pPr>
        <w:snapToGrid w:val="0"/>
        <w:spacing w:before="156" w:beforeLines="50" w:after="0" w:line="360" w:lineRule="auto"/>
        <w:jc w:val="center"/>
        <w:outlineLvl w:val="0"/>
        <w:rPr>
          <w:b/>
          <w:bCs/>
          <w:color w:val="auto"/>
          <w:sz w:val="28"/>
          <w:szCs w:val="28"/>
          <w:highlight w:val="none"/>
        </w:rPr>
      </w:pPr>
      <w:bookmarkStart w:id="6" w:name="_Toc27241"/>
      <w:bookmarkStart w:id="7" w:name="_Toc153184832"/>
      <w:r>
        <w:rPr>
          <w:b/>
          <w:bCs/>
          <w:color w:val="auto"/>
          <w:sz w:val="28"/>
          <w:szCs w:val="28"/>
          <w:highlight w:val="none"/>
        </w:rPr>
        <w:t>第</w:t>
      </w:r>
      <w:r>
        <w:rPr>
          <w:rFonts w:hint="eastAsia"/>
          <w:b/>
          <w:bCs/>
          <w:color w:val="auto"/>
          <w:sz w:val="28"/>
          <w:szCs w:val="28"/>
          <w:highlight w:val="none"/>
        </w:rPr>
        <w:t>四</w:t>
      </w:r>
      <w:r>
        <w:rPr>
          <w:b/>
          <w:bCs/>
          <w:color w:val="auto"/>
          <w:sz w:val="28"/>
          <w:szCs w:val="28"/>
          <w:highlight w:val="none"/>
        </w:rPr>
        <w:t>章</w:t>
      </w:r>
      <w:r>
        <w:rPr>
          <w:rFonts w:hint="eastAsia"/>
          <w:b/>
          <w:bCs/>
          <w:color w:val="auto"/>
          <w:sz w:val="28"/>
          <w:szCs w:val="28"/>
          <w:highlight w:val="none"/>
        </w:rPr>
        <w:t xml:space="preserve"> </w:t>
      </w:r>
      <w:r>
        <w:rPr>
          <w:b/>
          <w:bCs/>
          <w:color w:val="auto"/>
          <w:sz w:val="28"/>
          <w:szCs w:val="28"/>
          <w:highlight w:val="none"/>
        </w:rPr>
        <w:t>投标人须知</w:t>
      </w:r>
      <w:bookmarkEnd w:id="6"/>
      <w:bookmarkEnd w:id="7"/>
    </w:p>
    <w:p>
      <w:pPr>
        <w:snapToGrid w:val="0"/>
        <w:spacing w:before="156" w:beforeLines="50" w:after="0" w:line="360" w:lineRule="auto"/>
        <w:ind w:left="420"/>
        <w:jc w:val="center"/>
        <w:outlineLvl w:val="1"/>
        <w:rPr>
          <w:b/>
          <w:bCs/>
          <w:color w:val="auto"/>
          <w:sz w:val="28"/>
          <w:szCs w:val="28"/>
          <w:highlight w:val="none"/>
        </w:rPr>
      </w:pPr>
      <w:bookmarkStart w:id="8" w:name="_Toc153184833"/>
      <w:bookmarkStart w:id="9" w:name="_Toc13553"/>
      <w:r>
        <w:rPr>
          <w:rFonts w:hint="eastAsia"/>
          <w:b/>
          <w:bCs/>
          <w:color w:val="auto"/>
          <w:sz w:val="28"/>
          <w:szCs w:val="28"/>
          <w:highlight w:val="none"/>
        </w:rPr>
        <w:t>第一部分 投标人须知前附表</w:t>
      </w:r>
      <w:bookmarkEnd w:id="8"/>
      <w:bookmarkEnd w:id="9"/>
    </w:p>
    <w:p>
      <w:pPr>
        <w:spacing w:after="0" w:line="360" w:lineRule="auto"/>
        <w:ind w:right="-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说明：本投标人须知前附表的条款项号与《投标人须知通用条款》的条款项号一一对应，是对《投标人须知通用条款》补充、修改和完善，如果有矛盾之处，应以本投标人须知前附表为准。</w:t>
      </w:r>
    </w:p>
    <w:tbl>
      <w:tblPr>
        <w:tblStyle w:val="38"/>
        <w:tblW w:w="101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03"/>
        <w:gridCol w:w="1418"/>
        <w:gridCol w:w="6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79" w:type="dxa"/>
            <w:gridSpan w:val="2"/>
            <w:vAlign w:val="center"/>
          </w:tcPr>
          <w:p>
            <w:pPr>
              <w:spacing w:after="0"/>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w:t>
            </w:r>
            <w:r>
              <w:rPr>
                <w:rFonts w:hint="eastAsia" w:asciiTheme="minorEastAsia" w:hAnsiTheme="minorEastAsia" w:eastAsiaTheme="minorEastAsia"/>
                <w:b/>
                <w:color w:val="auto"/>
                <w:sz w:val="24"/>
                <w:highlight w:val="none"/>
              </w:rPr>
              <w:t>项</w:t>
            </w:r>
            <w:r>
              <w:rPr>
                <w:rFonts w:asciiTheme="minorEastAsia" w:hAnsiTheme="minorEastAsia" w:eastAsiaTheme="minorEastAsia"/>
                <w:b/>
                <w:color w:val="auto"/>
                <w:sz w:val="24"/>
                <w:highlight w:val="none"/>
              </w:rPr>
              <w:t>号</w:t>
            </w:r>
          </w:p>
        </w:tc>
        <w:tc>
          <w:tcPr>
            <w:tcW w:w="1418" w:type="dxa"/>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内容</w:t>
            </w:r>
          </w:p>
        </w:tc>
        <w:tc>
          <w:tcPr>
            <w:tcW w:w="6546" w:type="dxa"/>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一、总则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资金来源</w:t>
            </w:r>
          </w:p>
        </w:tc>
        <w:tc>
          <w:tcPr>
            <w:tcW w:w="6546" w:type="dxa"/>
            <w:vAlign w:val="center"/>
          </w:tcPr>
          <w:p>
            <w:pPr>
              <w:tabs>
                <w:tab w:val="left" w:pos="459"/>
                <w:tab w:val="left" w:pos="601"/>
              </w:tabs>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使用财政性资金，但本项目采购内容不在集中采购目录以内或在采购限额标准以下( 不纳入政府采购管理范围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143" w:type="dxa"/>
            <w:gridSpan w:val="4"/>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现场考察或答疑会</w:t>
            </w:r>
          </w:p>
        </w:tc>
        <w:tc>
          <w:tcPr>
            <w:tcW w:w="6546" w:type="dxa"/>
            <w:vAlign w:val="center"/>
          </w:tcPr>
          <w:p>
            <w:pPr>
              <w:tabs>
                <w:tab w:val="left" w:pos="459"/>
                <w:tab w:val="left" w:pos="601"/>
              </w:tabs>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1276" w:type="dxa"/>
            <w:vMerge w:val="restart"/>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w:t>
            </w:r>
          </w:p>
        </w:tc>
        <w:tc>
          <w:tcPr>
            <w:tcW w:w="903"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式样与</w:t>
            </w:r>
            <w:r>
              <w:rPr>
                <w:rFonts w:asciiTheme="minorEastAsia" w:hAnsiTheme="minorEastAsia" w:eastAsiaTheme="minorEastAsia"/>
                <w:color w:val="auto"/>
                <w:sz w:val="24"/>
                <w:highlight w:val="none"/>
              </w:rPr>
              <w:t>份数</w:t>
            </w:r>
          </w:p>
        </w:tc>
        <w:tc>
          <w:tcPr>
            <w:tcW w:w="6546" w:type="dxa"/>
            <w:vAlign w:val="center"/>
          </w:tcPr>
          <w:p>
            <w:pPr>
              <w:pStyle w:val="85"/>
              <w:numPr>
                <w:ilvl w:val="0"/>
                <w:numId w:val="39"/>
              </w:numPr>
              <w:tabs>
                <w:tab w:val="left" w:pos="459"/>
                <w:tab w:val="left" w:pos="601"/>
              </w:tabs>
              <w:snapToGrid w:val="0"/>
              <w:spacing w:after="0"/>
              <w:ind w:left="0" w:firstLine="0" w:firstLineChars="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正本一份，副本</w:t>
            </w:r>
            <w:r>
              <w:rPr>
                <w:rFonts w:hint="eastAsia" w:asciiTheme="minorEastAsia" w:hAnsiTheme="minorEastAsia" w:eastAsiaTheme="minorEastAsia"/>
                <w:color w:val="auto"/>
                <w:sz w:val="24"/>
                <w:highlight w:val="none"/>
                <w:lang w:val="en-US" w:eastAsia="zh-CN"/>
              </w:rPr>
              <w:t>五</w:t>
            </w:r>
            <w:r>
              <w:rPr>
                <w:rFonts w:asciiTheme="minorEastAsia" w:hAnsiTheme="minorEastAsia" w:eastAsiaTheme="minorEastAsia"/>
                <w:color w:val="auto"/>
                <w:sz w:val="24"/>
                <w:highlight w:val="none"/>
              </w:rPr>
              <w:t>份，电子介质</w:t>
            </w:r>
            <w:r>
              <w:rPr>
                <w:rFonts w:hint="eastAsia" w:asciiTheme="minorEastAsia" w:hAnsiTheme="minorEastAsia" w:eastAsiaTheme="minorEastAsia"/>
                <w:color w:val="auto"/>
                <w:sz w:val="24"/>
                <w:highlight w:val="none"/>
              </w:rPr>
              <w:t>一</w:t>
            </w:r>
            <w:r>
              <w:rPr>
                <w:rFonts w:asciiTheme="minorEastAsia" w:hAnsiTheme="minorEastAsia" w:eastAsiaTheme="minorEastAsia"/>
                <w:color w:val="auto"/>
                <w:sz w:val="24"/>
                <w:highlight w:val="none"/>
              </w:rPr>
              <w:t>份。</w:t>
            </w:r>
          </w:p>
          <w:p>
            <w:pPr>
              <w:pStyle w:val="85"/>
              <w:numPr>
                <w:ilvl w:val="0"/>
                <w:numId w:val="39"/>
              </w:numPr>
              <w:tabs>
                <w:tab w:val="left" w:pos="459"/>
                <w:tab w:val="left" w:pos="601"/>
              </w:tabs>
              <w:snapToGrid w:val="0"/>
              <w:spacing w:after="0"/>
              <w:ind w:left="0" w:firstLine="0" w:firstLineChars="0"/>
              <w:rPr>
                <w:rFonts w:ascii="宋体" w:hAnsi="宋体" w:cs="宋体"/>
                <w:color w:val="auto"/>
                <w:sz w:val="24"/>
                <w:highlight w:val="none"/>
              </w:rPr>
            </w:pPr>
            <w:r>
              <w:rPr>
                <w:rFonts w:hint="eastAsia" w:ascii="宋体" w:hAnsi="宋体" w:cs="宋体"/>
                <w:color w:val="auto"/>
                <w:sz w:val="24"/>
                <w:highlight w:val="none"/>
                <w:lang w:eastAsia="zh-TW"/>
              </w:rPr>
              <w:t>投标文件的副本</w:t>
            </w:r>
            <w:r>
              <w:rPr>
                <w:rFonts w:hint="eastAsia" w:ascii="宋体" w:hAnsi="宋体" w:cs="宋体"/>
                <w:color w:val="auto"/>
                <w:sz w:val="24"/>
                <w:highlight w:val="none"/>
              </w:rPr>
              <w:t>可采用</w:t>
            </w:r>
            <w:r>
              <w:rPr>
                <w:rFonts w:hint="eastAsia" w:ascii="宋体" w:hAnsi="宋体" w:cs="宋体"/>
                <w:color w:val="auto"/>
                <w:sz w:val="24"/>
                <w:highlight w:val="none"/>
                <w:lang w:eastAsia="zh-TW"/>
              </w:rPr>
              <w:t>正本的复印件。每套投标文件须清楚地标明“正本”或</w:t>
            </w:r>
            <w:r>
              <w:rPr>
                <w:rFonts w:hint="eastAsia" w:ascii="宋体" w:hAnsi="宋体" w:cs="宋体"/>
                <w:color w:val="auto"/>
                <w:sz w:val="24"/>
                <w:highlight w:val="none"/>
              </w:rPr>
              <w:t>“副</w:t>
            </w:r>
            <w:r>
              <w:rPr>
                <w:rFonts w:hint="eastAsia" w:ascii="宋体" w:hAnsi="宋体" w:cs="宋体"/>
                <w:color w:val="auto"/>
                <w:sz w:val="24"/>
                <w:highlight w:val="none"/>
                <w:lang w:eastAsia="zh-TW"/>
              </w:rPr>
              <w:t>本</w:t>
            </w:r>
            <w:r>
              <w:rPr>
                <w:rFonts w:hint="eastAsia" w:ascii="宋体" w:hAnsi="宋体" w:cs="宋体"/>
                <w:color w:val="auto"/>
                <w:sz w:val="24"/>
                <w:highlight w:val="none"/>
              </w:rPr>
              <w:t>”</w:t>
            </w:r>
            <w:r>
              <w:rPr>
                <w:rFonts w:hint="eastAsia" w:ascii="宋体" w:hAnsi="宋体" w:cs="宋体"/>
                <w:color w:val="auto"/>
                <w:sz w:val="24"/>
                <w:highlight w:val="none"/>
                <w:lang w:eastAsia="zh-TW"/>
              </w:rPr>
              <w:t>。</w:t>
            </w:r>
            <w:r>
              <w:rPr>
                <w:rFonts w:hint="eastAsia" w:ascii="宋体" w:hAnsi="宋体" w:cs="宋体"/>
                <w:color w:val="auto"/>
                <w:sz w:val="24"/>
                <w:highlight w:val="none"/>
              </w:rPr>
              <w:t>若副本与正本不符，以正本为准。</w:t>
            </w:r>
          </w:p>
          <w:p>
            <w:pPr>
              <w:pStyle w:val="85"/>
              <w:numPr>
                <w:ilvl w:val="0"/>
                <w:numId w:val="39"/>
              </w:numPr>
              <w:tabs>
                <w:tab w:val="left" w:pos="459"/>
                <w:tab w:val="left" w:pos="601"/>
              </w:tabs>
              <w:snapToGrid w:val="0"/>
              <w:spacing w:after="0"/>
              <w:ind w:left="0" w:firstLine="0"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电子介质是指将按招标文件要求签署、盖章后的正本投标文件扫描成PDF格式后拷贝至无病毒无密码的U盘或光盘。</w:t>
            </w:r>
          </w:p>
          <w:p>
            <w:pPr>
              <w:pStyle w:val="85"/>
              <w:numPr>
                <w:ilvl w:val="0"/>
                <w:numId w:val="39"/>
              </w:numPr>
              <w:tabs>
                <w:tab w:val="left" w:pos="459"/>
                <w:tab w:val="left" w:pos="601"/>
              </w:tabs>
              <w:snapToGrid w:val="0"/>
              <w:spacing w:after="0"/>
              <w:ind w:left="0" w:firstLine="0" w:firstLineChars="0"/>
              <w:rPr>
                <w:rFonts w:asciiTheme="minorEastAsia" w:hAnsiTheme="minorEastAsia" w:eastAsiaTheme="minorEastAsia"/>
                <w:color w:val="auto"/>
                <w:sz w:val="24"/>
                <w:highlight w:val="none"/>
              </w:rPr>
            </w:pPr>
            <w:r>
              <w:rPr>
                <w:rFonts w:hint="eastAsia" w:ascii="宋体" w:hAnsi="宋体" w:cs="宋体"/>
                <w:color w:val="auto"/>
                <w:sz w:val="24"/>
                <w:highlight w:val="none"/>
                <w:lang w:eastAsia="zh-TW"/>
              </w:rPr>
              <w:t>若</w:t>
            </w:r>
            <w:r>
              <w:rPr>
                <w:rFonts w:hint="eastAsia" w:ascii="宋体" w:hAnsi="宋体" w:cs="宋体"/>
                <w:color w:val="auto"/>
                <w:sz w:val="24"/>
                <w:highlight w:val="none"/>
              </w:rPr>
              <w:t>电子介质的投标文件</w:t>
            </w:r>
            <w:r>
              <w:rPr>
                <w:rFonts w:hint="eastAsia" w:ascii="宋体" w:hAnsi="宋体" w:cs="宋体"/>
                <w:color w:val="auto"/>
                <w:sz w:val="24"/>
                <w:highlight w:val="none"/>
                <w:lang w:eastAsia="zh-TW"/>
              </w:rPr>
              <w:t>与</w:t>
            </w:r>
            <w:r>
              <w:rPr>
                <w:rFonts w:hint="eastAsia" w:ascii="宋体" w:hAnsi="宋体" w:cs="宋体"/>
                <w:color w:val="auto"/>
                <w:sz w:val="24"/>
                <w:highlight w:val="none"/>
              </w:rPr>
              <w:t>纸质投标文件</w:t>
            </w:r>
            <w:r>
              <w:rPr>
                <w:rFonts w:hint="eastAsia" w:ascii="宋体" w:hAnsi="宋体" w:cs="宋体"/>
                <w:color w:val="auto"/>
                <w:sz w:val="24"/>
                <w:highlight w:val="none"/>
                <w:lang w:eastAsia="zh-TW"/>
              </w:rPr>
              <w:t>不符</w:t>
            </w:r>
            <w:r>
              <w:rPr>
                <w:rFonts w:hint="eastAsia" w:ascii="宋体" w:hAnsi="宋体" w:cs="宋体"/>
                <w:color w:val="auto"/>
                <w:sz w:val="24"/>
                <w:highlight w:val="none"/>
              </w:rPr>
              <w:t>，</w:t>
            </w:r>
            <w:r>
              <w:rPr>
                <w:rFonts w:hint="eastAsia" w:ascii="宋体" w:hAnsi="宋体" w:cs="宋体"/>
                <w:color w:val="auto"/>
                <w:sz w:val="24"/>
                <w:highlight w:val="none"/>
                <w:lang w:eastAsia="zh-TW"/>
              </w:rPr>
              <w:t>以</w:t>
            </w:r>
            <w:r>
              <w:rPr>
                <w:rFonts w:hint="eastAsia" w:ascii="宋体" w:hAnsi="宋体" w:cs="宋体"/>
                <w:color w:val="auto"/>
                <w:sz w:val="24"/>
                <w:highlight w:val="none"/>
              </w:rPr>
              <w:t>纸质投标文件</w:t>
            </w:r>
            <w:r>
              <w:rPr>
                <w:rFonts w:hint="eastAsia" w:ascii="宋体" w:hAnsi="宋体" w:cs="宋体"/>
                <w:color w:val="auto"/>
                <w:sz w:val="24"/>
                <w:highlight w:val="none"/>
                <w:lang w:eastAsia="zh-TW"/>
              </w:rPr>
              <w:t>为准</w:t>
            </w:r>
            <w:r>
              <w:rPr>
                <w:rFonts w:hint="eastAsia" w:asciiTheme="minorEastAsia" w:hAnsiTheme="minorEastAsia" w:eastAsiaTheme="minorEastAsia"/>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单独密封资料</w:t>
            </w:r>
          </w:p>
        </w:tc>
        <w:tc>
          <w:tcPr>
            <w:tcW w:w="6546" w:type="dxa"/>
            <w:vAlign w:val="center"/>
          </w:tcPr>
          <w:p>
            <w:pPr>
              <w:tabs>
                <w:tab w:val="left" w:pos="459"/>
                <w:tab w:val="left" w:pos="601"/>
              </w:tabs>
              <w:snapToGrid w:val="0"/>
              <w:spacing w:after="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投标人还应将下述资料一并单独密封提交，并在信封上标明“单独密封资料”字样，为了方便后续相关事宜的办理。</w:t>
            </w:r>
          </w:p>
          <w:p>
            <w:pPr>
              <w:numPr>
                <w:ilvl w:val="0"/>
                <w:numId w:val="40"/>
              </w:numPr>
              <w:tabs>
                <w:tab w:val="left" w:pos="459"/>
                <w:tab w:val="left" w:pos="601"/>
              </w:tabs>
              <w:snapToGrid w:val="0"/>
              <w:spacing w:after="0"/>
              <w:ind w:left="0" w:firstLine="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电子介质；</w:t>
            </w:r>
          </w:p>
          <w:p>
            <w:pPr>
              <w:numPr>
                <w:ilvl w:val="0"/>
                <w:numId w:val="40"/>
              </w:numPr>
              <w:tabs>
                <w:tab w:val="left" w:pos="459"/>
                <w:tab w:val="left" w:pos="601"/>
              </w:tabs>
              <w:snapToGrid w:val="0"/>
              <w:spacing w:after="0"/>
              <w:ind w:left="0" w:firstLine="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开票资料说明函；</w:t>
            </w:r>
          </w:p>
          <w:p>
            <w:pPr>
              <w:numPr>
                <w:ilvl w:val="0"/>
                <w:numId w:val="40"/>
              </w:numPr>
              <w:tabs>
                <w:tab w:val="left" w:pos="459"/>
                <w:tab w:val="left" w:pos="601"/>
              </w:tabs>
              <w:snapToGrid w:val="0"/>
              <w:spacing w:after="0"/>
              <w:ind w:left="0" w:firstLine="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营业执照</w:t>
            </w:r>
            <w:r>
              <w:rPr>
                <w:rFonts w:hint="eastAsia" w:asciiTheme="minorEastAsia" w:hAnsiTheme="minorEastAsia" w:eastAsiaTheme="minorEastAsia"/>
                <w:bCs/>
                <w:color w:val="auto"/>
                <w:sz w:val="24"/>
                <w:highlight w:val="none"/>
              </w:rPr>
              <w:t>（或事业单位法人证书或社会团体法人登记证书）复印件。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6" w:type="dxa"/>
            <w:vMerge w:val="restart"/>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w:t>
            </w:r>
          </w:p>
        </w:tc>
        <w:tc>
          <w:tcPr>
            <w:tcW w:w="903"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1</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投标报价</w:t>
            </w:r>
          </w:p>
        </w:tc>
        <w:tc>
          <w:tcPr>
            <w:tcW w:w="6546" w:type="dxa"/>
            <w:vAlign w:val="center"/>
          </w:tcPr>
          <w:p>
            <w:pPr>
              <w:tabs>
                <w:tab w:val="left" w:pos="459"/>
                <w:tab w:val="left" w:pos="601"/>
              </w:tabs>
              <w:snapToGrid w:val="0"/>
              <w:spacing w:after="0"/>
              <w:rPr>
                <w:rFonts w:ascii="宋体" w:hAnsi="宋体" w:cs="宋体"/>
                <w:color w:val="auto"/>
                <w:sz w:val="24"/>
                <w:highlight w:val="none"/>
              </w:rPr>
            </w:pPr>
            <w:r>
              <w:rPr>
                <w:rFonts w:hint="eastAsia" w:ascii="宋体" w:hAnsi="宋体" w:cs="宋体"/>
                <w:color w:val="auto"/>
                <w:sz w:val="24"/>
                <w:highlight w:val="none"/>
              </w:rPr>
              <w:t>投标报价必须按照招标文件要求进行报价，如有删除品种、缺项、漏项（数量不符合将被视为漏项）的，视为无效投标。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宋体" w:hAnsi="宋体" w:cs="宋体"/>
                <w:color w:val="auto"/>
                <w:sz w:val="24"/>
                <w:highlight w:val="none"/>
              </w:rPr>
            </w:pPr>
            <w:r>
              <w:rPr>
                <w:rFonts w:hint="eastAsia" w:asciiTheme="minorEastAsia" w:hAnsiTheme="minorEastAsia" w:eastAsiaTheme="minorEastAsia"/>
                <w:color w:val="auto"/>
                <w:sz w:val="24"/>
                <w:highlight w:val="none"/>
              </w:rPr>
              <w:t>2</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投标分项报价</w:t>
            </w:r>
          </w:p>
        </w:tc>
        <w:tc>
          <w:tcPr>
            <w:tcW w:w="6546" w:type="dxa"/>
            <w:vAlign w:val="center"/>
          </w:tcPr>
          <w:p>
            <w:pPr>
              <w:tabs>
                <w:tab w:val="left" w:pos="459"/>
                <w:tab w:val="left" w:pos="601"/>
              </w:tabs>
              <w:snapToGrid w:val="0"/>
              <w:spacing w:after="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包含但不仅仅限于</w:t>
            </w:r>
          </w:p>
          <w:p>
            <w:pPr>
              <w:tabs>
                <w:tab w:val="left" w:pos="459"/>
                <w:tab w:val="left" w:pos="601"/>
              </w:tabs>
              <w:snapToGrid w:val="0"/>
              <w:spacing w:after="0"/>
              <w:rPr>
                <w:b/>
                <w:bCs/>
                <w:color w:val="auto"/>
                <w:sz w:val="24"/>
                <w:highlight w:val="none"/>
              </w:rPr>
            </w:pPr>
            <w:r>
              <w:rPr>
                <w:rFonts w:hint="eastAsia" w:cs="宋体" w:asciiTheme="minorEastAsia" w:hAnsiTheme="minorEastAsia" w:eastAsiaTheme="minorEastAsia"/>
                <w:color w:val="auto"/>
                <w:sz w:val="24"/>
                <w:highlight w:val="none"/>
                <w:lang w:val="zh-CN"/>
              </w:rPr>
              <w:t>①全部产品价格、服务价格、应向中华人民共和国政府缴纳的增值税和其它税等全部税费、</w:t>
            </w:r>
            <w:r>
              <w:rPr>
                <w:rFonts w:cs="宋体" w:asciiTheme="minorEastAsia" w:hAnsiTheme="minorEastAsia" w:eastAsiaTheme="minorEastAsia"/>
                <w:color w:val="auto"/>
                <w:sz w:val="24"/>
                <w:highlight w:val="none"/>
                <w:lang w:val="zh-CN"/>
              </w:rPr>
              <w:t>运输、保险、安装、伴随服务、</w:t>
            </w:r>
            <w:r>
              <w:rPr>
                <w:rFonts w:hint="eastAsia" w:cs="宋体" w:asciiTheme="minorEastAsia" w:hAnsiTheme="minorEastAsia" w:eastAsiaTheme="minorEastAsia"/>
                <w:color w:val="auto"/>
                <w:sz w:val="24"/>
                <w:highlight w:val="none"/>
                <w:lang w:val="zh-CN"/>
              </w:rPr>
              <w:t>标准附件价、备品备件及专用工具价</w:t>
            </w:r>
            <w:r>
              <w:rPr>
                <w:rFonts w:cs="宋体" w:asciiTheme="minorEastAsia" w:hAnsiTheme="minorEastAsia" w:eastAsiaTheme="minorEastAsia"/>
                <w:color w:val="auto"/>
                <w:sz w:val="24"/>
                <w:highlight w:val="none"/>
                <w:lang w:val="zh-CN"/>
              </w:rPr>
              <w:t>(</w:t>
            </w:r>
            <w:r>
              <w:rPr>
                <w:rFonts w:hint="eastAsia" w:cs="宋体" w:asciiTheme="minorEastAsia" w:hAnsiTheme="minorEastAsia" w:eastAsiaTheme="minorEastAsia"/>
                <w:color w:val="auto"/>
                <w:sz w:val="24"/>
                <w:highlight w:val="none"/>
                <w:lang w:val="zh-CN"/>
              </w:rPr>
              <w:t>如有</w:t>
            </w:r>
            <w:r>
              <w:rPr>
                <w:rFonts w:cs="宋体" w:asciiTheme="minorEastAsia" w:hAnsiTheme="minorEastAsia" w:eastAsiaTheme="minorEastAsia"/>
                <w:color w:val="auto"/>
                <w:sz w:val="24"/>
                <w:highlight w:val="none"/>
                <w:lang w:val="zh-CN"/>
              </w:rPr>
              <w:t>)、以及</w:t>
            </w:r>
            <w:r>
              <w:rPr>
                <w:rFonts w:hint="eastAsia" w:cs="宋体" w:asciiTheme="minorEastAsia" w:hAnsiTheme="minorEastAsia" w:eastAsiaTheme="minorEastAsia"/>
                <w:color w:val="auto"/>
                <w:sz w:val="24"/>
                <w:highlight w:val="none"/>
                <w:lang w:val="zh-CN"/>
              </w:rPr>
              <w:t>履行合同所需的费用、</w:t>
            </w:r>
            <w:r>
              <w:rPr>
                <w:rFonts w:cs="宋体" w:asciiTheme="minorEastAsia" w:hAnsiTheme="minorEastAsia" w:eastAsiaTheme="minorEastAsia"/>
                <w:color w:val="auto"/>
                <w:sz w:val="24"/>
                <w:highlight w:val="none"/>
                <w:lang w:val="zh-CN"/>
              </w:rPr>
              <w:t>所有风险、责任等</w:t>
            </w:r>
            <w:r>
              <w:rPr>
                <w:rFonts w:hint="eastAsia" w:cs="宋体" w:asciiTheme="minorEastAsia" w:hAnsiTheme="minorEastAsia" w:eastAsiaTheme="minorEastAsia"/>
                <w:color w:val="auto"/>
                <w:sz w:val="24"/>
                <w:highlight w:val="none"/>
                <w:lang w:val="zh-CN"/>
              </w:rPr>
              <w:t>其他一切隐含及不可预见的费用</w:t>
            </w:r>
            <w:r>
              <w:rPr>
                <w:rFonts w:cs="宋体" w:asciiTheme="minorEastAsia" w:hAnsiTheme="minorEastAsia" w:eastAsiaTheme="minorEastAsia"/>
                <w:color w:val="auto"/>
                <w:sz w:val="24"/>
                <w:highlight w:val="none"/>
                <w:lang w:val="zh-CN"/>
              </w:rPr>
              <w:t>。如是</w:t>
            </w:r>
            <w:r>
              <w:rPr>
                <w:rFonts w:hint="eastAsia" w:cs="宋体" w:asciiTheme="minorEastAsia" w:hAnsiTheme="minorEastAsia" w:eastAsiaTheme="minorEastAsia"/>
                <w:color w:val="auto"/>
                <w:sz w:val="24"/>
                <w:highlight w:val="none"/>
                <w:lang w:val="zh-CN"/>
              </w:rPr>
              <w:t>提供境外的货物，还应包括货物从境外进口己缴纳或应缴纳的全部关税、增值税和其它税、报货物境外离岸价格、国外运输费、国外运输保险费等费用。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备选方案</w:t>
            </w:r>
          </w:p>
        </w:tc>
        <w:tc>
          <w:tcPr>
            <w:tcW w:w="6546" w:type="dxa"/>
            <w:vAlign w:val="center"/>
          </w:tcPr>
          <w:p>
            <w:pPr>
              <w:tabs>
                <w:tab w:val="left" w:pos="459"/>
                <w:tab w:val="left" w:pos="601"/>
              </w:tabs>
              <w:snapToGrid w:val="0"/>
              <w:spacing w:after="0"/>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不允许,每项报价或每种规格货物或每项服务只允许有一个报价，否则将被视为无效投标。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w:t>
            </w:r>
          </w:p>
        </w:tc>
        <w:tc>
          <w:tcPr>
            <w:tcW w:w="903"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eastAsia="zh-TW"/>
              </w:rPr>
              <w:t>投标保证金</w:t>
            </w:r>
          </w:p>
        </w:tc>
        <w:tc>
          <w:tcPr>
            <w:tcW w:w="6546" w:type="dxa"/>
            <w:vAlign w:val="center"/>
          </w:tcPr>
          <w:p>
            <w:pPr>
              <w:tabs>
                <w:tab w:val="left" w:pos="459"/>
                <w:tab w:val="left" w:pos="601"/>
              </w:tabs>
              <w:snapToGrid w:val="0"/>
              <w:spacing w:after="0"/>
              <w:rPr>
                <w:rFonts w:hint="eastAsia" w:ascii="宋体" w:hAnsi="宋体" w:cs="宋体"/>
                <w:b/>
                <w:bCs/>
                <w:color w:val="auto"/>
                <w:sz w:val="24"/>
                <w:highlight w:val="none"/>
              </w:rPr>
            </w:pPr>
            <w:r>
              <w:rPr>
                <w:rFonts w:hint="eastAsia" w:ascii="宋体" w:hAnsi="宋体" w:cs="宋体"/>
                <w:bCs/>
                <w:color w:val="auto"/>
                <w:sz w:val="24"/>
                <w:highlight w:val="none"/>
              </w:rPr>
              <w:t>本项目不要求交纳投标保证金。招标文件中关于投标保证金的事项及有关条款不适用。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（十一）</w:t>
            </w:r>
          </w:p>
        </w:tc>
        <w:tc>
          <w:tcPr>
            <w:tcW w:w="903"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投标有效期</w:t>
            </w:r>
          </w:p>
        </w:tc>
        <w:tc>
          <w:tcPr>
            <w:tcW w:w="6546" w:type="dxa"/>
            <w:vAlign w:val="center"/>
          </w:tcPr>
          <w:p>
            <w:pPr>
              <w:spacing w:after="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90</w:t>
            </w:r>
            <w:r>
              <w:rPr>
                <w:rFonts w:hint="eastAsia" w:asciiTheme="minorEastAsia" w:hAnsiTheme="minorEastAsia" w:eastAsiaTheme="minorEastAsia"/>
                <w:color w:val="auto"/>
                <w:sz w:val="24"/>
                <w:highlight w:val="none"/>
              </w:rPr>
              <w:t>日历日。</w:t>
            </w:r>
            <w:r>
              <w:rPr>
                <w:rFonts w:hint="eastAsia" w:ascii="宋体" w:hAnsi="宋体" w:cs="宋体"/>
                <w:color w:val="auto"/>
                <w:sz w:val="24"/>
                <w:highlight w:val="none"/>
                <w:lang w:eastAsia="zh-TW"/>
              </w:rPr>
              <w:t>投标有效期不足的投标</w:t>
            </w:r>
            <w:r>
              <w:rPr>
                <w:rFonts w:hint="eastAsia" w:ascii="宋体" w:hAnsi="宋体" w:cs="宋体"/>
                <w:color w:val="auto"/>
                <w:sz w:val="24"/>
                <w:highlight w:val="none"/>
              </w:rPr>
              <w:t>，</w:t>
            </w:r>
            <w:r>
              <w:rPr>
                <w:rFonts w:hint="eastAsia" w:ascii="宋体" w:hAnsi="宋体" w:cs="宋体"/>
                <w:color w:val="auto"/>
                <w:sz w:val="24"/>
                <w:highlight w:val="none"/>
                <w:lang w:eastAsia="zh-TW"/>
              </w:rPr>
              <w:t>将被</w:t>
            </w:r>
            <w:r>
              <w:rPr>
                <w:rFonts w:hint="eastAsia" w:ascii="宋体" w:hAnsi="宋体" w:cs="宋体"/>
                <w:color w:val="auto"/>
                <w:sz w:val="24"/>
                <w:highlight w:val="none"/>
              </w:rPr>
              <w:t>视为</w:t>
            </w:r>
            <w:r>
              <w:rPr>
                <w:rFonts w:hint="eastAsia" w:ascii="宋体" w:hAnsi="宋体" w:cs="宋体"/>
                <w:b/>
                <w:color w:val="auto"/>
                <w:sz w:val="24"/>
                <w:highlight w:val="none"/>
              </w:rPr>
              <w:t>无效投标</w:t>
            </w:r>
            <w:r>
              <w:rPr>
                <w:rFonts w:hint="eastAsia" w:ascii="宋体" w:hAnsi="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五、开标、评标、定标与合同签订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76" w:type="dxa"/>
            <w:vMerge w:val="restart"/>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评标委员会成员人数</w:t>
            </w:r>
          </w:p>
        </w:tc>
        <w:tc>
          <w:tcPr>
            <w:tcW w:w="6546" w:type="dxa"/>
            <w:vAlign w:val="center"/>
          </w:tcPr>
          <w:p>
            <w:pPr>
              <w:spacing w:after="0" w:line="360"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5人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76" w:type="dxa"/>
            <w:vMerge w:val="continue"/>
            <w:vAlign w:val="center"/>
          </w:tcPr>
          <w:p>
            <w:pPr>
              <w:spacing w:after="0"/>
              <w:jc w:val="center"/>
              <w:rPr>
                <w:rFonts w:asciiTheme="minorEastAsia" w:hAnsiTheme="minorEastAsia" w:eastAsiaTheme="minorEastAsia"/>
                <w:color w:val="auto"/>
                <w:sz w:val="24"/>
                <w:highlight w:val="none"/>
              </w:rPr>
            </w:pP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评标方法</w:t>
            </w:r>
          </w:p>
        </w:tc>
        <w:tc>
          <w:tcPr>
            <w:tcW w:w="6546" w:type="dxa"/>
            <w:vAlign w:val="center"/>
          </w:tcPr>
          <w:p>
            <w:pPr>
              <w:spacing w:after="0" w:line="360"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418" w:type="dxa"/>
            <w:vAlign w:val="center"/>
          </w:tcPr>
          <w:p>
            <w:pPr>
              <w:spacing w:after="0"/>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推荐中标候选人</w:t>
            </w:r>
          </w:p>
        </w:tc>
        <w:tc>
          <w:tcPr>
            <w:tcW w:w="6546" w:type="dxa"/>
            <w:vAlign w:val="center"/>
          </w:tcPr>
          <w:p>
            <w:pPr>
              <w:spacing w:after="0"/>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综合评分法：推荐综合得分排名第一的投标人为第一中标候选人，排名第二的投标人为第二中标候选人，排名第三的投标人为第三中标候选人。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418" w:type="dxa"/>
            <w:vAlign w:val="center"/>
          </w:tcPr>
          <w:p>
            <w:pPr>
              <w:spacing w:after="0"/>
              <w:jc w:val="center"/>
              <w:rPr>
                <w:rFonts w:asciiTheme="minorEastAsia" w:hAnsiTheme="minorEastAsia" w:eastAsiaTheme="minorEastAsia"/>
                <w:bCs/>
                <w:color w:val="auto"/>
                <w:sz w:val="24"/>
                <w:highlight w:val="none"/>
              </w:rPr>
            </w:pPr>
            <w:r>
              <w:rPr>
                <w:rFonts w:hint="eastAsia"/>
                <w:color w:val="auto"/>
                <w:sz w:val="24"/>
                <w:highlight w:val="none"/>
              </w:rPr>
              <w:t>中标人的确定</w:t>
            </w:r>
          </w:p>
        </w:tc>
        <w:tc>
          <w:tcPr>
            <w:tcW w:w="6546" w:type="dxa"/>
            <w:vAlign w:val="center"/>
          </w:tcPr>
          <w:p>
            <w:pPr>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中标候选人并列的，由采购人采取下述方式</w:t>
            </w:r>
            <w:r>
              <w:rPr>
                <w:rFonts w:hint="eastAsia" w:asciiTheme="minorEastAsia" w:hAnsiTheme="minorEastAsia" w:eastAsiaTheme="minorEastAsia"/>
                <w:color w:val="auto"/>
                <w:sz w:val="24"/>
                <w:highlight w:val="none"/>
                <w:u w:val="single"/>
              </w:rPr>
              <w:t xml:space="preserve"> 一 </w:t>
            </w:r>
            <w:r>
              <w:rPr>
                <w:rFonts w:hint="eastAsia" w:asciiTheme="minorEastAsia" w:hAnsiTheme="minorEastAsia" w:eastAsiaTheme="minorEastAsia"/>
                <w:color w:val="auto"/>
                <w:sz w:val="24"/>
                <w:highlight w:val="none"/>
              </w:rPr>
              <w:t>确定中标人。</w:t>
            </w:r>
          </w:p>
          <w:p>
            <w:pPr>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方式一：随机抽取；</w:t>
            </w:r>
          </w:p>
          <w:p>
            <w:pPr>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方式二：按技术部分得分高低顺序；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418" w:type="dxa"/>
            <w:vAlign w:val="center"/>
          </w:tcPr>
          <w:p>
            <w:pPr>
              <w:spacing w:after="0"/>
              <w:jc w:val="center"/>
              <w:rPr>
                <w:color w:val="auto"/>
                <w:sz w:val="24"/>
                <w:highlight w:val="none"/>
              </w:rPr>
            </w:pPr>
            <w:r>
              <w:rPr>
                <w:rFonts w:hint="eastAsia" w:ascii="宋体" w:hAnsi="宋体" w:cs="宋体"/>
                <w:color w:val="auto"/>
                <w:sz w:val="24"/>
                <w:highlight w:val="none"/>
              </w:rPr>
              <w:t>采购代理服务费</w:t>
            </w:r>
          </w:p>
        </w:tc>
        <w:tc>
          <w:tcPr>
            <w:tcW w:w="6546" w:type="dxa"/>
          </w:tcPr>
          <w:p>
            <w:pPr>
              <w:pStyle w:val="85"/>
              <w:numPr>
                <w:ilvl w:val="0"/>
                <w:numId w:val="41"/>
              </w:numPr>
              <w:tabs>
                <w:tab w:val="left" w:pos="524"/>
                <w:tab w:val="left" w:pos="601"/>
              </w:tabs>
              <w:snapToGrid w:val="0"/>
              <w:spacing w:after="0"/>
              <w:ind w:left="99" w:hanging="99" w:firstLineChars="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本次采购代理服务费向</w:t>
            </w:r>
            <w:r>
              <w:rPr>
                <w:rFonts w:hint="eastAsia" w:asciiTheme="minorEastAsia" w:hAnsiTheme="minorEastAsia" w:eastAsiaTheme="minorEastAsia"/>
                <w:color w:val="auto"/>
                <w:sz w:val="24"/>
                <w:highlight w:val="none"/>
                <w:u w:val="single"/>
              </w:rPr>
              <w:t xml:space="preserve"> 中标人 </w:t>
            </w:r>
            <w:r>
              <w:rPr>
                <w:rFonts w:hint="eastAsia" w:asciiTheme="minorEastAsia" w:hAnsiTheme="minorEastAsia" w:eastAsiaTheme="minorEastAsia"/>
                <w:color w:val="auto"/>
                <w:sz w:val="24"/>
                <w:highlight w:val="none"/>
              </w:rPr>
              <w:t>收取。</w:t>
            </w:r>
          </w:p>
          <w:p>
            <w:pPr>
              <w:pStyle w:val="85"/>
              <w:numPr>
                <w:ilvl w:val="0"/>
                <w:numId w:val="41"/>
              </w:numPr>
              <w:tabs>
                <w:tab w:val="left" w:pos="524"/>
                <w:tab w:val="left" w:pos="601"/>
              </w:tabs>
              <w:snapToGrid w:val="0"/>
              <w:spacing w:after="0"/>
              <w:ind w:left="99" w:hanging="99" w:firstLineChars="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按照下述标准和规定向采购代理机构缴纳采购代理服务费：</w:t>
            </w:r>
          </w:p>
          <w:p>
            <w:pPr>
              <w:spacing w:after="0"/>
              <w:ind w:firstLine="480" w:firstLineChars="200"/>
              <w:rPr>
                <w:rFonts w:asciiTheme="minorEastAsia" w:hAnsiTheme="minorEastAsia" w:eastAsiaTheme="minorEastAsia"/>
                <w:color w:val="auto"/>
                <w:sz w:val="24"/>
                <w:highlight w:val="none"/>
              </w:rPr>
            </w:pPr>
            <w:r>
              <w:rPr>
                <w:rFonts w:hint="eastAsia" w:asciiTheme="minorEastAsia" w:hAnsiTheme="minorEastAsia"/>
                <w:color w:val="auto"/>
                <w:sz w:val="24"/>
                <w:highlight w:val="none"/>
              </w:rPr>
              <w:t>差额定率累进法收费：</w:t>
            </w:r>
            <w:r>
              <w:rPr>
                <w:rFonts w:asciiTheme="minorEastAsia" w:hAnsiTheme="minorEastAsia"/>
                <w:color w:val="auto"/>
                <w:sz w:val="24"/>
                <w:highlight w:val="none"/>
              </w:rPr>
              <w:t>以</w:t>
            </w:r>
            <w:r>
              <w:rPr>
                <w:rFonts w:ascii="宋体" w:hAnsi="宋体"/>
                <w:bCs/>
                <w:color w:val="auto"/>
                <w:sz w:val="24"/>
                <w:highlight w:val="none"/>
                <w:u w:val="single"/>
              </w:rPr>
              <w:t>中标通知书中</w:t>
            </w:r>
            <w:r>
              <w:rPr>
                <w:rFonts w:hint="eastAsia" w:ascii="宋体" w:hAnsi="宋体"/>
                <w:bCs/>
                <w:color w:val="auto"/>
                <w:sz w:val="24"/>
                <w:highlight w:val="none"/>
                <w:u w:val="single"/>
              </w:rPr>
              <w:t>的</w:t>
            </w:r>
            <w:r>
              <w:rPr>
                <w:rFonts w:hint="eastAsia" w:ascii="宋体" w:hAnsi="宋体"/>
                <w:bCs/>
                <w:color w:val="auto"/>
                <w:sz w:val="24"/>
                <w:highlight w:val="none"/>
                <w:u w:val="single"/>
                <w:lang w:val="en-US" w:eastAsia="zh-CN"/>
              </w:rPr>
              <w:t>总价</w:t>
            </w:r>
            <w:r>
              <w:rPr>
                <w:rFonts w:hint="eastAsia" w:ascii="宋体" w:hAnsi="宋体"/>
                <w:bCs/>
                <w:color w:val="auto"/>
                <w:sz w:val="24"/>
                <w:highlight w:val="none"/>
                <w:u w:val="single"/>
              </w:rPr>
              <w:t>中标金额</w:t>
            </w:r>
            <w:r>
              <w:rPr>
                <w:rFonts w:hint="eastAsia" w:asciiTheme="minorEastAsia" w:hAnsiTheme="minorEastAsia"/>
                <w:bCs/>
                <w:color w:val="auto"/>
                <w:sz w:val="24"/>
                <w:highlight w:val="none"/>
                <w:u w:val="single"/>
              </w:rPr>
              <w:t xml:space="preserve"> </w:t>
            </w:r>
            <w:r>
              <w:rPr>
                <w:rFonts w:hint="eastAsia" w:asciiTheme="minorEastAsia" w:hAnsiTheme="minorEastAsia"/>
                <w:bCs/>
                <w:color w:val="auto"/>
                <w:sz w:val="24"/>
                <w:highlight w:val="none"/>
              </w:rPr>
              <w:t>作为采购代理服务费的计算基数</w:t>
            </w:r>
            <w:r>
              <w:rPr>
                <w:rFonts w:hint="eastAsia" w:asciiTheme="minorEastAsia" w:hAnsiTheme="minorEastAsia"/>
                <w:color w:val="auto"/>
                <w:sz w:val="24"/>
                <w:highlight w:val="none"/>
              </w:rPr>
              <w:t>。按照下表规定的“</w:t>
            </w:r>
            <w:r>
              <w:rPr>
                <w:rFonts w:hint="eastAsia" w:asciiTheme="minorEastAsia" w:hAnsiTheme="minorEastAsia"/>
                <w:color w:val="auto"/>
                <w:sz w:val="24"/>
                <w:highlight w:val="none"/>
                <w:u w:val="single"/>
              </w:rPr>
              <w:t>货物类”</w:t>
            </w:r>
            <w:r>
              <w:rPr>
                <w:rFonts w:hint="eastAsia" w:asciiTheme="minorEastAsia" w:hAnsiTheme="minorEastAsia"/>
                <w:color w:val="auto"/>
                <w:sz w:val="24"/>
                <w:highlight w:val="none"/>
              </w:rPr>
              <w:t>计费标准计算并缴纳</w:t>
            </w:r>
            <w:r>
              <w:rPr>
                <w:rFonts w:hint="eastAsia" w:asciiTheme="minorEastAsia" w:hAnsiTheme="minorEastAsia" w:eastAsiaTheme="minorEastAsia"/>
                <w:bCs/>
                <w:color w:val="auto"/>
                <w:sz w:val="24"/>
                <w:highlight w:val="none"/>
              </w:rPr>
              <w:t>。</w:t>
            </w:r>
          </w:p>
          <w:tbl>
            <w:tblPr>
              <w:tblStyle w:val="38"/>
              <w:tblW w:w="54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8"/>
              <w:gridCol w:w="1485"/>
              <w:gridCol w:w="1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438" w:type="dxa"/>
                </w:tcPr>
                <w:p>
                  <w:pPr>
                    <w:snapToGrid w:val="0"/>
                    <w:spacing w:after="0"/>
                    <w:ind w:firstLine="1320" w:firstLineChars="55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32385</wp:posOffset>
                            </wp:positionV>
                            <wp:extent cx="1345565" cy="379730"/>
                            <wp:effectExtent l="0" t="0" r="6985" b="1270"/>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345565" cy="37973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2.75pt;margin-top:2.55pt;height:29.9pt;width:105.95pt;z-index:251659264;mso-width-relative:page;mso-height-relative:page;" filled="f" stroked="t" coordsize="21600,21600" o:gfxdata="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G3K&#10;VdYAAAAHAQAADwAAAAAAAAABACAAAAAiAAAAZHJzL2Rvd25yZXYueG1sUEsBAhQAFAAAAAgAh07i&#10;QOn4jobrAQAArwMAAA4AAAAAAAAAAQAgAAAAJQEAAGRycy9lMm9Eb2MueG1sUEsFBgAAAAAGAAYA&#10;WQEAAIIFAAAAAA==&#10;">
                            <v:fill on="f" focussize="0,0"/>
                            <v:stroke color="#000000" joinstyle="round"/>
                            <v:imagedata o:title=""/>
                            <o:lock v:ext="edit" aspectratio="f"/>
                          </v:line>
                        </w:pict>
                      </mc:Fallback>
                    </mc:AlternateContent>
                  </w:r>
                  <w:r>
                    <w:rPr>
                      <w:rFonts w:hint="eastAsia" w:ascii="宋体" w:hAnsi="宋体"/>
                      <w:bCs/>
                      <w:color w:val="auto"/>
                      <w:sz w:val="24"/>
                      <w:highlight w:val="none"/>
                    </w:rPr>
                    <w:t>费率</w:t>
                  </w:r>
                </w:p>
                <w:p>
                  <w:pPr>
                    <w:snapToGrid w:val="0"/>
                    <w:spacing w:after="0"/>
                    <w:rPr>
                      <w:rFonts w:ascii="宋体" w:hAnsi="宋体" w:cs="宋体"/>
                      <w:color w:val="auto"/>
                      <w:sz w:val="24"/>
                      <w:highlight w:val="none"/>
                    </w:rPr>
                  </w:pPr>
                  <w:r>
                    <w:rPr>
                      <w:rFonts w:hint="eastAsia" w:ascii="宋体" w:hAnsi="宋体"/>
                      <w:bCs/>
                      <w:color w:val="auto"/>
                      <w:sz w:val="24"/>
                      <w:highlight w:val="none"/>
                    </w:rPr>
                    <w:t>中标金额</w:t>
                  </w:r>
                </w:p>
              </w:tc>
              <w:tc>
                <w:tcPr>
                  <w:tcW w:w="1485" w:type="dxa"/>
                  <w:vAlign w:val="center"/>
                </w:tcPr>
                <w:p>
                  <w:pPr>
                    <w:snapToGrid w:val="0"/>
                    <w:spacing w:after="0"/>
                    <w:jc w:val="center"/>
                    <w:rPr>
                      <w:rFonts w:ascii="宋体" w:hAnsi="宋体" w:cs="宋体"/>
                      <w:color w:val="auto"/>
                      <w:sz w:val="24"/>
                      <w:highlight w:val="none"/>
                    </w:rPr>
                  </w:pPr>
                  <w:r>
                    <w:rPr>
                      <w:rFonts w:hint="eastAsia" w:ascii="宋体" w:hAnsi="宋体"/>
                      <w:bCs/>
                      <w:color w:val="auto"/>
                      <w:sz w:val="24"/>
                      <w:highlight w:val="none"/>
                    </w:rPr>
                    <w:t>货物招标</w:t>
                  </w:r>
                </w:p>
              </w:tc>
              <w:tc>
                <w:tcPr>
                  <w:tcW w:w="1573" w:type="dxa"/>
                  <w:vAlign w:val="center"/>
                </w:tcPr>
                <w:p>
                  <w:pPr>
                    <w:snapToGrid w:val="0"/>
                    <w:spacing w:after="0"/>
                    <w:jc w:val="center"/>
                    <w:rPr>
                      <w:rFonts w:ascii="宋体" w:hAnsi="宋体" w:cs="宋体"/>
                      <w:color w:val="auto"/>
                      <w:sz w:val="24"/>
                      <w:highlight w:val="none"/>
                    </w:rPr>
                  </w:pPr>
                  <w:r>
                    <w:rPr>
                      <w:rFonts w:hint="eastAsia" w:ascii="宋体" w:hAnsi="宋体"/>
                      <w:bCs/>
                      <w:color w:val="auto"/>
                      <w:sz w:val="24"/>
                      <w:highlight w:val="none"/>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bCs/>
                      <w:color w:val="auto"/>
                      <w:sz w:val="24"/>
                      <w:highlight w:val="none"/>
                    </w:rPr>
                  </w:pPr>
                  <w:r>
                    <w:rPr>
                      <w:rFonts w:hint="eastAsia" w:ascii="宋体" w:hAnsi="宋体"/>
                      <w:color w:val="auto"/>
                      <w:sz w:val="24"/>
                      <w:highlight w:val="none"/>
                    </w:rPr>
                    <w:t>100万元以下</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1.5%</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100～500万元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1.1%</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500～1000万元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0.8%</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1000～5000万元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0.5%</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5000万元～1亿元</w:t>
                  </w:r>
                </w:p>
              </w:tc>
              <w:tc>
                <w:tcPr>
                  <w:tcW w:w="1485" w:type="dxa"/>
                  <w:vAlign w:val="center"/>
                </w:tcPr>
                <w:p>
                  <w:pPr>
                    <w:spacing w:after="0"/>
                    <w:jc w:val="center"/>
                    <w:rPr>
                      <w:rFonts w:ascii="宋体" w:hAnsi="宋体"/>
                      <w:color w:val="auto"/>
                      <w:sz w:val="24"/>
                      <w:highlight w:val="none"/>
                    </w:rPr>
                  </w:pPr>
                  <w:r>
                    <w:rPr>
                      <w:rFonts w:ascii="宋体" w:hAnsi="宋体"/>
                      <w:color w:val="auto"/>
                      <w:sz w:val="24"/>
                      <w:highlight w:val="none"/>
                    </w:rPr>
                    <w:t>0.25%</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s="宋体"/>
                      <w:color w:val="auto"/>
                      <w:sz w:val="24"/>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1～5亿元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0.05%</w:t>
                  </w:r>
                </w:p>
              </w:tc>
              <w:tc>
                <w:tcPr>
                  <w:tcW w:w="1573"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5～10亿元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0.035%</w:t>
                  </w:r>
                </w:p>
              </w:tc>
              <w:tc>
                <w:tcPr>
                  <w:tcW w:w="1573"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10～50亿元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0.008%</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olor w:val="auto"/>
                      <w:sz w:val="24"/>
                      <w:highlight w:val="none"/>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50～100亿元</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0.006%</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olor w:val="auto"/>
                      <w:sz w:val="24"/>
                      <w:highlight w:val="none"/>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100亿以上</w:t>
                  </w:r>
                </w:p>
              </w:tc>
              <w:tc>
                <w:tcPr>
                  <w:tcW w:w="1485" w:type="dxa"/>
                  <w:vAlign w:val="center"/>
                </w:tcPr>
                <w:p>
                  <w:pPr>
                    <w:spacing w:after="0"/>
                    <w:jc w:val="center"/>
                    <w:rPr>
                      <w:rFonts w:ascii="宋体" w:hAnsi="宋体"/>
                      <w:color w:val="auto"/>
                      <w:sz w:val="24"/>
                      <w:highlight w:val="none"/>
                    </w:rPr>
                  </w:pPr>
                  <w:r>
                    <w:rPr>
                      <w:rFonts w:hint="eastAsia" w:ascii="宋体" w:hAnsi="宋体"/>
                      <w:color w:val="auto"/>
                      <w:sz w:val="24"/>
                      <w:highlight w:val="none"/>
                    </w:rPr>
                    <w:t>0.004%</w:t>
                  </w:r>
                </w:p>
              </w:tc>
              <w:tc>
                <w:tcPr>
                  <w:tcW w:w="1573" w:type="dxa"/>
                  <w:vAlign w:val="center"/>
                </w:tcPr>
                <w:p>
                  <w:pPr>
                    <w:spacing w:after="0"/>
                    <w:ind w:firstLine="240" w:firstLineChars="100"/>
                    <w:jc w:val="center"/>
                    <w:rPr>
                      <w:rFonts w:ascii="宋体" w:hAnsi="宋体"/>
                      <w:color w:val="auto"/>
                      <w:sz w:val="24"/>
                      <w:highlight w:val="none"/>
                    </w:rPr>
                  </w:pPr>
                  <w:r>
                    <w:rPr>
                      <w:rFonts w:hint="eastAsia" w:ascii="宋体" w:hAnsi="宋体"/>
                      <w:color w:val="auto"/>
                      <w:sz w:val="24"/>
                      <w:highlight w:val="none"/>
                    </w:rPr>
                    <w:t>0.004%</w:t>
                  </w:r>
                </w:p>
              </w:tc>
            </w:tr>
          </w:tbl>
          <w:p>
            <w:pPr>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例如：某货物招标中标金额/采购预算为人民币850万元，计算采购代理服务收费额如下：</w:t>
            </w:r>
          </w:p>
          <w:p>
            <w:pPr>
              <w:snapToGrid w:val="0"/>
              <w:spacing w:after="0" w:line="360" w:lineRule="auto"/>
              <w:ind w:left="316" w:leftChars="158" w:firstLine="1680" w:firstLineChars="700"/>
              <w:jc w:val="left"/>
              <w:rPr>
                <w:rFonts w:ascii="宋体" w:hAnsi="宋体" w:cs="宋体"/>
                <w:color w:val="auto"/>
                <w:sz w:val="24"/>
                <w:highlight w:val="none"/>
              </w:rPr>
            </w:pPr>
            <w:r>
              <w:rPr>
                <w:rFonts w:hint="eastAsia" w:ascii="宋体" w:hAnsi="宋体" w:cs="宋体"/>
                <w:color w:val="auto"/>
                <w:sz w:val="24"/>
                <w:highlight w:val="none"/>
              </w:rPr>
              <w:t>100万元×1.5%=1.5万元</w:t>
            </w:r>
          </w:p>
          <w:p>
            <w:pPr>
              <w:snapToGrid w:val="0"/>
              <w:spacing w:after="0" w:line="360" w:lineRule="auto"/>
              <w:ind w:left="316" w:leftChars="158" w:firstLine="1440" w:firstLineChars="600"/>
              <w:jc w:val="left"/>
              <w:rPr>
                <w:rFonts w:ascii="宋体" w:hAnsi="宋体" w:cs="宋体"/>
                <w:color w:val="auto"/>
                <w:sz w:val="24"/>
                <w:highlight w:val="none"/>
              </w:rPr>
            </w:pPr>
            <w:r>
              <w:rPr>
                <w:rFonts w:hint="eastAsia" w:ascii="宋体" w:hAnsi="宋体" w:cs="宋体"/>
                <w:color w:val="auto"/>
                <w:sz w:val="24"/>
                <w:highlight w:val="none"/>
              </w:rPr>
              <w:t>（500-100）万元×1.1%=4.4万元</w:t>
            </w:r>
          </w:p>
          <w:p>
            <w:pPr>
              <w:snapToGrid w:val="0"/>
              <w:spacing w:after="0" w:line="360" w:lineRule="auto"/>
              <w:ind w:left="316" w:leftChars="158" w:firstLine="1320" w:firstLineChars="550"/>
              <w:jc w:val="left"/>
              <w:rPr>
                <w:rFonts w:ascii="宋体" w:hAnsi="宋体" w:cs="宋体"/>
                <w:color w:val="auto"/>
                <w:sz w:val="24"/>
                <w:highlight w:val="none"/>
              </w:rPr>
            </w:pPr>
            <w:r>
              <w:rPr>
                <w:rFonts w:hint="eastAsia" w:ascii="宋体" w:hAnsi="宋体" w:cs="宋体"/>
                <w:color w:val="auto"/>
                <w:sz w:val="24"/>
                <w:highlight w:val="none"/>
              </w:rPr>
              <w:t>（850-500）万元×0.8%=2.8万元</w:t>
            </w:r>
          </w:p>
          <w:p>
            <w:pPr>
              <w:pStyle w:val="85"/>
              <w:spacing w:after="0"/>
              <w:ind w:left="332" w:leftChars="166" w:firstLine="1320" w:firstLineChars="550"/>
              <w:jc w:val="left"/>
              <w:rPr>
                <w:rFonts w:ascii="宋体" w:hAnsi="宋体" w:cs="宋体"/>
                <w:color w:val="auto"/>
                <w:sz w:val="24"/>
                <w:highlight w:val="none"/>
              </w:rPr>
            </w:pPr>
            <w:r>
              <w:rPr>
                <w:rFonts w:hint="eastAsia" w:ascii="宋体" w:hAnsi="宋体" w:cs="宋体"/>
                <w:color w:val="auto"/>
                <w:sz w:val="24"/>
                <w:highlight w:val="none"/>
              </w:rPr>
              <w:t>合计收费=1.5+4.4+2.8=8.7（万元）</w:t>
            </w:r>
          </w:p>
          <w:p>
            <w:pPr>
              <w:pStyle w:val="85"/>
              <w:numPr>
                <w:ilvl w:val="0"/>
                <w:numId w:val="41"/>
              </w:numPr>
              <w:tabs>
                <w:tab w:val="left" w:pos="524"/>
                <w:tab w:val="left" w:pos="601"/>
              </w:tabs>
              <w:snapToGrid w:val="0"/>
              <w:spacing w:after="0"/>
              <w:ind w:left="99" w:hanging="99" w:firstLineChars="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投标人应签署第六章所附格式的采购代理服务费承诺书，作为投标文件的一部分</w:t>
            </w:r>
            <w:r>
              <w:rPr>
                <w:rFonts w:asciiTheme="minorEastAsia" w:hAnsiTheme="minorEastAsia" w:eastAsiaTheme="minorEastAsia"/>
                <w:color w:val="auto"/>
                <w:sz w:val="24"/>
                <w:highlight w:val="none"/>
              </w:rPr>
              <w:t>。</w:t>
            </w:r>
          </w:p>
          <w:p>
            <w:pPr>
              <w:pStyle w:val="85"/>
              <w:numPr>
                <w:ilvl w:val="0"/>
                <w:numId w:val="41"/>
              </w:numPr>
              <w:tabs>
                <w:tab w:val="left" w:pos="524"/>
                <w:tab w:val="left" w:pos="601"/>
              </w:tabs>
              <w:snapToGrid w:val="0"/>
              <w:spacing w:after="0"/>
              <w:ind w:left="99" w:hanging="99" w:firstLineChars="0"/>
              <w:rPr>
                <w:rFonts w:ascii="宋体" w:hAnsi="宋体"/>
                <w:color w:val="auto"/>
                <w:sz w:val="24"/>
                <w:highlight w:val="none"/>
              </w:rPr>
            </w:pPr>
            <w:r>
              <w:rPr>
                <w:rFonts w:hint="eastAsia" w:asciiTheme="minorEastAsia" w:hAnsiTheme="minorEastAsia" w:eastAsiaTheme="minorEastAsia"/>
                <w:color w:val="auto"/>
                <w:sz w:val="24"/>
                <w:highlight w:val="none"/>
              </w:rPr>
              <w:t>中标人在领取《中标通知书》前应向采购代理机构缴纳采购代理服务费。凭领取人身份证复印件并加盖公章领取《中标通知书》。如采用电汇或银行转账，须同时递交采购代理服务费缴费凭证复印件并加盖公章</w:t>
            </w:r>
            <w:r>
              <w:rPr>
                <w:rFonts w:asciiTheme="minorEastAsia" w:hAnsiTheme="minorEastAsia" w:eastAsiaTheme="minorEastAsia"/>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43" w:type="dxa"/>
            <w:gridSpan w:val="4"/>
            <w:vAlign w:val="center"/>
          </w:tcPr>
          <w:p>
            <w:pPr>
              <w:tabs>
                <w:tab w:val="left" w:pos="524"/>
                <w:tab w:val="left" w:pos="601"/>
              </w:tabs>
              <w:snapToGrid w:val="0"/>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六、询问、质疑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（一）</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4</w:t>
            </w:r>
          </w:p>
        </w:tc>
        <w:tc>
          <w:tcPr>
            <w:tcW w:w="1418" w:type="dxa"/>
            <w:vAlign w:val="center"/>
          </w:tcPr>
          <w:p>
            <w:pPr>
              <w:spacing w:after="0"/>
              <w:jc w:val="center"/>
              <w:rPr>
                <w:rFonts w:ascii="宋体" w:hAnsi="宋体" w:cs="宋体"/>
                <w:color w:val="auto"/>
                <w:sz w:val="24"/>
                <w:highlight w:val="none"/>
              </w:rPr>
            </w:pPr>
            <w:r>
              <w:rPr>
                <w:rFonts w:hint="eastAsia" w:ascii="宋体" w:hAnsi="宋体" w:cs="黑体"/>
                <w:color w:val="auto"/>
                <w:sz w:val="24"/>
                <w:highlight w:val="none"/>
              </w:rPr>
              <w:t>询问函接收联系方式</w:t>
            </w:r>
          </w:p>
        </w:tc>
        <w:tc>
          <w:tcPr>
            <w:tcW w:w="6546" w:type="dxa"/>
            <w:vMerge w:val="restart"/>
          </w:tcPr>
          <w:p>
            <w:pPr>
              <w:tabs>
                <w:tab w:val="left" w:pos="524"/>
                <w:tab w:val="left" w:pos="601"/>
              </w:tabs>
              <w:snapToGrid w:val="0"/>
              <w:spacing w:after="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联系人：</w:t>
            </w:r>
            <w:r>
              <w:rPr>
                <w:rFonts w:hint="eastAsia" w:asciiTheme="minorEastAsia" w:hAnsiTheme="minorEastAsia" w:eastAsiaTheme="minorEastAsia"/>
                <w:bCs/>
                <w:color w:val="auto"/>
                <w:sz w:val="24"/>
                <w:highlight w:val="none"/>
                <w:u w:val="single"/>
                <w:lang w:val="en-US" w:eastAsia="zh-CN"/>
              </w:rPr>
              <w:t>胡</w:t>
            </w:r>
            <w:r>
              <w:rPr>
                <w:rFonts w:hint="eastAsia" w:asciiTheme="minorEastAsia" w:hAnsiTheme="minorEastAsia" w:eastAsiaTheme="minorEastAsia"/>
                <w:bCs/>
                <w:color w:val="auto"/>
                <w:sz w:val="24"/>
                <w:highlight w:val="none"/>
                <w:u w:val="single"/>
              </w:rPr>
              <w:t>女士</w:t>
            </w:r>
          </w:p>
          <w:p>
            <w:pPr>
              <w:tabs>
                <w:tab w:val="left" w:pos="524"/>
                <w:tab w:val="left" w:pos="601"/>
              </w:tabs>
              <w:snapToGrid w:val="0"/>
              <w:spacing w:after="0"/>
              <w:rPr>
                <w:rFonts w:hint="default" w:eastAsia="宋体" w:asciiTheme="minorEastAsia" w:hAnsiTheme="minorEastAsia"/>
                <w:bCs/>
                <w:color w:val="auto"/>
                <w:sz w:val="24"/>
                <w:highlight w:val="none"/>
                <w:lang w:val="en-US" w:eastAsia="zh-CN"/>
              </w:rPr>
            </w:pPr>
            <w:r>
              <w:rPr>
                <w:rFonts w:hint="eastAsia" w:asciiTheme="minorEastAsia" w:hAnsiTheme="minorEastAsia" w:eastAsiaTheme="minorEastAsia"/>
                <w:bCs/>
                <w:color w:val="auto"/>
                <w:sz w:val="24"/>
                <w:highlight w:val="none"/>
              </w:rPr>
              <w:t>联系电话：</w:t>
            </w:r>
            <w:r>
              <w:rPr>
                <w:rFonts w:hint="eastAsia" w:ascii="宋体" w:hAnsi="宋体"/>
                <w:bCs/>
                <w:color w:val="auto"/>
                <w:sz w:val="24"/>
                <w:highlight w:val="none"/>
                <w:u w:val="single"/>
              </w:rPr>
              <w:t>020-87651688-</w:t>
            </w:r>
            <w:r>
              <w:rPr>
                <w:rFonts w:hint="eastAsia" w:ascii="宋体" w:hAnsi="宋体"/>
                <w:bCs/>
                <w:color w:val="auto"/>
                <w:sz w:val="24"/>
                <w:highlight w:val="none"/>
                <w:u w:val="single"/>
                <w:lang w:val="en-US" w:eastAsia="zh-CN"/>
              </w:rPr>
              <w:t>150</w:t>
            </w:r>
          </w:p>
          <w:p>
            <w:pPr>
              <w:tabs>
                <w:tab w:val="left" w:pos="524"/>
                <w:tab w:val="left" w:pos="601"/>
              </w:tabs>
              <w:snapToGrid w:val="0"/>
              <w:spacing w:after="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地址：</w:t>
            </w:r>
            <w:r>
              <w:rPr>
                <w:rFonts w:hint="eastAsia" w:ascii="宋体" w:hAnsi="宋体"/>
                <w:bCs/>
                <w:color w:val="auto"/>
                <w:sz w:val="24"/>
                <w:highlight w:val="none"/>
                <w:u w:val="single"/>
              </w:rPr>
              <w:t>广州市环市东路472号粤海大厦23楼（如采用邮寄形式提交，请提前跟我司工作人员联系，并同步将邮寄底单发送至我司邮箱）</w:t>
            </w:r>
          </w:p>
          <w:p>
            <w:pPr>
              <w:tabs>
                <w:tab w:val="left" w:pos="524"/>
                <w:tab w:val="left" w:pos="601"/>
              </w:tabs>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电子邮箱：</w:t>
            </w:r>
            <w:r>
              <w:rPr>
                <w:rFonts w:ascii="宋体" w:hAnsi="宋体"/>
                <w:bCs/>
                <w:color w:val="auto"/>
                <w:sz w:val="24"/>
                <w:highlight w:val="none"/>
                <w:u w:val="single"/>
              </w:rPr>
              <w:t>guangzhou@chinapsp.cn</w:t>
            </w:r>
            <w:r>
              <w:rPr>
                <w:rFonts w:hint="eastAsia" w:ascii="宋体" w:hAnsi="宋体"/>
                <w:bCs/>
                <w:color w:val="auto"/>
                <w:sz w:val="24"/>
                <w:highlight w:val="none"/>
                <w:u w:val="single"/>
              </w:rPr>
              <w:t xml:space="preserve"> （提交时请备注XX项目询问函/质疑函，并提前跟我司工作人员联系）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（二）</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hAnsiTheme="minorEastAsia"/>
                <w:color w:val="auto"/>
                <w:sz w:val="24"/>
                <w:highlight w:val="none"/>
              </w:rPr>
              <w:t>5</w:t>
            </w:r>
          </w:p>
        </w:tc>
        <w:tc>
          <w:tcPr>
            <w:tcW w:w="1418" w:type="dxa"/>
            <w:vAlign w:val="center"/>
          </w:tcPr>
          <w:p>
            <w:pPr>
              <w:spacing w:after="0"/>
              <w:jc w:val="center"/>
              <w:rPr>
                <w:rFonts w:ascii="宋体" w:hAnsi="宋体" w:cs="宋体"/>
                <w:color w:val="auto"/>
                <w:sz w:val="24"/>
                <w:highlight w:val="none"/>
              </w:rPr>
            </w:pPr>
            <w:r>
              <w:rPr>
                <w:rFonts w:hint="eastAsia" w:hAnsi="宋体"/>
                <w:snapToGrid w:val="0"/>
                <w:color w:val="auto"/>
                <w:sz w:val="24"/>
                <w:highlight w:val="none"/>
              </w:rPr>
              <w:t>质疑函接收联系方式</w:t>
            </w:r>
          </w:p>
        </w:tc>
        <w:tc>
          <w:tcPr>
            <w:tcW w:w="6546" w:type="dxa"/>
            <w:vMerge w:val="continue"/>
          </w:tcPr>
          <w:p>
            <w:pPr>
              <w:tabs>
                <w:tab w:val="left" w:pos="524"/>
                <w:tab w:val="left" w:pos="601"/>
              </w:tabs>
              <w:snapToGrid w:val="0"/>
              <w:spacing w:after="0"/>
              <w:rPr>
                <w:rFonts w:asciiTheme="minorEastAsia" w:hAnsiTheme="minorEastAsia" w:eastAsiaTheme="minorEastAsia"/>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143" w:type="dxa"/>
            <w:gridSpan w:val="4"/>
            <w:vAlign w:val="center"/>
          </w:tcPr>
          <w:p>
            <w:pPr>
              <w:spacing w:after="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6546" w:type="dxa"/>
            <w:vAlign w:val="center"/>
          </w:tcPr>
          <w:p>
            <w:pPr>
              <w:snapToGrid w:val="0"/>
              <w:spacing w:after="0"/>
              <w:rPr>
                <w:rFonts w:cs="宋体"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本项目相关公告在以下媒体发布:</w:t>
            </w:r>
          </w:p>
          <w:p>
            <w:pPr>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Theme="minorEastAsia" w:hAnsiTheme="minorEastAsia" w:eastAsiaTheme="minorEastAsia"/>
                <w:color w:val="auto"/>
                <w:sz w:val="24"/>
                <w:highlight w:val="none"/>
              </w:rPr>
              <w:t>www.ccgp.gov.cn)</w:t>
            </w:r>
            <w:r>
              <w:rPr>
                <w:rFonts w:hint="eastAsia" w:asciiTheme="minorEastAsia" w:hAnsiTheme="minorEastAsia" w:eastAsiaTheme="minorEastAsia"/>
                <w:color w:val="auto"/>
                <w:sz w:val="24"/>
                <w:highlight w:val="none"/>
              </w:rPr>
              <w:fldChar w:fldCharType="end"/>
            </w:r>
            <w:r>
              <w:rPr>
                <w:rFonts w:hint="eastAsia" w:asciiTheme="minorEastAsia" w:hAnsiTheme="minorEastAsia" w:eastAsiaTheme="minorEastAsia"/>
                <w:color w:val="auto"/>
                <w:sz w:val="24"/>
                <w:highlight w:val="none"/>
              </w:rPr>
              <w:t>。相关公告在此媒体上公布之日即视为有效送达，不再另行通知。</w:t>
            </w:r>
          </w:p>
          <w:p>
            <w:pPr>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2、采购代理机构网站（www.chinapsp.cn）。</w:t>
            </w:r>
          </w:p>
          <w:p>
            <w:pPr>
              <w:pStyle w:val="4"/>
              <w:spacing w:after="0"/>
              <w:rPr>
                <w:rFonts w:asciiTheme="minorEastAsia" w:hAnsiTheme="minorEastAsia" w:eastAsiaTheme="minorEastAsia"/>
                <w:b w:val="0"/>
                <w:bCs w:val="0"/>
                <w:color w:val="auto"/>
                <w:sz w:val="24"/>
                <w:highlight w:val="none"/>
              </w:rPr>
            </w:pPr>
            <w:bookmarkStart w:id="10" w:name="_Toc6636"/>
            <w:r>
              <w:rPr>
                <w:rFonts w:hint="eastAsia" w:asciiTheme="minorEastAsia" w:hAnsiTheme="minorEastAsia" w:eastAsiaTheme="minorEastAsia"/>
                <w:b w:val="0"/>
                <w:bCs w:val="0"/>
                <w:color w:val="auto"/>
                <w:sz w:val="24"/>
                <w:highlight w:val="none"/>
              </w:rPr>
              <w:t>3、广东省英德监狱门户网站（http://ydjy.gd.gov.cn/）</w:t>
            </w:r>
            <w:bookmarkEnd w:id="10"/>
          </w:p>
          <w:p>
            <w:pPr>
              <w:snapToGrid w:val="0"/>
              <w:spacing w:after="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备注：在不同媒体发布的同一采购信息内容、时间不一致的，以在中国政府采购网发布的信息为准。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76"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903" w:type="dxa"/>
            <w:vAlign w:val="center"/>
          </w:tcPr>
          <w:p>
            <w:pPr>
              <w:spacing w:after="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418" w:type="dxa"/>
            <w:vAlign w:val="center"/>
          </w:tcPr>
          <w:p>
            <w:pPr>
              <w:spacing w:after="0"/>
              <w:jc w:val="center"/>
              <w:rPr>
                <w:rFonts w:ascii="宋体" w:hAnsi="宋体" w:cs="宋体"/>
                <w:color w:val="auto"/>
                <w:sz w:val="24"/>
                <w:highlight w:val="none"/>
              </w:rPr>
            </w:pPr>
            <w:r>
              <w:rPr>
                <w:rFonts w:hint="eastAsia" w:ascii="宋体" w:hAnsi="宋体" w:cs="宋体"/>
                <w:color w:val="auto"/>
                <w:sz w:val="24"/>
                <w:highlight w:val="none"/>
              </w:rPr>
              <w:t>分包</w:t>
            </w:r>
          </w:p>
        </w:tc>
        <w:tc>
          <w:tcPr>
            <w:tcW w:w="6546" w:type="dxa"/>
            <w:vAlign w:val="center"/>
          </w:tcPr>
          <w:p>
            <w:pPr>
              <w:spacing w:after="0"/>
              <w:rPr>
                <w:rFonts w:ascii="宋体" w:hAnsi="宋体" w:cs="宋体"/>
                <w:color w:val="auto"/>
                <w:sz w:val="24"/>
                <w:highlight w:val="none"/>
              </w:rPr>
            </w:pPr>
            <w:r>
              <w:rPr>
                <w:rFonts w:hint="eastAsia" w:ascii="宋体" w:hAnsi="宋体" w:cs="宋体"/>
                <w:color w:val="auto"/>
                <w:sz w:val="24"/>
                <w:highlight w:val="none"/>
              </w:rPr>
              <w:t>不允许；</w:t>
            </w:r>
          </w:p>
        </w:tc>
      </w:tr>
    </w:tbl>
    <w:p>
      <w:pPr>
        <w:widowControl/>
        <w:spacing w:after="0"/>
        <w:jc w:val="left"/>
        <w:rPr>
          <w:color w:val="auto"/>
          <w:highlight w:val="none"/>
        </w:rPr>
      </w:pPr>
    </w:p>
    <w:p>
      <w:pPr>
        <w:snapToGrid w:val="0"/>
        <w:spacing w:after="0"/>
        <w:rPr>
          <w:color w:val="auto"/>
          <w:highlight w:val="none"/>
        </w:rPr>
      </w:pPr>
      <w:r>
        <w:rPr>
          <w:b/>
          <w:color w:val="auto"/>
          <w:sz w:val="28"/>
          <w:szCs w:val="28"/>
          <w:highlight w:val="none"/>
        </w:rPr>
        <w:br w:type="page"/>
      </w:r>
    </w:p>
    <w:p>
      <w:pPr>
        <w:snapToGrid w:val="0"/>
        <w:spacing w:after="0" w:line="360" w:lineRule="auto"/>
        <w:jc w:val="center"/>
        <w:outlineLvl w:val="1"/>
        <w:rPr>
          <w:b/>
          <w:bCs/>
          <w:color w:val="auto"/>
          <w:sz w:val="28"/>
          <w:szCs w:val="28"/>
          <w:highlight w:val="none"/>
        </w:rPr>
      </w:pPr>
      <w:bookmarkStart w:id="11" w:name="_Toc153184834"/>
      <w:bookmarkStart w:id="12" w:name="_Toc11893"/>
      <w:r>
        <w:rPr>
          <w:rFonts w:hint="eastAsia"/>
          <w:b/>
          <w:bCs/>
          <w:color w:val="auto"/>
          <w:sz w:val="28"/>
          <w:szCs w:val="28"/>
          <w:highlight w:val="none"/>
        </w:rPr>
        <w:t>第二部分 投标人须知通用条款</w:t>
      </w:r>
      <w:bookmarkEnd w:id="11"/>
      <w:bookmarkEnd w:id="12"/>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rPr>
      </w:pPr>
      <w:bookmarkStart w:id="13" w:name="_Toc153184835"/>
      <w:bookmarkStart w:id="14" w:name="_Toc13024"/>
      <w:r>
        <w:rPr>
          <w:rFonts w:hint="eastAsia" w:ascii="宋体" w:hAnsi="宋体"/>
          <w:b/>
          <w:color w:val="auto"/>
          <w:sz w:val="28"/>
          <w:szCs w:val="28"/>
          <w:highlight w:val="none"/>
        </w:rPr>
        <w:t>总</w:t>
      </w:r>
      <w:r>
        <w:rPr>
          <w:rFonts w:ascii="宋体" w:hAnsi="宋体"/>
          <w:b/>
          <w:color w:val="auto"/>
          <w:sz w:val="28"/>
          <w:szCs w:val="28"/>
          <w:highlight w:val="none"/>
          <w:lang w:eastAsia="zh-TW"/>
        </w:rPr>
        <w:t xml:space="preserve"> </w:t>
      </w:r>
      <w:r>
        <w:rPr>
          <w:rFonts w:hint="eastAsia" w:ascii="宋体" w:hAnsi="宋体"/>
          <w:b/>
          <w:color w:val="auto"/>
          <w:sz w:val="28"/>
          <w:szCs w:val="28"/>
          <w:highlight w:val="none"/>
        </w:rPr>
        <w:t>则</w:t>
      </w:r>
      <w:bookmarkEnd w:id="13"/>
      <w:bookmarkEnd w:id="14"/>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适用范围</w:t>
      </w:r>
    </w:p>
    <w:p>
      <w:pPr>
        <w:numPr>
          <w:ilvl w:val="1"/>
          <w:numId w:val="43"/>
        </w:numPr>
        <w:autoSpaceDE w:val="0"/>
        <w:autoSpaceDN w:val="0"/>
        <w:snapToGrid w:val="0"/>
        <w:spacing w:after="0" w:line="360" w:lineRule="auto"/>
        <w:jc w:val="left"/>
        <w:rPr>
          <w:rFonts w:ascii="宋体" w:hAnsi="宋体"/>
          <w:b/>
          <w:bCs/>
          <w:color w:val="auto"/>
          <w:sz w:val="24"/>
          <w:highlight w:val="none"/>
        </w:rPr>
      </w:pPr>
      <w:r>
        <w:rPr>
          <w:rFonts w:hint="eastAsia" w:ascii="宋体" w:hAnsi="宋体"/>
          <w:color w:val="auto"/>
          <w:sz w:val="24"/>
          <w:highlight w:val="none"/>
        </w:rPr>
        <w:t>本招标文件适用于本</w:t>
      </w:r>
      <w:r>
        <w:rPr>
          <w:rFonts w:hint="eastAsia" w:ascii="宋体" w:hAnsi="宋体"/>
          <w:b/>
          <w:color w:val="auto"/>
          <w:sz w:val="24"/>
          <w:highlight w:val="none"/>
        </w:rPr>
        <w:t>投标邀请</w:t>
      </w:r>
      <w:r>
        <w:rPr>
          <w:rFonts w:hint="eastAsia" w:ascii="宋体" w:hAnsi="宋体"/>
          <w:color w:val="auto"/>
          <w:sz w:val="24"/>
          <w:highlight w:val="none"/>
        </w:rPr>
        <w:t>中所述项目的采购。</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定义</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采购人指各级</w:t>
      </w:r>
      <w:r>
        <w:rPr>
          <w:rFonts w:ascii="宋体" w:hAnsi="宋体"/>
          <w:color w:val="auto"/>
          <w:sz w:val="24"/>
          <w:highlight w:val="none"/>
        </w:rPr>
        <w:t>国家机关、事业单位和团体组织</w:t>
      </w:r>
      <w:r>
        <w:rPr>
          <w:rFonts w:hint="eastAsia" w:ascii="宋体" w:hAnsi="宋体"/>
          <w:color w:val="auto"/>
          <w:sz w:val="24"/>
          <w:highlight w:val="none"/>
        </w:rPr>
        <w:t>。</w:t>
      </w:r>
      <w:r>
        <w:rPr>
          <w:rFonts w:hint="eastAsia" w:ascii="宋体" w:hAnsi="宋体" w:cs="宋体"/>
          <w:color w:val="auto"/>
          <w:sz w:val="24"/>
          <w:highlight w:val="none"/>
          <w:lang w:eastAsia="zh-TW"/>
        </w:rPr>
        <w:t>本招标文件中所述的采购人已拥有一笔</w:t>
      </w:r>
      <w:r>
        <w:rPr>
          <w:rFonts w:hint="eastAsia" w:ascii="宋体" w:hAnsi="宋体" w:cs="宋体"/>
          <w:color w:val="auto"/>
          <w:sz w:val="24"/>
          <w:highlight w:val="none"/>
        </w:rPr>
        <w:t>财政性</w:t>
      </w:r>
      <w:r>
        <w:rPr>
          <w:rFonts w:hint="eastAsia" w:ascii="宋体" w:hAnsi="宋体" w:cs="宋体"/>
          <w:color w:val="auto"/>
          <w:sz w:val="24"/>
          <w:highlight w:val="none"/>
          <w:lang w:eastAsia="zh-TW"/>
        </w:rPr>
        <w:t>资金</w:t>
      </w:r>
      <w:r>
        <w:rPr>
          <w:rFonts w:hint="eastAsia" w:ascii="宋体" w:hAnsi="宋体" w:cs="宋体"/>
          <w:color w:val="auto"/>
          <w:sz w:val="24"/>
          <w:highlight w:val="none"/>
        </w:rPr>
        <w:t>/贷款或资金来源已落实</w:t>
      </w:r>
      <w:r>
        <w:rPr>
          <w:rFonts w:hint="eastAsia" w:ascii="宋体" w:hAnsi="宋体" w:cs="宋体"/>
          <w:color w:val="auto"/>
          <w:sz w:val="24"/>
          <w:highlight w:val="none"/>
          <w:lang w:eastAsia="zh-TW"/>
        </w:rPr>
        <w:t>。采购人计划将一部分</w:t>
      </w:r>
      <w:r>
        <w:rPr>
          <w:rFonts w:hint="eastAsia" w:ascii="宋体" w:hAnsi="宋体" w:cs="宋体"/>
          <w:color w:val="auto"/>
          <w:sz w:val="24"/>
          <w:highlight w:val="none"/>
        </w:rPr>
        <w:t>或全部</w:t>
      </w:r>
      <w:r>
        <w:rPr>
          <w:rFonts w:hint="eastAsia" w:ascii="宋体" w:hAnsi="宋体" w:cs="宋体"/>
          <w:color w:val="auto"/>
          <w:sz w:val="24"/>
          <w:highlight w:val="none"/>
          <w:lang w:eastAsia="zh-TW"/>
        </w:rPr>
        <w:t>资金</w:t>
      </w:r>
      <w:r>
        <w:rPr>
          <w:rFonts w:hint="eastAsia" w:ascii="宋体" w:hAnsi="宋体" w:cs="宋体"/>
          <w:color w:val="auto"/>
          <w:sz w:val="24"/>
          <w:highlight w:val="none"/>
        </w:rPr>
        <w:t>/贷款</w:t>
      </w:r>
      <w:r>
        <w:rPr>
          <w:rFonts w:hint="eastAsia" w:ascii="宋体" w:hAnsi="宋体" w:cs="宋体"/>
          <w:color w:val="auto"/>
          <w:sz w:val="24"/>
          <w:highlight w:val="none"/>
          <w:lang w:eastAsia="zh-TW"/>
        </w:rPr>
        <w:t>用于支付本次</w:t>
      </w:r>
      <w:r>
        <w:rPr>
          <w:rFonts w:hint="eastAsia" w:ascii="宋体" w:hAnsi="宋体" w:cs="宋体"/>
          <w:color w:val="auto"/>
          <w:sz w:val="24"/>
          <w:highlight w:val="none"/>
        </w:rPr>
        <w:t>招标</w:t>
      </w:r>
      <w:r>
        <w:rPr>
          <w:rFonts w:hint="eastAsia" w:ascii="宋体" w:hAnsi="宋体" w:cs="宋体"/>
          <w:color w:val="auto"/>
          <w:sz w:val="24"/>
          <w:highlight w:val="none"/>
          <w:lang w:eastAsia="zh-TW"/>
        </w:rPr>
        <w:t>后所签订合同项下的款项</w:t>
      </w:r>
      <w:r>
        <w:rPr>
          <w:rFonts w:hint="eastAsia" w:ascii="宋体" w:hAnsi="宋体" w:cs="宋体"/>
          <w:color w:val="auto"/>
          <w:sz w:val="24"/>
          <w:highlight w:val="none"/>
        </w:rPr>
        <w:t>。</w:t>
      </w:r>
    </w:p>
    <w:p>
      <w:pPr>
        <w:numPr>
          <w:ilvl w:val="1"/>
          <w:numId w:val="43"/>
        </w:numPr>
        <w:autoSpaceDE w:val="0"/>
        <w:autoSpaceDN w:val="0"/>
        <w:snapToGrid w:val="0"/>
        <w:spacing w:after="0" w:line="360" w:lineRule="auto"/>
        <w:rPr>
          <w:rFonts w:ascii="宋体" w:hAnsi="宋体"/>
          <w:strike/>
          <w:color w:val="auto"/>
          <w:sz w:val="24"/>
          <w:highlight w:val="none"/>
        </w:rPr>
      </w:pPr>
      <w:r>
        <w:rPr>
          <w:rFonts w:hint="eastAsia" w:ascii="宋体" w:hAnsi="宋体"/>
          <w:color w:val="auto"/>
          <w:sz w:val="24"/>
          <w:highlight w:val="none"/>
        </w:rPr>
        <w:t>采购代理机构指按照规定办理名录登记并通过审核的代理机构，其联系方式见</w:t>
      </w:r>
      <w:r>
        <w:rPr>
          <w:rFonts w:hint="eastAsia" w:hAnsi="宋体"/>
          <w:snapToGrid w:val="0"/>
          <w:color w:val="auto"/>
          <w:sz w:val="24"/>
          <w:highlight w:val="none"/>
        </w:rPr>
        <w:t>本</w:t>
      </w:r>
      <w:r>
        <w:rPr>
          <w:rFonts w:hint="eastAsia" w:ascii="宋体" w:hAnsi="宋体"/>
          <w:b/>
          <w:color w:val="auto"/>
          <w:sz w:val="24"/>
          <w:highlight w:val="none"/>
        </w:rPr>
        <w:t>投标邀请</w:t>
      </w:r>
      <w:r>
        <w:rPr>
          <w:rFonts w:hint="eastAsia" w:ascii="宋体" w:hAnsi="宋体"/>
          <w:color w:val="auto"/>
          <w:sz w:val="24"/>
          <w:highlight w:val="none"/>
        </w:rPr>
        <w:t>的联系事项。</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供应商是指在中华人民共和国境内注册（登记），向采购人提供货物、工程或者服务的法人、其他组织或者自然人。</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投标人是指响应招标、参加投标竞争的法人、其他组织或者自然人。</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中标人是指经法定程序确定并授予合同的投标人。</w:t>
      </w:r>
    </w:p>
    <w:p>
      <w:pPr>
        <w:numPr>
          <w:ilvl w:val="1"/>
          <w:numId w:val="43"/>
        </w:numPr>
        <w:autoSpaceDE w:val="0"/>
        <w:autoSpaceDN w:val="0"/>
        <w:snapToGrid w:val="0"/>
        <w:spacing w:after="0" w:line="360" w:lineRule="auto"/>
        <w:rPr>
          <w:rFonts w:ascii="宋体" w:hAnsi="宋体"/>
          <w:color w:val="auto"/>
          <w:sz w:val="24"/>
          <w:highlight w:val="none"/>
        </w:rPr>
      </w:pPr>
      <w:r>
        <w:rPr>
          <w:rFonts w:ascii="宋体" w:hAnsi="宋体"/>
          <w:color w:val="auto"/>
          <w:kern w:val="2"/>
          <w:sz w:val="24"/>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合格的货物和服务</w:t>
      </w:r>
    </w:p>
    <w:p>
      <w:pPr>
        <w:numPr>
          <w:ilvl w:val="1"/>
          <w:numId w:val="43"/>
        </w:numPr>
        <w:autoSpaceDE w:val="0"/>
        <w:autoSpaceDN w:val="0"/>
        <w:snapToGrid w:val="0"/>
        <w:spacing w:after="0" w:line="360" w:lineRule="auto"/>
        <w:rPr>
          <w:rFonts w:ascii="宋体" w:hAnsi="宋体" w:cs="黑体"/>
          <w:b/>
          <w:bCs/>
          <w:color w:val="auto"/>
          <w:sz w:val="24"/>
          <w:highlight w:val="none"/>
        </w:rPr>
      </w:pPr>
      <w:r>
        <w:rPr>
          <w:rFonts w:hint="eastAsia" w:ascii="宋体" w:hAnsi="宋体"/>
          <w:color w:val="auto"/>
          <w:sz w:val="24"/>
          <w:highlight w:val="none"/>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服务是指除货物和工程以外的其他采购对象，且满足实质性采购需求。</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pPr>
        <w:numPr>
          <w:ilvl w:val="1"/>
          <w:numId w:val="43"/>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进口产品是指通过中国海关报关验放进入中国境内且产自关境外的产品。依据《政府采购进口产品管理办法》优先采购向我国企业转让技术、与我国企业签订消化吸收再创新方案的供应商的进口产品。</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投标费用</w:t>
      </w:r>
    </w:p>
    <w:p>
      <w:pPr>
        <w:numPr>
          <w:ilvl w:val="1"/>
          <w:numId w:val="43"/>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投标人应承担所有与准备和参加投标有关的费用。不论投标的结果如何</w:t>
      </w:r>
      <w:r>
        <w:rPr>
          <w:rFonts w:hint="eastAsia" w:ascii="宋体" w:hAnsi="宋体" w:cs="宋体"/>
          <w:color w:val="auto"/>
          <w:sz w:val="24"/>
          <w:highlight w:val="none"/>
        </w:rPr>
        <w:t>，本招标文件中所述的</w:t>
      </w:r>
      <w:r>
        <w:rPr>
          <w:rFonts w:hint="eastAsia" w:ascii="宋体" w:hAnsi="宋体" w:cs="宋体"/>
          <w:color w:val="auto"/>
          <w:sz w:val="24"/>
          <w:highlight w:val="none"/>
          <w:lang w:eastAsia="zh-TW"/>
        </w:rPr>
        <w:t>采购人或者采购代理机构均无义务和责任承担这些费用</w:t>
      </w:r>
      <w:r>
        <w:rPr>
          <w:rFonts w:hint="eastAsia" w:ascii="宋体" w:hAnsi="宋体" w:cs="宋体"/>
          <w:color w:val="auto"/>
          <w:sz w:val="24"/>
          <w:highlight w:val="none"/>
        </w:rPr>
        <w:t>。</w:t>
      </w:r>
    </w:p>
    <w:p>
      <w:pPr>
        <w:numPr>
          <w:ilvl w:val="0"/>
          <w:numId w:val="43"/>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其他</w:t>
      </w:r>
    </w:p>
    <w:p>
      <w:pPr>
        <w:numPr>
          <w:ilvl w:val="1"/>
          <w:numId w:val="43"/>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auto"/>
          <w:sz w:val="24"/>
          <w:highlight w:val="none"/>
        </w:rPr>
        <w:t>。</w:t>
      </w:r>
    </w:p>
    <w:p>
      <w:pPr>
        <w:numPr>
          <w:ilvl w:val="1"/>
          <w:numId w:val="43"/>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“提交投标文件截止时间”和“开标时间”</w:t>
      </w:r>
      <w:r>
        <w:rPr>
          <w:rFonts w:hint="eastAsia" w:ascii="宋体" w:hAnsi="宋体" w:cs="宋体"/>
          <w:b/>
          <w:bCs/>
          <w:color w:val="auto"/>
          <w:sz w:val="24"/>
          <w:highlight w:val="none"/>
        </w:rPr>
        <w:t>不</w:t>
      </w:r>
      <w:r>
        <w:rPr>
          <w:rFonts w:hint="eastAsia" w:ascii="宋体" w:hAnsi="宋体" w:cs="宋体"/>
          <w:color w:val="auto"/>
          <w:sz w:val="24"/>
          <w:highlight w:val="none"/>
          <w:lang w:eastAsia="zh-TW"/>
        </w:rPr>
        <w:t>包含最后一分钟。例如，提交投标文件截止时间为9:30表示截止时间为9点30分</w:t>
      </w:r>
      <w:r>
        <w:rPr>
          <w:rFonts w:ascii="宋体" w:hAnsi="宋体" w:cs="宋体"/>
          <w:color w:val="auto"/>
          <w:sz w:val="24"/>
          <w:highlight w:val="none"/>
          <w:lang w:eastAsia="zh-TW"/>
        </w:rPr>
        <w:t>00</w:t>
      </w:r>
      <w:r>
        <w:rPr>
          <w:rFonts w:hint="eastAsia" w:ascii="宋体" w:hAnsi="宋体" w:cs="宋体"/>
          <w:color w:val="auto"/>
          <w:sz w:val="24"/>
          <w:highlight w:val="none"/>
          <w:lang w:eastAsia="zh-TW"/>
        </w:rPr>
        <w:t>秒。</w:t>
      </w:r>
    </w:p>
    <w:p>
      <w:pPr>
        <w:numPr>
          <w:ilvl w:val="1"/>
          <w:numId w:val="43"/>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供应商（投标人）向</w:t>
      </w:r>
      <w:r>
        <w:rPr>
          <w:rFonts w:hint="eastAsia" w:ascii="宋体" w:hAnsi="宋体" w:cs="宋体"/>
          <w:color w:val="auto"/>
          <w:sz w:val="24"/>
          <w:highlight w:val="none"/>
        </w:rPr>
        <w:t>本招标文件中所述的</w:t>
      </w:r>
      <w:r>
        <w:rPr>
          <w:rFonts w:hint="eastAsia" w:ascii="宋体" w:hAnsi="宋体" w:cs="宋体"/>
          <w:color w:val="auto"/>
          <w:sz w:val="24"/>
          <w:highlight w:val="none"/>
          <w:lang w:eastAsia="zh-TW"/>
        </w:rPr>
        <w:t>采购代理机构咨询的有关</w:t>
      </w:r>
      <w:r>
        <w:rPr>
          <w:rFonts w:hint="eastAsia" w:ascii="宋体" w:hAnsi="宋体" w:cs="宋体"/>
          <w:color w:val="auto"/>
          <w:sz w:val="24"/>
          <w:highlight w:val="none"/>
        </w:rPr>
        <w:t>本招标</w:t>
      </w:r>
      <w:r>
        <w:rPr>
          <w:rFonts w:hint="eastAsia" w:ascii="宋体" w:hAnsi="宋体" w:cs="宋体"/>
          <w:color w:val="auto"/>
          <w:sz w:val="24"/>
          <w:highlight w:val="none"/>
          <w:lang w:eastAsia="zh-TW"/>
        </w:rPr>
        <w:t>项目事项，一切以法律法规的规定和本公司书面</w:t>
      </w:r>
      <w:r>
        <w:rPr>
          <w:rFonts w:hint="eastAsia" w:ascii="宋体" w:hAnsi="宋体" w:cs="宋体"/>
          <w:color w:val="auto"/>
          <w:sz w:val="24"/>
          <w:highlight w:val="none"/>
        </w:rPr>
        <w:t>答复</w:t>
      </w:r>
      <w:r>
        <w:rPr>
          <w:rFonts w:hint="eastAsia" w:ascii="宋体" w:hAnsi="宋体" w:cs="宋体"/>
          <w:color w:val="auto"/>
          <w:sz w:val="24"/>
          <w:highlight w:val="none"/>
          <w:lang w:eastAsia="zh-TW"/>
        </w:rPr>
        <w:t>为准，其他一切形式均为个人意见，不代表本公司的意见。</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15" w:name="_Toc31289"/>
      <w:bookmarkStart w:id="16" w:name="_Toc153184836"/>
      <w:r>
        <w:rPr>
          <w:rFonts w:hint="eastAsia" w:ascii="宋体" w:hAnsi="宋体"/>
          <w:b/>
          <w:color w:val="auto"/>
          <w:sz w:val="28"/>
          <w:szCs w:val="28"/>
          <w:highlight w:val="none"/>
          <w:lang w:eastAsia="zh-TW"/>
        </w:rPr>
        <w:t>招标文件</w:t>
      </w:r>
      <w:bookmarkEnd w:id="15"/>
      <w:bookmarkEnd w:id="16"/>
    </w:p>
    <w:p>
      <w:pPr>
        <w:numPr>
          <w:ilvl w:val="0"/>
          <w:numId w:val="44"/>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招标文件的编制与构成</w:t>
      </w:r>
    </w:p>
    <w:p>
      <w:pPr>
        <w:numPr>
          <w:ilvl w:val="1"/>
          <w:numId w:val="44"/>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本招标文件的编制是参照《中华人民共和国政府采购法》</w:t>
      </w:r>
      <w:r>
        <w:rPr>
          <w:rFonts w:hint="eastAsia"/>
          <w:color w:val="auto"/>
          <w:highlight w:val="none"/>
        </w:rPr>
        <w:t>《</w:t>
      </w:r>
      <w:r>
        <w:rPr>
          <w:rFonts w:hint="eastAsia" w:ascii="宋体" w:hAnsi="宋体"/>
          <w:color w:val="auto"/>
          <w:sz w:val="24"/>
          <w:highlight w:val="none"/>
        </w:rPr>
        <w:t>中华人民共和国政府采购法实施条例</w:t>
      </w:r>
      <w:r>
        <w:rPr>
          <w:rFonts w:hint="eastAsia"/>
          <w:color w:val="auto"/>
          <w:highlight w:val="none"/>
        </w:rPr>
        <w:t>》</w:t>
      </w:r>
      <w:r>
        <w:rPr>
          <w:rFonts w:hint="eastAsia" w:ascii="宋体" w:hAnsi="宋体"/>
          <w:color w:val="auto"/>
          <w:sz w:val="24"/>
          <w:highlight w:val="none"/>
        </w:rPr>
        <w:t>《政府采购货物和服务招标投标管理办法》《</w:t>
      </w:r>
      <w:r>
        <w:rPr>
          <w:rFonts w:ascii="宋体" w:hAnsi="宋体"/>
          <w:color w:val="auto"/>
          <w:sz w:val="24"/>
          <w:highlight w:val="none"/>
        </w:rPr>
        <w:t>政府购买服务管理办法</w:t>
      </w:r>
      <w:r>
        <w:rPr>
          <w:rFonts w:hint="eastAsia" w:ascii="宋体" w:hAnsi="宋体"/>
          <w:color w:val="auto"/>
          <w:sz w:val="24"/>
          <w:highlight w:val="none"/>
        </w:rPr>
        <w:t>》及其配套的法规、规章、政策等。</w:t>
      </w:r>
    </w:p>
    <w:p>
      <w:pPr>
        <w:numPr>
          <w:ilvl w:val="1"/>
          <w:numId w:val="44"/>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招标文件以中文文字编写。招标文件共</w:t>
      </w:r>
      <w:r>
        <w:rPr>
          <w:rFonts w:hint="eastAsia" w:ascii="宋体" w:hAnsi="宋体" w:cs="宋体"/>
          <w:color w:val="auto"/>
          <w:sz w:val="24"/>
          <w:highlight w:val="none"/>
        </w:rPr>
        <w:t>六</w:t>
      </w:r>
      <w:r>
        <w:rPr>
          <w:rFonts w:hint="eastAsia" w:ascii="宋体" w:hAnsi="宋体" w:cs="宋体"/>
          <w:color w:val="auto"/>
          <w:sz w:val="24"/>
          <w:highlight w:val="none"/>
          <w:lang w:eastAsia="zh-TW"/>
        </w:rPr>
        <w:t>章。</w:t>
      </w:r>
      <w:r>
        <w:rPr>
          <w:rFonts w:hint="eastAsia" w:ascii="宋体" w:hAnsi="宋体" w:cs="宋体"/>
          <w:color w:val="auto"/>
          <w:sz w:val="24"/>
          <w:highlight w:val="none"/>
        </w:rPr>
        <w:t>由下列文件以及在招标过程中发出的招标答疑和澄清或修改文件组成，</w:t>
      </w:r>
      <w:r>
        <w:rPr>
          <w:rFonts w:hint="eastAsia" w:ascii="宋体" w:hAnsi="宋体" w:cs="宋体"/>
          <w:color w:val="auto"/>
          <w:sz w:val="24"/>
          <w:highlight w:val="none"/>
          <w:lang w:eastAsia="zh-TW"/>
        </w:rPr>
        <w:t>内容如下</w:t>
      </w:r>
      <w:r>
        <w:rPr>
          <w:rFonts w:hint="eastAsia" w:ascii="宋体" w:hAnsi="宋体" w:cs="宋体"/>
          <w:color w:val="auto"/>
          <w:sz w:val="24"/>
          <w:highlight w:val="none"/>
        </w:rPr>
        <w:t>：</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第一章</w:t>
      </w:r>
      <w:r>
        <w:rPr>
          <w:rFonts w:hint="eastAsia" w:ascii="宋体" w:hAnsi="宋体" w:cs="宋体"/>
          <w:b/>
          <w:color w:val="auto"/>
          <w:sz w:val="24"/>
          <w:highlight w:val="none"/>
        </w:rPr>
        <w:t>　</w:t>
      </w:r>
      <w:r>
        <w:rPr>
          <w:rFonts w:hint="eastAsia" w:ascii="宋体" w:hAnsi="宋体" w:cs="宋体"/>
          <w:b/>
          <w:color w:val="auto"/>
          <w:sz w:val="24"/>
          <w:highlight w:val="none"/>
          <w:lang w:eastAsia="zh-TW"/>
        </w:rPr>
        <w:t>投标邀请</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第二章</w:t>
      </w:r>
      <w:r>
        <w:rPr>
          <w:rFonts w:hint="eastAsia" w:ascii="宋体" w:hAnsi="宋体" w:cs="宋体"/>
          <w:b/>
          <w:color w:val="auto"/>
          <w:sz w:val="24"/>
          <w:highlight w:val="none"/>
        </w:rPr>
        <w:t>　采购需求</w:t>
      </w:r>
    </w:p>
    <w:p>
      <w:pPr>
        <w:tabs>
          <w:tab w:val="left" w:pos="3915"/>
        </w:tabs>
        <w:snapToGrid w:val="0"/>
        <w:spacing w:after="0" w:line="360" w:lineRule="auto"/>
        <w:ind w:left="424" w:leftChars="212" w:firstLine="1"/>
        <w:rPr>
          <w:rFonts w:ascii="宋体" w:hAnsi="宋体" w:cs="宋体"/>
          <w:b/>
          <w:color w:val="auto"/>
          <w:sz w:val="24"/>
          <w:highlight w:val="none"/>
        </w:rPr>
      </w:pPr>
      <w:r>
        <w:rPr>
          <w:rFonts w:hint="eastAsia" w:ascii="宋体" w:hAnsi="宋体" w:cs="宋体"/>
          <w:b/>
          <w:color w:val="auto"/>
          <w:sz w:val="24"/>
          <w:highlight w:val="none"/>
        </w:rPr>
        <w:t>第三章　评标方法和标准</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w:t>
      </w:r>
      <w:r>
        <w:rPr>
          <w:rFonts w:hint="eastAsia" w:ascii="宋体" w:hAnsi="宋体" w:cs="宋体"/>
          <w:b/>
          <w:color w:val="auto"/>
          <w:sz w:val="24"/>
          <w:highlight w:val="none"/>
        </w:rPr>
        <w:t>四</w:t>
      </w:r>
      <w:r>
        <w:rPr>
          <w:rFonts w:hint="eastAsia" w:ascii="宋体" w:hAnsi="宋体" w:cs="宋体"/>
          <w:b/>
          <w:color w:val="auto"/>
          <w:sz w:val="24"/>
          <w:highlight w:val="none"/>
          <w:lang w:eastAsia="zh-TW"/>
        </w:rPr>
        <w:t>章</w:t>
      </w:r>
      <w:r>
        <w:rPr>
          <w:rFonts w:hint="eastAsia" w:ascii="宋体" w:hAnsi="宋体" w:cs="宋体"/>
          <w:b/>
          <w:color w:val="auto"/>
          <w:sz w:val="24"/>
          <w:highlight w:val="none"/>
        </w:rPr>
        <w:t>　</w:t>
      </w:r>
      <w:r>
        <w:rPr>
          <w:rFonts w:hint="eastAsia" w:ascii="宋体" w:hAnsi="宋体" w:cs="宋体"/>
          <w:b/>
          <w:color w:val="auto"/>
          <w:sz w:val="24"/>
          <w:highlight w:val="none"/>
          <w:lang w:eastAsia="zh-TW"/>
        </w:rPr>
        <w:t>投标人须知</w:t>
      </w:r>
    </w:p>
    <w:p>
      <w:pPr>
        <w:snapToGrid w:val="0"/>
        <w:spacing w:after="0" w:line="360" w:lineRule="auto"/>
        <w:ind w:left="424" w:leftChars="212" w:firstLine="1"/>
        <w:rPr>
          <w:rFonts w:ascii="宋体" w:hAnsi="宋体"/>
          <w:b/>
          <w:color w:val="auto"/>
          <w:sz w:val="24"/>
          <w:highlight w:val="none"/>
        </w:rPr>
      </w:pPr>
      <w:r>
        <w:rPr>
          <w:rFonts w:hint="eastAsia" w:ascii="宋体" w:hAnsi="宋体" w:cs="宋体"/>
          <w:b/>
          <w:color w:val="auto"/>
          <w:sz w:val="24"/>
          <w:highlight w:val="none"/>
          <w:lang w:eastAsia="zh-TW"/>
        </w:rPr>
        <w:t>第</w:t>
      </w:r>
      <w:r>
        <w:rPr>
          <w:rFonts w:hint="eastAsia" w:ascii="宋体" w:hAnsi="宋体" w:cs="宋体"/>
          <w:b/>
          <w:color w:val="auto"/>
          <w:sz w:val="24"/>
          <w:highlight w:val="none"/>
        </w:rPr>
        <w:t>五</w:t>
      </w:r>
      <w:r>
        <w:rPr>
          <w:rFonts w:hint="eastAsia" w:ascii="宋体" w:hAnsi="宋体" w:cs="宋体"/>
          <w:b/>
          <w:color w:val="auto"/>
          <w:sz w:val="24"/>
          <w:highlight w:val="none"/>
          <w:lang w:eastAsia="zh-TW"/>
        </w:rPr>
        <w:t>章</w:t>
      </w:r>
      <w:r>
        <w:rPr>
          <w:rFonts w:hint="eastAsia" w:ascii="宋体" w:hAnsi="宋体" w:cs="宋体"/>
          <w:b/>
          <w:color w:val="auto"/>
          <w:sz w:val="24"/>
          <w:highlight w:val="none"/>
        </w:rPr>
        <w:t>　</w:t>
      </w:r>
      <w:r>
        <w:rPr>
          <w:rFonts w:hint="eastAsia" w:ascii="宋体" w:hAnsi="宋体" w:cs="宋体"/>
          <w:b/>
          <w:color w:val="auto"/>
          <w:sz w:val="24"/>
          <w:highlight w:val="none"/>
          <w:lang w:eastAsia="zh-TW"/>
        </w:rPr>
        <w:t>合同</w:t>
      </w:r>
      <w:r>
        <w:rPr>
          <w:rFonts w:hint="eastAsia" w:ascii="宋体" w:hAnsi="宋体" w:cs="宋体"/>
          <w:b/>
          <w:color w:val="auto"/>
          <w:sz w:val="24"/>
          <w:highlight w:val="none"/>
        </w:rPr>
        <w:t>格式条款</w:t>
      </w:r>
    </w:p>
    <w:p>
      <w:pPr>
        <w:snapToGrid w:val="0"/>
        <w:spacing w:after="0" w:line="360" w:lineRule="auto"/>
        <w:ind w:left="424" w:leftChars="212" w:firstLine="1"/>
        <w:rPr>
          <w:rFonts w:ascii="宋体" w:hAnsi="宋体" w:cs="宋体"/>
          <w:b/>
          <w:color w:val="auto"/>
          <w:sz w:val="24"/>
          <w:highlight w:val="none"/>
        </w:rPr>
      </w:pPr>
      <w:r>
        <w:rPr>
          <w:rFonts w:hint="eastAsia" w:ascii="宋体" w:hAnsi="宋体" w:cs="宋体"/>
          <w:b/>
          <w:color w:val="auto"/>
          <w:sz w:val="24"/>
          <w:highlight w:val="none"/>
          <w:lang w:eastAsia="zh-TW"/>
        </w:rPr>
        <w:t>第</w:t>
      </w:r>
      <w:r>
        <w:rPr>
          <w:rFonts w:hint="eastAsia" w:ascii="宋体" w:hAnsi="宋体" w:cs="宋体"/>
          <w:b/>
          <w:color w:val="auto"/>
          <w:sz w:val="24"/>
          <w:highlight w:val="none"/>
        </w:rPr>
        <w:t>六</w:t>
      </w:r>
      <w:r>
        <w:rPr>
          <w:rFonts w:hint="eastAsia" w:ascii="宋体" w:hAnsi="宋体" w:cs="宋体"/>
          <w:b/>
          <w:color w:val="auto"/>
          <w:sz w:val="24"/>
          <w:highlight w:val="none"/>
          <w:lang w:eastAsia="zh-TW"/>
        </w:rPr>
        <w:t>章</w:t>
      </w:r>
      <w:r>
        <w:rPr>
          <w:rFonts w:hint="eastAsia" w:ascii="宋体" w:hAnsi="宋体" w:cs="宋体"/>
          <w:b/>
          <w:color w:val="auto"/>
          <w:sz w:val="24"/>
          <w:highlight w:val="none"/>
        </w:rPr>
        <w:t>　投标文件格式</w:t>
      </w:r>
    </w:p>
    <w:p>
      <w:pPr>
        <w:numPr>
          <w:ilvl w:val="1"/>
          <w:numId w:val="44"/>
        </w:numPr>
        <w:autoSpaceDE w:val="0"/>
        <w:autoSpaceDN w:val="0"/>
        <w:snapToGrid w:val="0"/>
        <w:spacing w:after="0" w:line="360" w:lineRule="auto"/>
        <w:jc w:val="left"/>
        <w:rPr>
          <w:rFonts w:ascii="宋体" w:hAnsi="宋体" w:cs="宋体"/>
          <w:color w:val="auto"/>
          <w:sz w:val="24"/>
          <w:highlight w:val="none"/>
          <w:lang w:eastAsia="zh-TW"/>
        </w:rPr>
      </w:pPr>
      <w:r>
        <w:rPr>
          <w:rFonts w:hint="eastAsia" w:ascii="宋体" w:hAnsi="宋体" w:cs="宋体"/>
          <w:color w:val="auto"/>
          <w:sz w:val="24"/>
          <w:highlight w:val="none"/>
        </w:rPr>
        <w:t>本</w:t>
      </w:r>
      <w:r>
        <w:rPr>
          <w:rFonts w:hint="eastAsia" w:ascii="宋体" w:hAnsi="宋体" w:cs="宋体"/>
          <w:color w:val="auto"/>
          <w:sz w:val="24"/>
          <w:highlight w:val="none"/>
          <w:lang w:eastAsia="zh-TW"/>
        </w:rPr>
        <w:t>招标文件的解释权归</w:t>
      </w:r>
      <w:r>
        <w:rPr>
          <w:rFonts w:hint="eastAsia" w:ascii="宋体" w:hAnsi="宋体" w:cs="宋体"/>
          <w:color w:val="auto"/>
          <w:sz w:val="24"/>
          <w:highlight w:val="none"/>
        </w:rPr>
        <w:t>本招标文件中所述的</w:t>
      </w:r>
      <w:r>
        <w:rPr>
          <w:rFonts w:hint="eastAsia" w:ascii="宋体" w:hAnsi="宋体" w:cs="宋体"/>
          <w:color w:val="auto"/>
          <w:sz w:val="24"/>
          <w:highlight w:val="none"/>
          <w:lang w:eastAsia="zh-TW"/>
        </w:rPr>
        <w:t>采购人</w:t>
      </w:r>
      <w:r>
        <w:rPr>
          <w:rFonts w:hint="eastAsia" w:ascii="宋体" w:hAnsi="宋体" w:cs="宋体"/>
          <w:color w:val="auto"/>
          <w:sz w:val="24"/>
          <w:highlight w:val="none"/>
        </w:rPr>
        <w:t>、</w:t>
      </w:r>
      <w:r>
        <w:rPr>
          <w:rFonts w:hint="eastAsia" w:ascii="宋体" w:hAnsi="宋体" w:cs="宋体"/>
          <w:color w:val="auto"/>
          <w:sz w:val="24"/>
          <w:highlight w:val="none"/>
          <w:lang w:eastAsia="zh-TW"/>
        </w:rPr>
        <w:t>采购代理机构所有。</w:t>
      </w:r>
    </w:p>
    <w:p>
      <w:pPr>
        <w:numPr>
          <w:ilvl w:val="0"/>
          <w:numId w:val="44"/>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招标文件的澄清或修改</w:t>
      </w:r>
    </w:p>
    <w:p>
      <w:pPr>
        <w:numPr>
          <w:ilvl w:val="1"/>
          <w:numId w:val="44"/>
        </w:numPr>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采购人或者采购代理机构可以对已发出的招标文件进行必要的澄清或修改。</w:t>
      </w:r>
      <w:r>
        <w:rPr>
          <w:rFonts w:hint="eastAsia" w:ascii="宋体" w:hAnsi="宋体"/>
          <w:color w:val="auto"/>
          <w:sz w:val="24"/>
          <w:highlight w:val="none"/>
        </w:rPr>
        <w:t>招标文件的澄清或修改均以</w:t>
      </w:r>
      <w:r>
        <w:rPr>
          <w:rFonts w:hint="eastAsia" w:ascii="宋体" w:hAnsi="宋体" w:cs="宋体"/>
          <w:color w:val="auto"/>
          <w:sz w:val="24"/>
          <w:highlight w:val="none"/>
        </w:rPr>
        <w:t>书面形式明确的内容为准。当招标文件的澄清、修改、补充等在同一内容的表述不一致时，以最后发出的书面形式的文件为准。</w:t>
      </w:r>
    </w:p>
    <w:p>
      <w:pPr>
        <w:numPr>
          <w:ilvl w:val="1"/>
          <w:numId w:val="44"/>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44"/>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采购人或者采购代理机构</w:t>
      </w:r>
      <w:r>
        <w:rPr>
          <w:rFonts w:hint="eastAsia" w:ascii="宋体" w:hAnsi="宋体" w:cs="宋体"/>
          <w:color w:val="auto"/>
          <w:sz w:val="24"/>
          <w:highlight w:val="none"/>
        </w:rPr>
        <w:t>将</w:t>
      </w:r>
      <w:r>
        <w:rPr>
          <w:rFonts w:hint="eastAsia" w:ascii="宋体" w:hAnsi="宋体" w:cs="宋体"/>
          <w:color w:val="auto"/>
          <w:sz w:val="24"/>
          <w:highlight w:val="none"/>
          <w:lang w:eastAsia="zh-TW"/>
        </w:rPr>
        <w:t>澄清</w:t>
      </w:r>
      <w:r>
        <w:rPr>
          <w:rFonts w:hint="eastAsia" w:ascii="宋体" w:hAnsi="宋体"/>
          <w:color w:val="auto"/>
          <w:sz w:val="24"/>
          <w:highlight w:val="none"/>
        </w:rPr>
        <w:t>（更正/变更）</w:t>
      </w:r>
      <w:r>
        <w:rPr>
          <w:rFonts w:hint="eastAsia" w:ascii="宋体" w:hAnsi="宋体" w:cs="宋体"/>
          <w:color w:val="auto"/>
          <w:sz w:val="24"/>
          <w:highlight w:val="none"/>
          <w:lang w:eastAsia="zh-TW"/>
        </w:rPr>
        <w:t>公告</w:t>
      </w:r>
      <w:r>
        <w:rPr>
          <w:rFonts w:hint="eastAsia" w:ascii="宋体" w:hAnsi="宋体"/>
          <w:color w:val="auto"/>
          <w:sz w:val="24"/>
          <w:highlight w:val="none"/>
        </w:rPr>
        <w:t>通知</w:t>
      </w:r>
      <w:r>
        <w:rPr>
          <w:rFonts w:hint="eastAsia"/>
          <w:bCs/>
          <w:color w:val="auto"/>
          <w:sz w:val="24"/>
          <w:highlight w:val="none"/>
        </w:rPr>
        <w:t>成功购买招标文件</w:t>
      </w:r>
      <w:r>
        <w:rPr>
          <w:rFonts w:hint="eastAsia" w:ascii="宋体" w:hAnsi="宋体"/>
          <w:color w:val="auto"/>
          <w:sz w:val="24"/>
          <w:highlight w:val="none"/>
        </w:rPr>
        <w:t>的供应商，供应商在收到澄清或修改（更正/变更）通知后，应按要求以书面形式向采购人或者采购代理机构确认。</w:t>
      </w:r>
      <w:r>
        <w:rPr>
          <w:rFonts w:hint="eastAsia" w:ascii="宋体" w:hAnsi="宋体" w:cs="宋体"/>
          <w:color w:val="auto"/>
          <w:sz w:val="24"/>
          <w:highlight w:val="none"/>
          <w:lang w:eastAsia="zh-TW"/>
        </w:rPr>
        <w:t>如在24小时之内无书面</w:t>
      </w:r>
      <w:r>
        <w:rPr>
          <w:rFonts w:hint="eastAsia" w:ascii="宋体" w:hAnsi="宋体"/>
          <w:color w:val="auto"/>
          <w:sz w:val="24"/>
          <w:highlight w:val="none"/>
        </w:rPr>
        <w:t>确认</w:t>
      </w:r>
      <w:r>
        <w:rPr>
          <w:rFonts w:hint="eastAsia" w:ascii="宋体" w:hAnsi="宋体" w:cs="宋体"/>
          <w:color w:val="auto"/>
          <w:sz w:val="24"/>
          <w:highlight w:val="none"/>
          <w:lang w:eastAsia="zh-TW"/>
        </w:rPr>
        <w:t>则视为已收悉，并有责任履行相应的义务。</w:t>
      </w:r>
    </w:p>
    <w:p>
      <w:pPr>
        <w:numPr>
          <w:ilvl w:val="1"/>
          <w:numId w:val="44"/>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采购人或者采购代理机构</w:t>
      </w:r>
      <w:r>
        <w:rPr>
          <w:rFonts w:hint="eastAsia" w:ascii="宋体" w:hAnsi="宋体" w:cs="宋体"/>
          <w:color w:val="auto"/>
          <w:sz w:val="24"/>
          <w:highlight w:val="none"/>
        </w:rPr>
        <w:t>发出的</w:t>
      </w:r>
      <w:r>
        <w:rPr>
          <w:rFonts w:hint="eastAsia" w:ascii="宋体" w:hAnsi="宋体"/>
          <w:color w:val="auto"/>
          <w:sz w:val="24"/>
          <w:highlight w:val="none"/>
        </w:rPr>
        <w:t>澄清或修改（更正/变更）的内容为招标文件的组成部分，</w:t>
      </w:r>
      <w:r>
        <w:rPr>
          <w:rFonts w:hint="eastAsia" w:ascii="宋体" w:hAnsi="宋体" w:cs="宋体"/>
          <w:color w:val="auto"/>
          <w:sz w:val="24"/>
          <w:highlight w:val="none"/>
          <w:lang w:eastAsia="zh-TW"/>
        </w:rPr>
        <w:t>并对供应商具有约束力</w:t>
      </w:r>
      <w:r>
        <w:rPr>
          <w:rFonts w:hint="eastAsia" w:ascii="宋体" w:hAnsi="宋体" w:cs="宋体"/>
          <w:color w:val="auto"/>
          <w:sz w:val="24"/>
          <w:highlight w:val="none"/>
        </w:rPr>
        <w:t>。</w:t>
      </w:r>
    </w:p>
    <w:p>
      <w:pPr>
        <w:numPr>
          <w:ilvl w:val="0"/>
          <w:numId w:val="44"/>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现场考察或者召开开标前答疑会</w:t>
      </w:r>
    </w:p>
    <w:p>
      <w:pPr>
        <w:numPr>
          <w:ilvl w:val="1"/>
          <w:numId w:val="44"/>
        </w:numPr>
        <w:tabs>
          <w:tab w:val="left" w:pos="851"/>
        </w:tabs>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rPr>
        <w:t>除非</w:t>
      </w:r>
      <w:r>
        <w:rPr>
          <w:rFonts w:hint="eastAsia" w:ascii="宋体" w:hAnsi="宋体" w:cs="黑体"/>
          <w:b/>
          <w:color w:val="auto"/>
          <w:sz w:val="24"/>
          <w:highlight w:val="none"/>
        </w:rPr>
        <w:t>投标人须知前附表</w:t>
      </w:r>
      <w:r>
        <w:rPr>
          <w:rFonts w:hint="eastAsia" w:ascii="宋体" w:hAnsi="宋体" w:cs="宋体"/>
          <w:color w:val="auto"/>
          <w:sz w:val="24"/>
          <w:highlight w:val="none"/>
        </w:rPr>
        <w:t>中另有规定，否则不举行项目</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rPr>
        <w:t>，如举行</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rPr>
        <w:t>的，则按以下规定：</w:t>
      </w:r>
    </w:p>
    <w:p>
      <w:pPr>
        <w:numPr>
          <w:ilvl w:val="2"/>
          <w:numId w:val="44"/>
        </w:numPr>
        <w:tabs>
          <w:tab w:val="left" w:pos="851"/>
        </w:tabs>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在</w:t>
      </w:r>
      <w:r>
        <w:rPr>
          <w:rFonts w:hint="eastAsia" w:ascii="宋体" w:hAnsi="宋体" w:cs="黑体"/>
          <w:b/>
          <w:color w:val="auto"/>
          <w:sz w:val="24"/>
          <w:highlight w:val="none"/>
          <w:lang w:eastAsia="zh-TW"/>
        </w:rPr>
        <w:t>投标人须知前附表</w:t>
      </w:r>
      <w:r>
        <w:rPr>
          <w:rFonts w:hint="eastAsia" w:ascii="宋体" w:hAnsi="宋体" w:cs="宋体"/>
          <w:color w:val="auto"/>
          <w:sz w:val="24"/>
          <w:highlight w:val="none"/>
        </w:rPr>
        <w:t>中规定的日期、时间和地点组织</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rPr>
        <w:t>；</w:t>
      </w:r>
    </w:p>
    <w:p>
      <w:pPr>
        <w:numPr>
          <w:ilvl w:val="2"/>
          <w:numId w:val="44"/>
        </w:numPr>
        <w:tabs>
          <w:tab w:val="left" w:pos="851"/>
        </w:tabs>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rPr>
        <w:t>供应商</w:t>
      </w:r>
      <w:r>
        <w:rPr>
          <w:rFonts w:hint="eastAsia" w:ascii="宋体" w:hAnsi="宋体" w:cs="宋体"/>
          <w:color w:val="auto"/>
          <w:sz w:val="24"/>
          <w:highlight w:val="none"/>
          <w:lang w:eastAsia="zh-TW"/>
        </w:rPr>
        <w:t>对本项目提出的疑问，</w:t>
      </w:r>
      <w:r>
        <w:rPr>
          <w:rFonts w:hint="eastAsia" w:ascii="宋体" w:hAnsi="宋体" w:cs="宋体"/>
          <w:color w:val="auto"/>
          <w:sz w:val="24"/>
          <w:highlight w:val="none"/>
        </w:rPr>
        <w:t>可</w:t>
      </w:r>
      <w:r>
        <w:rPr>
          <w:rFonts w:hint="eastAsia" w:ascii="宋体" w:hAnsi="宋体" w:cs="宋体"/>
          <w:color w:val="auto"/>
          <w:sz w:val="24"/>
          <w:highlight w:val="none"/>
          <w:lang w:eastAsia="zh-TW"/>
        </w:rPr>
        <w:t>在</w:t>
      </w:r>
      <w:r>
        <w:rPr>
          <w:rFonts w:hint="eastAsia" w:ascii="宋体" w:hAnsi="宋体"/>
          <w:bCs/>
          <w:color w:val="auto"/>
          <w:sz w:val="24"/>
          <w:highlight w:val="none"/>
        </w:rPr>
        <w:t>现场考察或者召开开标前答疑会</w:t>
      </w:r>
      <w:r>
        <w:rPr>
          <w:rFonts w:hint="eastAsia" w:ascii="宋体" w:hAnsi="宋体" w:cs="宋体"/>
          <w:color w:val="auto"/>
          <w:sz w:val="24"/>
          <w:highlight w:val="none"/>
          <w:lang w:eastAsia="zh-TW"/>
        </w:rPr>
        <w:t>召开日前至少一个工作日将问题清单以书面形式（加盖公章）提交至采购代理机构。</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17" w:name="_Toc153184837"/>
      <w:bookmarkStart w:id="18" w:name="_Toc5710"/>
      <w:r>
        <w:rPr>
          <w:rFonts w:hint="eastAsia" w:ascii="宋体" w:hAnsi="宋体"/>
          <w:b/>
          <w:color w:val="auto"/>
          <w:sz w:val="28"/>
          <w:szCs w:val="28"/>
          <w:highlight w:val="none"/>
          <w:lang w:eastAsia="zh-TW"/>
        </w:rPr>
        <w:t>投标文件的编制</w:t>
      </w:r>
      <w:bookmarkEnd w:id="17"/>
      <w:bookmarkEnd w:id="18"/>
    </w:p>
    <w:p>
      <w:pPr>
        <w:numPr>
          <w:ilvl w:val="0"/>
          <w:numId w:val="45"/>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投标的语言</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投标人提交的投标文件以及投标人与采购人</w:t>
      </w:r>
      <w:r>
        <w:rPr>
          <w:rFonts w:hint="eastAsia" w:ascii="宋体" w:hAnsi="宋体" w:cs="宋体"/>
          <w:color w:val="auto"/>
          <w:sz w:val="24"/>
          <w:highlight w:val="none"/>
        </w:rPr>
        <w:t>或者</w:t>
      </w:r>
      <w:r>
        <w:rPr>
          <w:rFonts w:hint="eastAsia" w:ascii="宋体" w:hAnsi="宋体" w:cs="宋体"/>
          <w:color w:val="auto"/>
          <w:sz w:val="24"/>
          <w:highlight w:val="none"/>
          <w:lang w:eastAsia="zh-TW"/>
        </w:rPr>
        <w:t>采购代理机构就有关投标的所有来往函电均应使用中文书写</w:t>
      </w:r>
      <w:r>
        <w:rPr>
          <w:rFonts w:hint="eastAsia" w:ascii="宋体" w:hAnsi="宋体" w:cs="宋体"/>
          <w:color w:val="auto"/>
          <w:sz w:val="24"/>
          <w:highlight w:val="none"/>
        </w:rPr>
        <w:t>。投</w:t>
      </w:r>
      <w:r>
        <w:rPr>
          <w:rFonts w:hint="eastAsia" w:ascii="宋体" w:hAnsi="宋体" w:cs="宋体"/>
          <w:color w:val="auto"/>
          <w:sz w:val="24"/>
          <w:highlight w:val="none"/>
          <w:lang w:eastAsia="zh-TW"/>
        </w:rPr>
        <w:t>标人提交的支持文件或印刷的资料可以用另一种语言</w:t>
      </w:r>
      <w:r>
        <w:rPr>
          <w:rFonts w:hint="eastAsia" w:ascii="宋体" w:hAnsi="宋体" w:cs="宋体"/>
          <w:color w:val="auto"/>
          <w:sz w:val="24"/>
          <w:highlight w:val="none"/>
        </w:rPr>
        <w:t>，</w:t>
      </w:r>
      <w:r>
        <w:rPr>
          <w:rFonts w:hint="eastAsia" w:ascii="宋体" w:hAnsi="宋体" w:cs="宋体"/>
          <w:color w:val="auto"/>
          <w:sz w:val="24"/>
          <w:highlight w:val="none"/>
          <w:lang w:eastAsia="zh-TW"/>
        </w:rPr>
        <w:t>但相应内容应附有中文翻译本</w:t>
      </w:r>
      <w:r>
        <w:rPr>
          <w:rFonts w:hint="eastAsia" w:ascii="宋体" w:hAnsi="宋体" w:cs="宋体"/>
          <w:color w:val="auto"/>
          <w:sz w:val="24"/>
          <w:highlight w:val="none"/>
        </w:rPr>
        <w:t>，由翻译机构盖章或者翻译人员签名。</w:t>
      </w:r>
      <w:r>
        <w:rPr>
          <w:rFonts w:hint="eastAsia" w:ascii="宋体" w:hAnsi="宋体"/>
          <w:color w:val="auto"/>
          <w:sz w:val="24"/>
          <w:highlight w:val="none"/>
        </w:rPr>
        <w:t>两种语言不一致时以中文翻译本为准。</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投标文件的构成</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投标人应当按照招标文件的要求编制投标文件。投标文件应当对招标文件提出的要求和条件作出明确响应。投标文件的组成</w:t>
      </w:r>
      <w:r>
        <w:rPr>
          <w:rFonts w:hint="eastAsia" w:ascii="宋体" w:hAnsi="宋体" w:cs="宋体"/>
          <w:color w:val="auto"/>
          <w:sz w:val="24"/>
          <w:highlight w:val="none"/>
        </w:rPr>
        <w:t>包括但不仅仅限于</w:t>
      </w:r>
      <w:r>
        <w:rPr>
          <w:rFonts w:hint="eastAsia" w:cs="宋体" w:asciiTheme="minorEastAsia" w:hAnsiTheme="minorEastAsia" w:eastAsiaTheme="minorEastAsia"/>
          <w:b/>
          <w:color w:val="auto"/>
          <w:sz w:val="24"/>
          <w:highlight w:val="none"/>
        </w:rPr>
        <w:t>价格文件、资格性文件、符合性文件、技术文件、商务文件</w:t>
      </w:r>
      <w:r>
        <w:rPr>
          <w:rFonts w:hint="eastAsia" w:cs="宋体" w:asciiTheme="minorEastAsia" w:hAnsiTheme="minorEastAsia" w:eastAsiaTheme="minorEastAsia"/>
          <w:color w:val="auto"/>
          <w:sz w:val="24"/>
          <w:highlight w:val="none"/>
        </w:rPr>
        <w:t>等</w:t>
      </w:r>
      <w:r>
        <w:rPr>
          <w:rFonts w:hint="eastAsia" w:ascii="宋体" w:hAnsi="宋体" w:cs="宋体"/>
          <w:color w:val="auto"/>
          <w:sz w:val="24"/>
          <w:highlight w:val="none"/>
        </w:rPr>
        <w:t>。</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投标文件的构成应符合法律法规及招标文件的要求。</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投标文件的编写</w:t>
      </w:r>
    </w:p>
    <w:p>
      <w:pPr>
        <w:numPr>
          <w:ilvl w:val="1"/>
          <w:numId w:val="45"/>
        </w:numPr>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投标人对招标文件中多个包组进行投标的</w:t>
      </w:r>
      <w:r>
        <w:rPr>
          <w:rFonts w:hint="eastAsia" w:ascii="宋体" w:hAnsi="宋体" w:cs="宋体"/>
          <w:color w:val="auto"/>
          <w:sz w:val="24"/>
          <w:highlight w:val="none"/>
        </w:rPr>
        <w:t>，</w:t>
      </w:r>
      <w:r>
        <w:rPr>
          <w:rFonts w:hint="eastAsia" w:ascii="宋体" w:hAnsi="宋体" w:cs="宋体"/>
          <w:color w:val="auto"/>
          <w:sz w:val="24"/>
          <w:highlight w:val="none"/>
          <w:lang w:eastAsia="zh-TW"/>
        </w:rPr>
        <w:t>其投标文件的编制</w:t>
      </w:r>
      <w:r>
        <w:rPr>
          <w:rFonts w:hint="eastAsia" w:ascii="宋体" w:hAnsi="宋体" w:cs="宋体"/>
          <w:color w:val="auto"/>
          <w:sz w:val="24"/>
          <w:highlight w:val="none"/>
        </w:rPr>
        <w:t>可以按</w:t>
      </w:r>
      <w:r>
        <w:rPr>
          <w:rFonts w:hint="eastAsia" w:ascii="宋体" w:hAnsi="宋体" w:cs="宋体"/>
          <w:color w:val="auto"/>
          <w:sz w:val="24"/>
          <w:highlight w:val="none"/>
          <w:lang w:eastAsia="zh-TW"/>
        </w:rPr>
        <w:t>每个包组的要求分别装订。投标人应当对投标文件进行装订成册，对未经装订的投标文件可能发生的文件散落或缺损，由此造成的后果</w:t>
      </w:r>
      <w:r>
        <w:rPr>
          <w:rFonts w:hint="eastAsia" w:ascii="宋体" w:hAnsi="宋体" w:cs="宋体"/>
          <w:color w:val="auto"/>
          <w:sz w:val="24"/>
          <w:highlight w:val="none"/>
        </w:rPr>
        <w:t>和</w:t>
      </w:r>
      <w:r>
        <w:rPr>
          <w:rFonts w:hint="eastAsia" w:ascii="宋体" w:hAnsi="宋体" w:cs="宋体"/>
          <w:color w:val="auto"/>
          <w:sz w:val="24"/>
          <w:highlight w:val="none"/>
          <w:lang w:eastAsia="zh-TW"/>
        </w:rPr>
        <w:t>责任由投标人承担</w:t>
      </w:r>
      <w:r>
        <w:rPr>
          <w:rFonts w:hint="eastAsia" w:ascii="宋体" w:hAnsi="宋体" w:cs="宋体"/>
          <w:color w:val="auto"/>
          <w:sz w:val="24"/>
          <w:highlight w:val="none"/>
        </w:rPr>
        <w:t>。</w:t>
      </w:r>
    </w:p>
    <w:p>
      <w:pPr>
        <w:numPr>
          <w:ilvl w:val="1"/>
          <w:numId w:val="45"/>
        </w:numPr>
        <w:tabs>
          <w:tab w:val="left" w:pos="709"/>
        </w:tabs>
        <w:autoSpaceDE w:val="0"/>
        <w:autoSpaceDN w:val="0"/>
        <w:snapToGrid w:val="0"/>
        <w:spacing w:after="0" w:line="360" w:lineRule="auto"/>
        <w:rPr>
          <w:rFonts w:ascii="宋体" w:hAnsi="宋体" w:cs="宋体"/>
          <w:strike/>
          <w:color w:val="auto"/>
          <w:sz w:val="24"/>
          <w:highlight w:val="none"/>
        </w:rPr>
      </w:pPr>
      <w:r>
        <w:rPr>
          <w:rFonts w:hint="eastAsia" w:ascii="宋体" w:hAnsi="宋体" w:cs="宋体"/>
          <w:color w:val="auto"/>
          <w:sz w:val="24"/>
          <w:highlight w:val="none"/>
          <w:lang w:eastAsia="zh-TW"/>
        </w:rPr>
        <w:t>投标人必须对投标文件所提供的全部资料的真实性承担法律责任</w:t>
      </w:r>
      <w:r>
        <w:rPr>
          <w:rFonts w:hint="eastAsia" w:ascii="宋体" w:hAnsi="宋体" w:cs="宋体"/>
          <w:color w:val="auto"/>
          <w:sz w:val="24"/>
          <w:highlight w:val="none"/>
        </w:rPr>
        <w:t>。</w:t>
      </w:r>
    </w:p>
    <w:p>
      <w:pPr>
        <w:numPr>
          <w:ilvl w:val="1"/>
          <w:numId w:val="45"/>
        </w:numPr>
        <w:tabs>
          <w:tab w:val="left" w:pos="709"/>
        </w:tabs>
        <w:autoSpaceDE w:val="0"/>
        <w:autoSpaceDN w:val="0"/>
        <w:snapToGrid w:val="0"/>
        <w:spacing w:after="0" w:line="360" w:lineRule="auto"/>
        <w:rPr>
          <w:rFonts w:ascii="宋体" w:hAnsi="宋体" w:cs="宋体"/>
          <w:strike/>
          <w:color w:val="auto"/>
          <w:sz w:val="24"/>
          <w:highlight w:val="none"/>
          <w:lang w:eastAsia="zh-TW"/>
        </w:rPr>
      </w:pPr>
      <w:r>
        <w:rPr>
          <w:rFonts w:hint="eastAsia" w:ascii="宋体" w:hAnsi="宋体" w:cs="宋体"/>
          <w:color w:val="auto"/>
          <w:sz w:val="24"/>
          <w:highlight w:val="none"/>
        </w:rPr>
        <w:t>投标人应认真阅读招标文件中所有的事项、格式、条款和技术要求等，并按照招标文件的要求编制投标文件。若投标人不按照招标文件要求编制投标文件，由此产生的风险由投标人自己承担。</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投标文件的式样和签署</w:t>
      </w:r>
    </w:p>
    <w:p>
      <w:pPr>
        <w:numPr>
          <w:ilvl w:val="1"/>
          <w:numId w:val="45"/>
        </w:numPr>
        <w:autoSpaceDE w:val="0"/>
        <w:autoSpaceDN w:val="0"/>
        <w:snapToGrid w:val="0"/>
        <w:spacing w:after="0" w:line="360" w:lineRule="auto"/>
        <w:rPr>
          <w:rFonts w:ascii="宋体" w:hAnsi="宋体" w:cs="黑体"/>
          <w:b/>
          <w:bCs/>
          <w:strike/>
          <w:color w:val="auto"/>
          <w:sz w:val="24"/>
          <w:highlight w:val="none"/>
        </w:rPr>
      </w:pPr>
      <w:r>
        <w:rPr>
          <w:rFonts w:hint="eastAsia" w:ascii="宋体" w:hAnsi="宋体" w:cs="宋体"/>
          <w:color w:val="auto"/>
          <w:sz w:val="24"/>
          <w:highlight w:val="none"/>
          <w:lang w:eastAsia="zh-TW"/>
        </w:rPr>
        <w:t>投标人应</w:t>
      </w:r>
      <w:r>
        <w:rPr>
          <w:rFonts w:hint="eastAsia" w:ascii="宋体" w:hAnsi="宋体" w:cs="宋体"/>
          <w:color w:val="auto"/>
          <w:sz w:val="24"/>
          <w:highlight w:val="none"/>
        </w:rPr>
        <w:t>准备</w:t>
      </w:r>
      <w:r>
        <w:rPr>
          <w:rFonts w:hint="eastAsia" w:ascii="宋体" w:hAnsi="宋体" w:cs="宋体"/>
          <w:b/>
          <w:color w:val="auto"/>
          <w:sz w:val="24"/>
          <w:highlight w:val="none"/>
          <w:lang w:eastAsia="zh-TW"/>
        </w:rPr>
        <w:t>投标须知前附表</w:t>
      </w:r>
      <w:r>
        <w:rPr>
          <w:rFonts w:hint="eastAsia" w:ascii="宋体" w:hAnsi="宋体" w:cs="宋体"/>
          <w:color w:val="auto"/>
          <w:sz w:val="24"/>
          <w:highlight w:val="none"/>
          <w:lang w:eastAsia="zh-TW"/>
        </w:rPr>
        <w:t>中规定</w:t>
      </w:r>
      <w:r>
        <w:rPr>
          <w:rFonts w:hint="eastAsia" w:ascii="宋体" w:hAnsi="宋体" w:cs="宋体"/>
          <w:color w:val="auto"/>
          <w:sz w:val="24"/>
          <w:highlight w:val="none"/>
        </w:rPr>
        <w:t>式样和份数的副本、正本和</w:t>
      </w:r>
      <w:r>
        <w:rPr>
          <w:rFonts w:hint="eastAsia" w:ascii="宋体" w:hAnsi="宋体" w:cs="宋体"/>
          <w:color w:val="auto"/>
          <w:sz w:val="24"/>
          <w:highlight w:val="none"/>
          <w:lang w:eastAsia="zh-TW"/>
        </w:rPr>
        <w:t>电子介质</w:t>
      </w:r>
      <w:r>
        <w:rPr>
          <w:rFonts w:hint="eastAsia" w:ascii="宋体" w:hAnsi="宋体" w:cs="宋体"/>
          <w:color w:val="auto"/>
          <w:sz w:val="24"/>
          <w:highlight w:val="none"/>
        </w:rPr>
        <w:t>的投标文件。</w:t>
      </w:r>
    </w:p>
    <w:p>
      <w:pPr>
        <w:numPr>
          <w:ilvl w:val="1"/>
          <w:numId w:val="45"/>
        </w:numPr>
        <w:autoSpaceDE w:val="0"/>
        <w:autoSpaceDN w:val="0"/>
        <w:snapToGrid w:val="0"/>
        <w:spacing w:after="0" w:line="360" w:lineRule="auto"/>
        <w:rPr>
          <w:rFonts w:ascii="宋体" w:hAnsi="宋体" w:cs="黑体"/>
          <w:bCs/>
          <w:strike/>
          <w:color w:val="auto"/>
          <w:sz w:val="24"/>
          <w:highlight w:val="none"/>
        </w:rPr>
      </w:pPr>
      <w:r>
        <w:rPr>
          <w:rFonts w:hint="eastAsia" w:ascii="宋体" w:hAnsi="宋体" w:cs="黑体"/>
          <w:bCs/>
          <w:color w:val="auto"/>
          <w:sz w:val="24"/>
          <w:highlight w:val="none"/>
        </w:rPr>
        <w:t>请投标人按</w:t>
      </w:r>
      <w:r>
        <w:rPr>
          <w:rFonts w:hint="eastAsia" w:ascii="宋体" w:hAnsi="宋体" w:cs="宋体"/>
          <w:b/>
          <w:color w:val="auto"/>
          <w:sz w:val="24"/>
          <w:highlight w:val="none"/>
          <w:lang w:eastAsia="zh-TW"/>
        </w:rPr>
        <w:t>投标须知前附表</w:t>
      </w:r>
      <w:r>
        <w:rPr>
          <w:rFonts w:hint="eastAsia" w:ascii="宋体" w:hAnsi="宋体" w:cs="宋体"/>
          <w:color w:val="auto"/>
          <w:sz w:val="24"/>
          <w:highlight w:val="none"/>
        </w:rPr>
        <w:t>中的规定提交单独密封资料。</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投标文件的签署：</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投标文件的正本需打印或用不褪色墨水书写</w:t>
      </w:r>
      <w:r>
        <w:rPr>
          <w:rFonts w:hint="eastAsia" w:ascii="宋体" w:hAnsi="宋体" w:cs="宋体"/>
          <w:color w:val="auto"/>
          <w:sz w:val="24"/>
          <w:highlight w:val="none"/>
        </w:rPr>
        <w:t>，且</w:t>
      </w:r>
      <w:r>
        <w:rPr>
          <w:rFonts w:hint="eastAsia" w:cs="宋体" w:asciiTheme="minorEastAsia" w:hAnsiTheme="minorEastAsia" w:eastAsiaTheme="minorEastAsia"/>
          <w:color w:val="auto"/>
          <w:sz w:val="24"/>
          <w:highlight w:val="none"/>
        </w:rPr>
        <w:t>招标文件要求签名的</w:t>
      </w:r>
      <w:r>
        <w:rPr>
          <w:rFonts w:hint="eastAsia" w:cs="宋体" w:asciiTheme="minorEastAsia" w:hAnsiTheme="minorEastAsia" w:eastAsiaTheme="minorEastAsia"/>
          <w:color w:val="auto"/>
          <w:sz w:val="24"/>
          <w:highlight w:val="none"/>
          <w:lang w:eastAsia="zh-TW"/>
        </w:rPr>
        <w:t>由</w:t>
      </w:r>
      <w:r>
        <w:rPr>
          <w:rFonts w:hint="eastAsia" w:cs="宋体" w:asciiTheme="minorEastAsia" w:hAnsiTheme="minorEastAsia" w:eastAsiaTheme="minorEastAsia"/>
          <w:color w:val="auto"/>
          <w:sz w:val="24"/>
          <w:highlight w:val="none"/>
        </w:rPr>
        <w:t>法定</w:t>
      </w:r>
      <w:r>
        <w:rPr>
          <w:rFonts w:hint="eastAsia" w:cs="宋体" w:asciiTheme="minorEastAsia" w:hAnsiTheme="minorEastAsia" w:eastAsiaTheme="minorEastAsia"/>
          <w:color w:val="auto"/>
          <w:sz w:val="24"/>
          <w:highlight w:val="none"/>
          <w:lang w:eastAsia="zh-TW"/>
        </w:rPr>
        <w:t>代表人或经其正式授权的代表签字或盖个人名章，以及招标文件中明示盖公章</w:t>
      </w:r>
      <w:r>
        <w:rPr>
          <w:rFonts w:hint="eastAsia" w:cs="宋体" w:asciiTheme="minorEastAsia" w:hAnsiTheme="minorEastAsia" w:eastAsiaTheme="minorEastAsia"/>
          <w:color w:val="auto"/>
          <w:sz w:val="24"/>
          <w:highlight w:val="none"/>
        </w:rPr>
        <w:t>处</w:t>
      </w:r>
      <w:r>
        <w:rPr>
          <w:rFonts w:hint="eastAsia" w:cs="宋体" w:asciiTheme="minorEastAsia" w:hAnsiTheme="minorEastAsia" w:eastAsiaTheme="minorEastAsia"/>
          <w:color w:val="auto"/>
          <w:sz w:val="24"/>
          <w:highlight w:val="none"/>
          <w:lang w:eastAsia="zh-TW"/>
        </w:rPr>
        <w:t>及</w:t>
      </w:r>
      <w:r>
        <w:rPr>
          <w:rFonts w:hint="eastAsia" w:cs="宋体" w:asciiTheme="minorEastAsia" w:hAnsiTheme="minorEastAsia" w:eastAsiaTheme="minorEastAsia"/>
          <w:color w:val="auto"/>
          <w:sz w:val="24"/>
          <w:highlight w:val="none"/>
        </w:rPr>
        <w:t>要求</w:t>
      </w:r>
      <w:r>
        <w:rPr>
          <w:rFonts w:hint="eastAsia" w:cs="宋体" w:asciiTheme="minorEastAsia" w:hAnsiTheme="minorEastAsia" w:eastAsiaTheme="minorEastAsia"/>
          <w:color w:val="auto"/>
          <w:sz w:val="24"/>
          <w:highlight w:val="none"/>
          <w:lang w:eastAsia="zh-TW"/>
        </w:rPr>
        <w:t>提供的证明材料应盖投标人公章</w:t>
      </w:r>
      <w:r>
        <w:rPr>
          <w:rFonts w:hint="eastAsia" w:ascii="宋体" w:hAnsi="宋体" w:cs="宋体"/>
          <w:color w:val="auto"/>
          <w:sz w:val="24"/>
          <w:highlight w:val="none"/>
        </w:rPr>
        <w:t>或经公章授权的投标专用章（格式详见“第六章投标文件格式”中《公章对投标专用章授权说明》）</w:t>
      </w:r>
      <w:r>
        <w:rPr>
          <w:rFonts w:hint="eastAsia" w:ascii="宋体" w:hAnsi="宋体" w:cs="宋体"/>
          <w:color w:val="auto"/>
          <w:sz w:val="24"/>
          <w:highlight w:val="none"/>
          <w:lang w:eastAsia="zh-TW"/>
        </w:rPr>
        <w:t>，</w:t>
      </w:r>
      <w:r>
        <w:rPr>
          <w:rFonts w:hint="eastAsia" w:ascii="宋体" w:hAnsi="宋体" w:cs="宋体"/>
          <w:color w:val="auto"/>
          <w:sz w:val="24"/>
          <w:highlight w:val="none"/>
        </w:rPr>
        <w:t>不得加盖合同专用章、未经公章授权的投标专用章等各种形式的专用章。副本可以</w:t>
      </w:r>
      <w:r>
        <w:rPr>
          <w:rFonts w:hint="eastAsia" w:ascii="宋体" w:hAnsi="宋体" w:cs="Courier New"/>
          <w:color w:val="auto"/>
          <w:sz w:val="24"/>
          <w:highlight w:val="none"/>
        </w:rPr>
        <w:t>用正本</w:t>
      </w:r>
      <w:r>
        <w:rPr>
          <w:rFonts w:hint="eastAsia" w:ascii="宋体" w:hAnsi="宋体" w:cs="宋体"/>
          <w:color w:val="auto"/>
          <w:sz w:val="24"/>
          <w:highlight w:val="none"/>
        </w:rPr>
        <w:t>复印，与正本具有同等法律效力</w:t>
      </w:r>
      <w:r>
        <w:rPr>
          <w:rFonts w:hint="eastAsia" w:ascii="宋体" w:hAnsi="宋体" w:cs="宋体"/>
          <w:color w:val="auto"/>
          <w:sz w:val="24"/>
          <w:highlight w:val="none"/>
          <w:lang w:eastAsia="zh-TW"/>
        </w:rPr>
        <w:t>。授权代表须将以书面形式出具的《法定代表人授权</w:t>
      </w:r>
      <w:r>
        <w:rPr>
          <w:rFonts w:hint="eastAsia" w:ascii="宋体" w:hAnsi="宋体" w:cs="宋体"/>
          <w:color w:val="auto"/>
          <w:sz w:val="24"/>
          <w:highlight w:val="none"/>
        </w:rPr>
        <w:t>委托</w:t>
      </w:r>
      <w:r>
        <w:rPr>
          <w:rFonts w:hint="eastAsia" w:ascii="宋体" w:hAnsi="宋体" w:cs="宋体"/>
          <w:color w:val="auto"/>
          <w:sz w:val="24"/>
          <w:highlight w:val="none"/>
          <w:lang w:eastAsia="zh-TW"/>
        </w:rPr>
        <w:t>书》附在</w:t>
      </w:r>
      <w:r>
        <w:rPr>
          <w:rFonts w:hint="eastAsia" w:ascii="宋体" w:hAnsi="宋体" w:cs="宋体"/>
          <w:color w:val="auto"/>
          <w:sz w:val="24"/>
          <w:highlight w:val="none"/>
        </w:rPr>
        <w:t>投</w:t>
      </w:r>
      <w:r>
        <w:rPr>
          <w:rFonts w:hint="eastAsia" w:ascii="宋体" w:hAnsi="宋体" w:cs="宋体"/>
          <w:color w:val="auto"/>
          <w:sz w:val="24"/>
          <w:highlight w:val="none"/>
          <w:lang w:eastAsia="zh-TW"/>
        </w:rPr>
        <w:t>标文件中。</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投标文件中的任何重要的插字、涂改和增删，必须由法定代表人或经其正式授权的代表在旁边</w:t>
      </w:r>
      <w:r>
        <w:rPr>
          <w:rFonts w:hint="eastAsia" w:ascii="宋体" w:hAnsi="宋体" w:cs="宋体"/>
          <w:color w:val="auto"/>
          <w:sz w:val="24"/>
          <w:highlight w:val="none"/>
        </w:rPr>
        <w:t>盖个人名章</w:t>
      </w:r>
      <w:r>
        <w:rPr>
          <w:rFonts w:hint="eastAsia" w:ascii="宋体" w:hAnsi="宋体" w:cs="宋体"/>
          <w:color w:val="auto"/>
          <w:sz w:val="24"/>
          <w:highlight w:val="none"/>
          <w:lang w:eastAsia="zh-TW"/>
        </w:rPr>
        <w:t>或签字</w:t>
      </w:r>
      <w:r>
        <w:rPr>
          <w:rFonts w:hint="eastAsia" w:ascii="宋体" w:hAnsi="宋体"/>
          <w:color w:val="auto"/>
          <w:sz w:val="24"/>
          <w:highlight w:val="none"/>
        </w:rPr>
        <w:t>或盖投标人公章或经公章授权的投标专用章</w:t>
      </w:r>
      <w:r>
        <w:rPr>
          <w:rFonts w:hint="eastAsia" w:ascii="宋体" w:hAnsi="宋体" w:cs="宋体"/>
          <w:color w:val="auto"/>
          <w:sz w:val="24"/>
          <w:highlight w:val="none"/>
          <w:lang w:eastAsia="zh-TW"/>
        </w:rPr>
        <w:t>才有效</w:t>
      </w:r>
      <w:r>
        <w:rPr>
          <w:rFonts w:hint="eastAsia" w:ascii="宋体" w:hAnsi="宋体" w:cs="宋体"/>
          <w:color w:val="auto"/>
          <w:sz w:val="24"/>
          <w:highlight w:val="none"/>
        </w:rPr>
        <w:t>。</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若为联合体的，除“联合协议书”“法定代表人证明书”“法定代表人授权委托书”及招标文件另有其他规定外，投标文件的其它内容可由联合体牵头方按要求进行签字、盖章。</w:t>
      </w:r>
    </w:p>
    <w:p>
      <w:pPr>
        <w:numPr>
          <w:ilvl w:val="1"/>
          <w:numId w:val="45"/>
        </w:numPr>
        <w:autoSpaceDE w:val="0"/>
        <w:autoSpaceDN w:val="0"/>
        <w:snapToGrid w:val="0"/>
        <w:spacing w:after="0" w:line="360" w:lineRule="auto"/>
        <w:rPr>
          <w:rFonts w:ascii="宋体" w:hAnsi="宋体" w:cs="黑体"/>
          <w:bCs/>
          <w:color w:val="auto"/>
          <w:sz w:val="24"/>
          <w:highlight w:val="none"/>
        </w:rPr>
      </w:pPr>
      <w:r>
        <w:rPr>
          <w:rFonts w:hint="eastAsia" w:ascii="宋体" w:hAnsi="宋体" w:cs="宋体"/>
          <w:color w:val="auto"/>
          <w:sz w:val="24"/>
          <w:highlight w:val="none"/>
          <w:lang w:eastAsia="zh-TW"/>
        </w:rPr>
        <w:t>投标文件</w:t>
      </w:r>
      <w:r>
        <w:rPr>
          <w:rFonts w:hint="eastAsia" w:ascii="宋体" w:hAnsi="宋体"/>
          <w:bCs/>
          <w:color w:val="auto"/>
          <w:sz w:val="24"/>
          <w:highlight w:val="none"/>
        </w:rPr>
        <w:t>密封与标识</w:t>
      </w:r>
    </w:p>
    <w:p>
      <w:pPr>
        <w:numPr>
          <w:ilvl w:val="3"/>
          <w:numId w:val="45"/>
        </w:numPr>
        <w:tabs>
          <w:tab w:val="left" w:pos="993"/>
        </w:tabs>
        <w:autoSpaceDE w:val="0"/>
        <w:autoSpaceDN w:val="0"/>
        <w:snapToGrid w:val="0"/>
        <w:spacing w:after="0" w:line="360" w:lineRule="auto"/>
        <w:ind w:left="567" w:hanging="567"/>
        <w:rPr>
          <w:rFonts w:ascii="宋体" w:hAnsi="宋体" w:cs="宋体"/>
          <w:color w:val="auto"/>
          <w:sz w:val="24"/>
          <w:highlight w:val="none"/>
        </w:rPr>
      </w:pPr>
      <w:r>
        <w:rPr>
          <w:rFonts w:hint="eastAsia" w:ascii="宋体" w:hAnsi="宋体" w:cs="宋体"/>
          <w:color w:val="auto"/>
          <w:sz w:val="24"/>
          <w:highlight w:val="none"/>
        </w:rPr>
        <w:t>投标文件的密封：</w:t>
      </w:r>
    </w:p>
    <w:p>
      <w:pPr>
        <w:pStyle w:val="85"/>
        <w:numPr>
          <w:ilvl w:val="0"/>
          <w:numId w:val="46"/>
        </w:numPr>
        <w:tabs>
          <w:tab w:val="left" w:pos="709"/>
        </w:tabs>
        <w:autoSpaceDE w:val="0"/>
        <w:autoSpaceDN w:val="0"/>
        <w:snapToGrid w:val="0"/>
        <w:spacing w:after="0" w:line="360" w:lineRule="auto"/>
        <w:ind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投标文件正本与副本可以单独密封包装，也可以所有投标文件密封包装在一个密封袋内。</w:t>
      </w:r>
    </w:p>
    <w:p>
      <w:pPr>
        <w:pStyle w:val="85"/>
        <w:numPr>
          <w:ilvl w:val="0"/>
          <w:numId w:val="46"/>
        </w:numPr>
        <w:tabs>
          <w:tab w:val="left" w:pos="709"/>
        </w:tabs>
        <w:autoSpaceDE w:val="0"/>
        <w:autoSpaceDN w:val="0"/>
        <w:snapToGrid w:val="0"/>
        <w:spacing w:after="0" w:line="360" w:lineRule="auto"/>
        <w:ind w:firstLineChars="0"/>
        <w:rPr>
          <w:rFonts w:ascii="宋体" w:hAnsi="宋体" w:cs="宋体"/>
          <w:color w:val="auto"/>
          <w:sz w:val="24"/>
          <w:highlight w:val="none"/>
        </w:rPr>
      </w:pPr>
      <w:r>
        <w:rPr>
          <w:rFonts w:hint="eastAsia" w:cs="宋体" w:asciiTheme="minorEastAsia" w:hAnsiTheme="minorEastAsia" w:eastAsiaTheme="minorEastAsia"/>
          <w:color w:val="auto"/>
          <w:sz w:val="24"/>
          <w:highlight w:val="none"/>
        </w:rPr>
        <w:t>不足以造成投标文件可从外包装内散出而导致投标文件内容泄密的，不被认定为投标文件未密封。</w:t>
      </w:r>
    </w:p>
    <w:p>
      <w:pPr>
        <w:numPr>
          <w:ilvl w:val="3"/>
          <w:numId w:val="45"/>
        </w:numPr>
        <w:tabs>
          <w:tab w:val="left" w:pos="993"/>
        </w:tabs>
        <w:autoSpaceDE w:val="0"/>
        <w:autoSpaceDN w:val="0"/>
        <w:snapToGrid w:val="0"/>
        <w:spacing w:after="0" w:line="360" w:lineRule="auto"/>
        <w:ind w:left="567" w:hanging="567"/>
        <w:rPr>
          <w:rFonts w:ascii="宋体" w:hAnsi="宋体" w:cs="宋体"/>
          <w:color w:val="auto"/>
          <w:sz w:val="24"/>
          <w:highlight w:val="none"/>
        </w:rPr>
      </w:pPr>
      <w:r>
        <w:rPr>
          <w:rFonts w:hint="eastAsia" w:cs="宋体" w:asciiTheme="minorEastAsia" w:hAnsiTheme="minorEastAsia" w:eastAsiaTheme="minorEastAsia"/>
          <w:color w:val="auto"/>
          <w:sz w:val="24"/>
          <w:highlight w:val="none"/>
        </w:rPr>
        <w:t>投标文件的标识：</w:t>
      </w:r>
    </w:p>
    <w:p>
      <w:pPr>
        <w:pStyle w:val="85"/>
        <w:numPr>
          <w:ilvl w:val="0"/>
          <w:numId w:val="47"/>
        </w:numPr>
        <w:tabs>
          <w:tab w:val="left" w:pos="709"/>
        </w:tabs>
        <w:autoSpaceDE w:val="0"/>
        <w:autoSpaceDN w:val="0"/>
        <w:snapToGrid w:val="0"/>
        <w:spacing w:after="0" w:line="360" w:lineRule="auto"/>
        <w:ind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信封或外包装上需清楚写明项目编号、项目名称、投标人名称、投标人地址、包组号（如有）的字样。</w:t>
      </w:r>
    </w:p>
    <w:p>
      <w:pPr>
        <w:pStyle w:val="85"/>
        <w:numPr>
          <w:ilvl w:val="0"/>
          <w:numId w:val="47"/>
        </w:numPr>
        <w:tabs>
          <w:tab w:val="left" w:pos="709"/>
        </w:tabs>
        <w:autoSpaceDE w:val="0"/>
        <w:autoSpaceDN w:val="0"/>
        <w:snapToGrid w:val="0"/>
        <w:spacing w:after="0" w:line="360" w:lineRule="auto"/>
        <w:ind w:firstLine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如果未按本须知上款要求加写标识，采购代理机构对误投或提前启封概不负责。</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投标报价</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投标人应按照“采购需求”</w:t>
      </w:r>
      <w:r>
        <w:rPr>
          <w:rFonts w:hint="eastAsia" w:ascii="宋体" w:hAnsi="宋体" w:cs="宋体"/>
          <w:color w:val="auto"/>
          <w:sz w:val="24"/>
          <w:highlight w:val="none"/>
        </w:rPr>
        <w:t>中</w:t>
      </w:r>
      <w:r>
        <w:rPr>
          <w:rFonts w:hint="eastAsia" w:ascii="宋体" w:hAnsi="宋体" w:cs="宋体"/>
          <w:color w:val="auto"/>
          <w:sz w:val="24"/>
          <w:highlight w:val="none"/>
          <w:lang w:eastAsia="zh-TW"/>
        </w:rPr>
        <w:t>采购项目技术规格、参数及要求规定的内容、责任范围进行报价。并按《</w:t>
      </w:r>
      <w:r>
        <w:rPr>
          <w:rFonts w:hint="eastAsia" w:ascii="宋体" w:hAnsi="宋体" w:cs="宋体"/>
          <w:color w:val="auto"/>
          <w:sz w:val="24"/>
          <w:highlight w:val="none"/>
        </w:rPr>
        <w:t>开标一览表(报价表)</w:t>
      </w:r>
      <w:r>
        <w:rPr>
          <w:rFonts w:hint="eastAsia" w:ascii="宋体" w:hAnsi="宋体" w:cs="宋体"/>
          <w:color w:val="auto"/>
          <w:sz w:val="24"/>
          <w:highlight w:val="none"/>
          <w:lang w:eastAsia="zh-TW"/>
        </w:rPr>
        <w:t>》</w:t>
      </w:r>
      <w:r>
        <w:rPr>
          <w:rFonts w:hint="eastAsia" w:ascii="宋体" w:hAnsi="宋体" w:cs="宋体"/>
          <w:color w:val="auto"/>
          <w:sz w:val="24"/>
          <w:highlight w:val="none"/>
        </w:rPr>
        <w:t>及</w:t>
      </w:r>
      <w:r>
        <w:rPr>
          <w:rFonts w:hint="eastAsia" w:ascii="宋体" w:hAnsi="宋体" w:cs="宋体"/>
          <w:color w:val="auto"/>
          <w:sz w:val="24"/>
          <w:highlight w:val="none"/>
          <w:lang w:eastAsia="zh-TW"/>
        </w:rPr>
        <w:t>《投标分项报价表》（如适用）的</w:t>
      </w:r>
      <w:r>
        <w:rPr>
          <w:rFonts w:hint="eastAsia" w:ascii="宋体" w:hAnsi="宋体" w:cs="宋体"/>
          <w:color w:val="auto"/>
          <w:sz w:val="24"/>
          <w:highlight w:val="none"/>
        </w:rPr>
        <w:t>要求</w:t>
      </w:r>
      <w:r>
        <w:rPr>
          <w:rFonts w:hint="eastAsia" w:ascii="宋体" w:hAnsi="宋体" w:cs="宋体"/>
          <w:color w:val="auto"/>
          <w:sz w:val="24"/>
          <w:highlight w:val="none"/>
          <w:lang w:eastAsia="zh-TW"/>
        </w:rPr>
        <w:t>报出总价和分项价格。</w:t>
      </w:r>
      <w:r>
        <w:rPr>
          <w:rFonts w:hint="eastAsia" w:ascii="宋体" w:hAnsi="宋体" w:cs="宋体"/>
          <w:color w:val="auto"/>
          <w:sz w:val="24"/>
          <w:highlight w:val="none"/>
        </w:rPr>
        <w:t>投标人</w:t>
      </w:r>
      <w:r>
        <w:rPr>
          <w:rFonts w:hint="eastAsia" w:ascii="宋体" w:hAnsi="宋体" w:cs="宋体"/>
          <w:color w:val="auto"/>
          <w:sz w:val="24"/>
          <w:highlight w:val="none"/>
          <w:lang w:eastAsia="zh-TW"/>
        </w:rPr>
        <w:t>未</w:t>
      </w:r>
      <w:r>
        <w:rPr>
          <w:rFonts w:hint="eastAsia" w:ascii="宋体" w:hAnsi="宋体" w:cs="宋体"/>
          <w:color w:val="auto"/>
          <w:sz w:val="24"/>
          <w:highlight w:val="none"/>
        </w:rPr>
        <w:t>按招标文件要求</w:t>
      </w:r>
      <w:r>
        <w:rPr>
          <w:rFonts w:hint="eastAsia" w:ascii="宋体" w:hAnsi="宋体" w:cs="宋体"/>
          <w:color w:val="auto"/>
          <w:sz w:val="24"/>
          <w:highlight w:val="none"/>
          <w:lang w:eastAsia="zh-TW"/>
        </w:rPr>
        <w:t>提供报价</w:t>
      </w:r>
      <w:r>
        <w:rPr>
          <w:rFonts w:hint="eastAsia" w:ascii="宋体" w:hAnsi="宋体" w:cs="宋体"/>
          <w:color w:val="auto"/>
          <w:sz w:val="24"/>
          <w:highlight w:val="none"/>
        </w:rPr>
        <w:t>或未提供报价，</w:t>
      </w:r>
      <w:r>
        <w:rPr>
          <w:rFonts w:hint="eastAsia" w:ascii="宋体" w:hAnsi="宋体" w:cs="宋体"/>
          <w:color w:val="auto"/>
          <w:sz w:val="24"/>
          <w:highlight w:val="none"/>
          <w:lang w:eastAsia="zh-TW"/>
        </w:rPr>
        <w:t>导致评标委员会无法对其进行价格评审的，</w:t>
      </w:r>
      <w:r>
        <w:rPr>
          <w:rFonts w:hint="eastAsia" w:ascii="宋体" w:hAnsi="宋体" w:cs="宋体"/>
          <w:color w:val="auto"/>
          <w:sz w:val="24"/>
          <w:highlight w:val="none"/>
        </w:rPr>
        <w:t>视为</w:t>
      </w:r>
      <w:r>
        <w:rPr>
          <w:rFonts w:hint="eastAsia" w:ascii="宋体" w:hAnsi="宋体" w:cs="宋体"/>
          <w:b/>
          <w:bCs/>
          <w:color w:val="auto"/>
          <w:sz w:val="24"/>
          <w:highlight w:val="none"/>
        </w:rPr>
        <w:t>无效</w:t>
      </w:r>
      <w:r>
        <w:rPr>
          <w:rFonts w:hint="eastAsia" w:ascii="宋体" w:hAnsi="宋体" w:cs="宋体"/>
          <w:b/>
          <w:bCs/>
          <w:color w:val="auto"/>
          <w:sz w:val="24"/>
          <w:highlight w:val="none"/>
          <w:lang w:eastAsia="zh-TW"/>
        </w:rPr>
        <w:t>投标</w:t>
      </w:r>
      <w:r>
        <w:rPr>
          <w:rFonts w:hint="eastAsia" w:ascii="宋体" w:hAnsi="宋体" w:cs="宋体"/>
          <w:color w:val="auto"/>
          <w:sz w:val="24"/>
          <w:highlight w:val="none"/>
        </w:rPr>
        <w:t>（无需进行价格评审的情形除外）</w:t>
      </w:r>
      <w:r>
        <w:rPr>
          <w:rFonts w:hint="eastAsia" w:ascii="宋体" w:hAnsi="宋体" w:cs="宋体"/>
          <w:color w:val="auto"/>
          <w:sz w:val="24"/>
          <w:highlight w:val="none"/>
          <w:lang w:eastAsia="zh-TW"/>
        </w:rPr>
        <w:t>。</w:t>
      </w:r>
      <w:r>
        <w:rPr>
          <w:rFonts w:hint="eastAsia" w:ascii="宋体" w:hAnsi="宋体" w:cs="宋体"/>
          <w:color w:val="auto"/>
          <w:sz w:val="24"/>
          <w:highlight w:val="none"/>
        </w:rPr>
        <w:t>投标人</w:t>
      </w:r>
      <w:r>
        <w:rPr>
          <w:rFonts w:hint="eastAsia" w:ascii="宋体" w:hAnsi="宋体" w:cs="宋体"/>
          <w:color w:val="auto"/>
          <w:sz w:val="24"/>
          <w:highlight w:val="none"/>
          <w:lang w:eastAsia="zh-TW"/>
        </w:rPr>
        <w:t>按</w:t>
      </w:r>
      <w:r>
        <w:rPr>
          <w:rFonts w:hint="eastAsia" w:ascii="宋体" w:hAnsi="宋体" w:cs="宋体"/>
          <w:color w:val="auto"/>
          <w:sz w:val="24"/>
          <w:highlight w:val="none"/>
        </w:rPr>
        <w:t>招标</w:t>
      </w:r>
      <w:r>
        <w:rPr>
          <w:rFonts w:hint="eastAsia" w:ascii="宋体" w:hAnsi="宋体" w:cs="宋体"/>
          <w:color w:val="auto"/>
          <w:sz w:val="24"/>
          <w:highlight w:val="none"/>
          <w:lang w:eastAsia="zh-TW"/>
        </w:rPr>
        <w:t>文件的要求报出全部货物及服务内容所需的所有费用，</w:t>
      </w:r>
      <w:r>
        <w:rPr>
          <w:rFonts w:hint="eastAsia" w:cs="宋体" w:asciiTheme="minorEastAsia" w:hAnsiTheme="minorEastAsia" w:eastAsiaTheme="minorEastAsia"/>
          <w:color w:val="auto"/>
          <w:sz w:val="24"/>
          <w:highlight w:val="none"/>
        </w:rPr>
        <w:t>在合同履行过程中，采购人不再支付除合同金额以外的费用。</w:t>
      </w:r>
    </w:p>
    <w:p>
      <w:pPr>
        <w:numPr>
          <w:ilvl w:val="1"/>
          <w:numId w:val="45"/>
        </w:numPr>
        <w:tabs>
          <w:tab w:val="clear" w:pos="567"/>
        </w:tabs>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投标报价应包含按招标文件的要求全部货物及服务内容所需的所有费用，</w:t>
      </w:r>
      <w:r>
        <w:rPr>
          <w:rFonts w:ascii="宋体" w:hAnsi="宋体" w:cs="宋体"/>
          <w:color w:val="auto"/>
          <w:sz w:val="24"/>
          <w:highlight w:val="none"/>
          <w:lang w:eastAsia="zh-TW"/>
        </w:rPr>
        <w:t>包括但不限于</w:t>
      </w:r>
      <w:r>
        <w:rPr>
          <w:rFonts w:hint="eastAsia" w:ascii="宋体" w:hAnsi="宋体" w:cs="宋体"/>
          <w:b/>
          <w:color w:val="auto"/>
          <w:sz w:val="24"/>
          <w:highlight w:val="none"/>
          <w:lang w:eastAsia="zh-TW"/>
        </w:rPr>
        <w:t>投标人须知前附表</w:t>
      </w:r>
      <w:r>
        <w:rPr>
          <w:rFonts w:hint="eastAsia" w:ascii="宋体" w:hAnsi="宋体" w:cs="宋体"/>
          <w:color w:val="auto"/>
          <w:sz w:val="24"/>
          <w:highlight w:val="none"/>
          <w:lang w:eastAsia="zh-TW"/>
        </w:rPr>
        <w:t>中规定的。</w:t>
      </w:r>
    </w:p>
    <w:p>
      <w:pPr>
        <w:numPr>
          <w:ilvl w:val="1"/>
          <w:numId w:val="45"/>
        </w:numPr>
        <w:autoSpaceDE w:val="0"/>
        <w:autoSpaceDN w:val="0"/>
        <w:snapToGrid w:val="0"/>
        <w:spacing w:after="0" w:line="360" w:lineRule="auto"/>
        <w:rPr>
          <w:rFonts w:ascii="宋体" w:hAnsi="宋体" w:cs="宋体"/>
          <w:color w:val="auto"/>
          <w:sz w:val="24"/>
          <w:highlight w:val="none"/>
        </w:rPr>
      </w:pPr>
      <w:r>
        <w:rPr>
          <w:rFonts w:hint="eastAsia" w:ascii="宋体" w:hAnsi="宋体" w:cs="宋体"/>
          <w:color w:val="auto"/>
          <w:sz w:val="24"/>
          <w:highlight w:val="none"/>
          <w:lang w:eastAsia="zh-TW"/>
        </w:rPr>
        <w:t>投标人所报的投标价在合同执行过程中是固定不变的</w:t>
      </w:r>
      <w:r>
        <w:rPr>
          <w:rFonts w:hint="eastAsia" w:ascii="宋体" w:hAnsi="宋体" w:cs="宋体"/>
          <w:color w:val="auto"/>
          <w:sz w:val="24"/>
          <w:highlight w:val="none"/>
        </w:rPr>
        <w:t>，</w:t>
      </w:r>
      <w:r>
        <w:rPr>
          <w:rFonts w:hint="eastAsia" w:ascii="宋体" w:hAnsi="宋体" w:cs="宋体"/>
          <w:color w:val="auto"/>
          <w:sz w:val="24"/>
          <w:highlight w:val="none"/>
          <w:lang w:eastAsia="zh-TW"/>
        </w:rPr>
        <w:t>不得以任何理由予以变更。任何包含价格调整要求的投标被认为是非实质性响应投标而予以拒绝。</w:t>
      </w:r>
    </w:p>
    <w:p>
      <w:pPr>
        <w:numPr>
          <w:ilvl w:val="1"/>
          <w:numId w:val="45"/>
        </w:numPr>
        <w:autoSpaceDE w:val="0"/>
        <w:autoSpaceDN w:val="0"/>
        <w:snapToGrid w:val="0"/>
        <w:spacing w:after="0" w:line="360" w:lineRule="auto"/>
        <w:rPr>
          <w:rFonts w:ascii="宋体" w:hAnsi="宋体" w:cs="宋体"/>
          <w:b/>
          <w:strike/>
          <w:color w:val="auto"/>
          <w:sz w:val="24"/>
          <w:highlight w:val="none"/>
          <w:lang w:eastAsia="zh-TW"/>
        </w:rPr>
      </w:pPr>
      <w:r>
        <w:rPr>
          <w:rFonts w:hint="eastAsia" w:ascii="宋体" w:hAnsi="宋体"/>
          <w:color w:val="auto"/>
          <w:sz w:val="24"/>
          <w:highlight w:val="none"/>
        </w:rPr>
        <w:t>除</w:t>
      </w:r>
      <w:r>
        <w:rPr>
          <w:rFonts w:hint="eastAsia" w:ascii="宋体" w:hAnsi="宋体" w:cs="宋体"/>
          <w:b/>
          <w:color w:val="auto"/>
          <w:sz w:val="24"/>
          <w:highlight w:val="none"/>
          <w:lang w:eastAsia="zh-TW"/>
        </w:rPr>
        <w:t>投标人须知前附表</w:t>
      </w:r>
      <w:r>
        <w:rPr>
          <w:rFonts w:hint="eastAsia" w:ascii="宋体" w:hAnsi="宋体"/>
          <w:color w:val="auto"/>
          <w:sz w:val="24"/>
          <w:highlight w:val="none"/>
        </w:rPr>
        <w:t>中允许有备选方案外，本次招标不接受选择性报价，</w:t>
      </w:r>
      <w:r>
        <w:rPr>
          <w:rFonts w:hint="eastAsia" w:ascii="宋体" w:hAnsi="宋体" w:cs="宋体"/>
          <w:color w:val="auto"/>
          <w:sz w:val="24"/>
          <w:highlight w:val="none"/>
        </w:rPr>
        <w:t>否则将被视为</w:t>
      </w:r>
      <w:r>
        <w:rPr>
          <w:rFonts w:hint="eastAsia" w:ascii="宋体" w:hAnsi="宋体" w:cs="宋体"/>
          <w:b/>
          <w:color w:val="auto"/>
          <w:sz w:val="24"/>
          <w:highlight w:val="none"/>
        </w:rPr>
        <w:t>无效投标</w:t>
      </w:r>
      <w:r>
        <w:rPr>
          <w:rFonts w:hint="eastAsia" w:ascii="宋体" w:hAnsi="宋体" w:cs="宋体"/>
          <w:color w:val="auto"/>
          <w:sz w:val="24"/>
          <w:highlight w:val="none"/>
        </w:rPr>
        <w:t>。</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olor w:val="auto"/>
          <w:sz w:val="24"/>
          <w:highlight w:val="none"/>
        </w:rPr>
        <w:t>本次招标不接受具有附加条件的报价，</w:t>
      </w:r>
      <w:r>
        <w:rPr>
          <w:rFonts w:hint="eastAsia" w:ascii="宋体" w:hAnsi="宋体" w:cs="宋体"/>
          <w:color w:val="auto"/>
          <w:sz w:val="24"/>
          <w:highlight w:val="none"/>
        </w:rPr>
        <w:t>否则将被视为</w:t>
      </w:r>
      <w:r>
        <w:rPr>
          <w:rFonts w:hint="eastAsia" w:ascii="宋体" w:hAnsi="宋体" w:cs="宋体"/>
          <w:b/>
          <w:color w:val="auto"/>
          <w:sz w:val="24"/>
          <w:highlight w:val="none"/>
        </w:rPr>
        <w:t>无效投标</w:t>
      </w:r>
      <w:r>
        <w:rPr>
          <w:rFonts w:hint="eastAsia" w:ascii="宋体" w:hAnsi="宋体" w:cs="宋体"/>
          <w:color w:val="auto"/>
          <w:sz w:val="24"/>
          <w:highlight w:val="none"/>
        </w:rPr>
        <w:t>。</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投标货币</w:t>
      </w:r>
    </w:p>
    <w:p>
      <w:pPr>
        <w:numPr>
          <w:ilvl w:val="1"/>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投标人所提供的货物和服务均应以人民币报价。</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联合体投标</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olor w:val="auto"/>
          <w:sz w:val="24"/>
          <w:highlight w:val="none"/>
        </w:rPr>
        <w:t>除非</w:t>
      </w:r>
      <w:r>
        <w:rPr>
          <w:rFonts w:hint="eastAsia" w:ascii="宋体" w:hAnsi="宋体"/>
          <w:b/>
          <w:color w:val="auto"/>
          <w:sz w:val="24"/>
          <w:highlight w:val="none"/>
        </w:rPr>
        <w:t>投标邀请</w:t>
      </w:r>
      <w:r>
        <w:rPr>
          <w:rFonts w:hint="eastAsia" w:ascii="宋体" w:hAnsi="宋体"/>
          <w:color w:val="auto"/>
          <w:sz w:val="24"/>
          <w:highlight w:val="none"/>
        </w:rPr>
        <w:t>中另有规定，不接受联合体投标。如果投标邀请中规定允许联合体投标的，则必须满足：</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以联合体形式参加投标的，联合体各方均必须符合</w:t>
      </w:r>
      <w:r>
        <w:rPr>
          <w:rFonts w:hint="eastAsia" w:ascii="宋体" w:hAnsi="宋体"/>
          <w:bCs/>
          <w:color w:val="auto"/>
          <w:sz w:val="24"/>
          <w:highlight w:val="none"/>
        </w:rPr>
        <w:t>《中华人民共和国政府采购法》第二十二条第（一）至（六）项规定。</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联合体投标的，必须提供各方签订的联合投标协议，明确约定各方承担的工作和相应的责任。联合体各方签订联合协议书，不得再以自己名义单独在</w:t>
      </w:r>
      <w:r>
        <w:rPr>
          <w:rFonts w:hint="eastAsia" w:cs="宋体" w:asciiTheme="minorEastAsia" w:hAnsiTheme="minorEastAsia" w:eastAsiaTheme="minorEastAsia"/>
          <w:bCs/>
          <w:color w:val="auto"/>
          <w:sz w:val="24"/>
          <w:highlight w:val="none"/>
        </w:rPr>
        <w:t>本项目同一合同项下</w:t>
      </w:r>
      <w:r>
        <w:rPr>
          <w:rFonts w:hint="eastAsia" w:ascii="宋体" w:hAnsi="宋体"/>
          <w:color w:val="auto"/>
          <w:sz w:val="24"/>
          <w:highlight w:val="none"/>
        </w:rPr>
        <w:t>的投标，也不得组成新的联合体参加</w:t>
      </w:r>
      <w:r>
        <w:rPr>
          <w:rFonts w:hint="eastAsia" w:cs="宋体" w:asciiTheme="minorEastAsia" w:hAnsiTheme="minorEastAsia" w:eastAsiaTheme="minorEastAsia"/>
          <w:bCs/>
          <w:color w:val="auto"/>
          <w:sz w:val="24"/>
          <w:highlight w:val="none"/>
        </w:rPr>
        <w:t>本项目同一合同项下的</w:t>
      </w:r>
      <w:r>
        <w:rPr>
          <w:rFonts w:hint="eastAsia" w:ascii="宋体" w:hAnsi="宋体"/>
          <w:color w:val="auto"/>
          <w:sz w:val="24"/>
          <w:highlight w:val="none"/>
        </w:rPr>
        <w:t>投标。</w:t>
      </w:r>
    </w:p>
    <w:p>
      <w:pPr>
        <w:numPr>
          <w:ilvl w:val="2"/>
          <w:numId w:val="45"/>
        </w:numPr>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联合体中有同类资质的供应商按照联合体分工承担相同工作的，应当按照资质等级较低的供应商确定资质等级。</w:t>
      </w:r>
    </w:p>
    <w:p>
      <w:pPr>
        <w:numPr>
          <w:ilvl w:val="2"/>
          <w:numId w:val="45"/>
        </w:numPr>
        <w:tabs>
          <w:tab w:val="left" w:pos="851"/>
        </w:tabs>
        <w:autoSpaceDE w:val="0"/>
        <w:autoSpaceDN w:val="0"/>
        <w:snapToGrid w:val="0"/>
        <w:spacing w:after="0" w:line="360" w:lineRule="auto"/>
        <w:rPr>
          <w:rFonts w:ascii="宋体" w:hAnsi="宋体"/>
          <w:color w:val="auto"/>
          <w:sz w:val="24"/>
          <w:highlight w:val="none"/>
        </w:rPr>
      </w:pPr>
      <w:r>
        <w:rPr>
          <w:rFonts w:hint="eastAsia" w:ascii="宋体" w:hAnsi="宋体"/>
          <w:color w:val="auto"/>
          <w:sz w:val="24"/>
          <w:highlight w:val="none"/>
        </w:rPr>
        <w:t>联合体投标的，可以由联合体中的一方或者共同提交投标保证金，以一方名义提交投标保证金的，对联合体各方均具有约束力。</w:t>
      </w:r>
    </w:p>
    <w:p>
      <w:pPr>
        <w:numPr>
          <w:ilvl w:val="1"/>
          <w:numId w:val="45"/>
        </w:numPr>
        <w:autoSpaceDE w:val="0"/>
        <w:autoSpaceDN w:val="0"/>
        <w:snapToGrid w:val="0"/>
        <w:spacing w:after="0" w:line="360" w:lineRule="auto"/>
        <w:rPr>
          <w:rFonts w:ascii="宋体" w:hAnsi="宋体"/>
          <w:color w:val="auto"/>
          <w:sz w:val="24"/>
          <w:highlight w:val="none"/>
        </w:rPr>
      </w:pPr>
      <w:r>
        <w:rPr>
          <w:rFonts w:ascii="宋体" w:hAnsi="宋体"/>
          <w:color w:val="auto"/>
          <w:sz w:val="24"/>
          <w:highlight w:val="none"/>
        </w:rPr>
        <w:t>联合体中标的，联合体各方应当共同与</w:t>
      </w:r>
      <w:r>
        <w:rPr>
          <w:rFonts w:hint="eastAsia" w:ascii="宋体" w:hAnsi="宋体"/>
          <w:color w:val="auto"/>
          <w:sz w:val="24"/>
          <w:highlight w:val="none"/>
        </w:rPr>
        <w:t>采购</w:t>
      </w:r>
      <w:r>
        <w:rPr>
          <w:rFonts w:ascii="宋体" w:hAnsi="宋体"/>
          <w:color w:val="auto"/>
          <w:sz w:val="24"/>
          <w:highlight w:val="none"/>
        </w:rPr>
        <w:t>人签订合同。</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证明投标人合格和资格的文件</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投标人应提交证明其有资格参加投标和中标后有能力履行合同的文件</w:t>
      </w:r>
      <w:r>
        <w:rPr>
          <w:rFonts w:hint="eastAsia" w:ascii="宋体" w:hAnsi="宋体" w:cs="宋体"/>
          <w:color w:val="auto"/>
          <w:sz w:val="24"/>
          <w:highlight w:val="none"/>
        </w:rPr>
        <w:t>，</w:t>
      </w:r>
      <w:r>
        <w:rPr>
          <w:rFonts w:hint="eastAsia" w:ascii="宋体" w:hAnsi="宋体" w:cs="宋体"/>
          <w:color w:val="auto"/>
          <w:sz w:val="24"/>
          <w:highlight w:val="none"/>
          <w:lang w:eastAsia="zh-TW"/>
        </w:rPr>
        <w:t>并作为其投标文件的一部分。如果投标人为联合体</w:t>
      </w:r>
      <w:r>
        <w:rPr>
          <w:rFonts w:hint="eastAsia" w:ascii="宋体" w:hAnsi="宋体" w:cs="宋体"/>
          <w:color w:val="auto"/>
          <w:sz w:val="24"/>
          <w:highlight w:val="none"/>
        </w:rPr>
        <w:t>，</w:t>
      </w:r>
      <w:r>
        <w:rPr>
          <w:rFonts w:hint="eastAsia" w:ascii="宋体" w:hAnsi="宋体" w:cs="宋体"/>
          <w:color w:val="auto"/>
          <w:sz w:val="24"/>
          <w:highlight w:val="none"/>
          <w:lang w:eastAsia="zh-TW"/>
        </w:rPr>
        <w:t>应提交联合体各方的资格证明文件、联合投标协议并注明牵头方</w:t>
      </w:r>
      <w:r>
        <w:rPr>
          <w:rFonts w:hint="eastAsia" w:ascii="宋体" w:hAnsi="宋体" w:cs="宋体"/>
          <w:color w:val="auto"/>
          <w:sz w:val="24"/>
          <w:highlight w:val="none"/>
        </w:rPr>
        <w:t>及各方拟承担的工作和责任。</w:t>
      </w:r>
      <w:r>
        <w:rPr>
          <w:rFonts w:hint="eastAsia" w:ascii="宋体" w:hAnsi="宋体" w:cs="宋体"/>
          <w:color w:val="auto"/>
          <w:sz w:val="24"/>
          <w:highlight w:val="none"/>
          <w:lang w:eastAsia="zh-TW"/>
        </w:rPr>
        <w:t>否则</w:t>
      </w:r>
      <w:r>
        <w:rPr>
          <w:rFonts w:hint="eastAsia" w:ascii="宋体" w:hAnsi="宋体" w:cs="宋体"/>
          <w:color w:val="auto"/>
          <w:sz w:val="24"/>
          <w:highlight w:val="none"/>
        </w:rPr>
        <w:t>，</w:t>
      </w:r>
      <w:r>
        <w:rPr>
          <w:rFonts w:hint="eastAsia" w:ascii="宋体" w:hAnsi="宋体" w:cs="宋体"/>
          <w:color w:val="auto"/>
          <w:sz w:val="24"/>
          <w:highlight w:val="none"/>
          <w:lang w:eastAsia="zh-TW"/>
        </w:rPr>
        <w:t>将导致其</w:t>
      </w:r>
      <w:r>
        <w:rPr>
          <w:rFonts w:hint="eastAsia" w:ascii="宋体" w:hAnsi="宋体" w:cs="宋体"/>
          <w:b/>
          <w:color w:val="auto"/>
          <w:sz w:val="24"/>
          <w:highlight w:val="none"/>
          <w:lang w:eastAsia="zh-TW"/>
        </w:rPr>
        <w:t>投标</w:t>
      </w:r>
      <w:r>
        <w:rPr>
          <w:rFonts w:hint="eastAsia" w:ascii="宋体" w:hAnsi="宋体" w:cs="宋体"/>
          <w:b/>
          <w:color w:val="auto"/>
          <w:sz w:val="24"/>
          <w:highlight w:val="none"/>
        </w:rPr>
        <w:t>无效</w:t>
      </w:r>
      <w:r>
        <w:rPr>
          <w:rFonts w:hint="eastAsia" w:ascii="宋体" w:hAnsi="宋体" w:cs="宋体"/>
          <w:color w:val="auto"/>
          <w:sz w:val="24"/>
          <w:highlight w:val="none"/>
        </w:rPr>
        <w:t>。</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投标人提交的资格证明文件应证明其</w:t>
      </w:r>
      <w:r>
        <w:rPr>
          <w:rFonts w:hint="eastAsia" w:ascii="宋体" w:hAnsi="宋体" w:cs="宋体"/>
          <w:color w:val="auto"/>
          <w:sz w:val="24"/>
          <w:highlight w:val="none"/>
        </w:rPr>
        <w:t>满足</w:t>
      </w:r>
      <w:r>
        <w:rPr>
          <w:rFonts w:hint="eastAsia" w:ascii="宋体"/>
          <w:bCs/>
          <w:color w:val="auto"/>
          <w:sz w:val="24"/>
          <w:highlight w:val="none"/>
        </w:rPr>
        <w:t>投标人的资格要求</w:t>
      </w:r>
      <w:r>
        <w:rPr>
          <w:rFonts w:hint="eastAsia" w:ascii="宋体" w:hAnsi="宋体" w:cs="宋体"/>
          <w:color w:val="auto"/>
          <w:sz w:val="24"/>
          <w:highlight w:val="none"/>
          <w:lang w:eastAsia="zh-TW"/>
        </w:rPr>
        <w:t>。</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ascii="宋体" w:hAnsi="宋体"/>
          <w:b/>
          <w:bCs/>
          <w:color w:val="auto"/>
          <w:sz w:val="24"/>
          <w:highlight w:val="none"/>
        </w:rPr>
        <w:t>证明投标标的的合格性和符合招标文件规定的文件</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投标人应提交证明文件</w:t>
      </w:r>
      <w:r>
        <w:rPr>
          <w:rFonts w:hint="eastAsia" w:ascii="宋体" w:hAnsi="宋体" w:cs="宋体"/>
          <w:color w:val="auto"/>
          <w:sz w:val="24"/>
          <w:highlight w:val="none"/>
        </w:rPr>
        <w:t>，</w:t>
      </w:r>
      <w:r>
        <w:rPr>
          <w:rFonts w:hint="eastAsia" w:ascii="宋体" w:hAnsi="宋体" w:cs="宋体"/>
          <w:color w:val="auto"/>
          <w:sz w:val="24"/>
          <w:highlight w:val="none"/>
          <w:lang w:eastAsia="zh-TW"/>
        </w:rPr>
        <w:t>证明其拟</w:t>
      </w:r>
      <w:r>
        <w:rPr>
          <w:rFonts w:hint="eastAsia" w:ascii="宋体" w:hAnsi="宋体" w:cs="宋体"/>
          <w:color w:val="auto"/>
          <w:sz w:val="24"/>
          <w:highlight w:val="none"/>
        </w:rPr>
        <w:t>投标</w:t>
      </w:r>
      <w:r>
        <w:rPr>
          <w:rFonts w:hint="eastAsia" w:ascii="宋体" w:hAnsi="宋体" w:cs="宋体"/>
          <w:color w:val="auto"/>
          <w:sz w:val="24"/>
          <w:highlight w:val="none"/>
          <w:lang w:eastAsia="zh-TW"/>
        </w:rPr>
        <w:t>的货物和服务的合格性符合招标文件规定。该证明文件作为投标文件的一部分。</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货物和服务合格性的证明文件应包括投标分项报价表中对货物和服务原产地的说明。</w:t>
      </w:r>
    </w:p>
    <w:p>
      <w:pPr>
        <w:numPr>
          <w:ilvl w:val="1"/>
          <w:numId w:val="45"/>
        </w:numPr>
        <w:autoSpaceDE w:val="0"/>
        <w:autoSpaceDN w:val="0"/>
        <w:snapToGrid w:val="0"/>
        <w:spacing w:after="0" w:line="360" w:lineRule="auto"/>
        <w:rPr>
          <w:rFonts w:ascii="宋体" w:hAnsi="宋体"/>
          <w:strike/>
          <w:color w:val="auto"/>
          <w:sz w:val="24"/>
          <w:highlight w:val="none"/>
        </w:rPr>
      </w:pPr>
      <w:r>
        <w:rPr>
          <w:rFonts w:hint="eastAsia" w:ascii="宋体" w:hAnsi="宋体" w:cs="宋体"/>
          <w:color w:val="auto"/>
          <w:sz w:val="24"/>
          <w:highlight w:val="none"/>
          <w:lang w:eastAsia="zh-TW"/>
        </w:rPr>
        <w:t>证明货物和服务与招标文件的要求相一致的文件，可以是文字资料、图纸和数据</w:t>
      </w:r>
      <w:r>
        <w:rPr>
          <w:rFonts w:hint="eastAsia" w:ascii="宋体" w:hAnsi="宋体" w:cs="宋体"/>
          <w:color w:val="auto"/>
          <w:sz w:val="24"/>
          <w:highlight w:val="none"/>
        </w:rPr>
        <w:t>。</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投标保证金</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投标人应</w:t>
      </w:r>
      <w:r>
        <w:rPr>
          <w:rFonts w:hint="eastAsia" w:ascii="宋体" w:hAnsi="宋体" w:cs="宋体"/>
          <w:color w:val="auto"/>
          <w:sz w:val="24"/>
          <w:highlight w:val="none"/>
        </w:rPr>
        <w:t>按</w:t>
      </w:r>
      <w:r>
        <w:rPr>
          <w:rFonts w:hint="eastAsia" w:ascii="宋体" w:hAnsi="宋体" w:cs="宋体"/>
          <w:b/>
          <w:color w:val="auto"/>
          <w:sz w:val="24"/>
          <w:highlight w:val="none"/>
          <w:lang w:eastAsia="zh-TW"/>
        </w:rPr>
        <w:t>投标人须知前附表</w:t>
      </w:r>
      <w:r>
        <w:rPr>
          <w:rFonts w:hint="eastAsia" w:ascii="宋体" w:hAnsi="宋体" w:cs="宋体"/>
          <w:color w:val="auto"/>
          <w:sz w:val="24"/>
          <w:highlight w:val="none"/>
          <w:lang w:eastAsia="zh-TW"/>
        </w:rPr>
        <w:t>中规定</w:t>
      </w:r>
      <w:r>
        <w:rPr>
          <w:rFonts w:hint="eastAsia" w:ascii="宋体" w:hAnsi="宋体" w:cs="宋体"/>
          <w:color w:val="auto"/>
          <w:sz w:val="24"/>
          <w:highlight w:val="none"/>
        </w:rPr>
        <w:t>缴纳</w:t>
      </w:r>
      <w:r>
        <w:rPr>
          <w:rFonts w:hint="eastAsia" w:ascii="宋体" w:hAnsi="宋体" w:cs="宋体"/>
          <w:color w:val="auto"/>
          <w:sz w:val="24"/>
          <w:highlight w:val="none"/>
          <w:lang w:eastAsia="zh-TW"/>
        </w:rPr>
        <w:t>投标保证金</w:t>
      </w:r>
      <w:r>
        <w:rPr>
          <w:rFonts w:hint="eastAsia" w:ascii="宋体" w:hAnsi="宋体" w:cs="宋体"/>
          <w:color w:val="auto"/>
          <w:sz w:val="24"/>
          <w:highlight w:val="none"/>
        </w:rPr>
        <w:t>，</w:t>
      </w:r>
      <w:r>
        <w:rPr>
          <w:rFonts w:hint="eastAsia" w:ascii="宋体" w:hAnsi="宋体" w:cs="宋体"/>
          <w:color w:val="auto"/>
          <w:sz w:val="24"/>
          <w:highlight w:val="none"/>
          <w:lang w:eastAsia="zh-TW"/>
        </w:rPr>
        <w:t>并作为其投标</w:t>
      </w:r>
      <w:r>
        <w:rPr>
          <w:rFonts w:hint="eastAsia" w:ascii="宋体" w:hAnsi="宋体" w:cs="宋体"/>
          <w:color w:val="auto"/>
          <w:sz w:val="24"/>
          <w:highlight w:val="none"/>
        </w:rPr>
        <w:t>文件的组成</w:t>
      </w:r>
      <w:r>
        <w:rPr>
          <w:rFonts w:hint="eastAsia" w:ascii="宋体" w:hAnsi="宋体" w:cs="宋体"/>
          <w:color w:val="auto"/>
          <w:sz w:val="24"/>
          <w:highlight w:val="none"/>
          <w:lang w:eastAsia="zh-TW"/>
        </w:rPr>
        <w:t>部分。</w:t>
      </w:r>
      <w:r>
        <w:rPr>
          <w:rFonts w:hint="eastAsia" w:ascii="宋体" w:hAnsi="宋体" w:cs="宋体"/>
          <w:color w:val="auto"/>
          <w:sz w:val="24"/>
          <w:highlight w:val="none"/>
        </w:rPr>
        <w:t>投标保证金有效期应当与投标有效期一致。</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未中标的投标人保证金，在中标通知书发出之日起5个工作日内，但因投标人自身原因导致无法及时退还的除外。</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中标人的投标保证金，在中标人与采购人签订采购合同之日起5个工作日内，或者转为中标人的履约保证金，但因投标人自身原因导致无法及时退还的除外。</w:t>
      </w:r>
    </w:p>
    <w:p>
      <w:pPr>
        <w:numPr>
          <w:ilvl w:val="1"/>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下列任一情形发生时，投标保证金将不予退还：</w:t>
      </w:r>
    </w:p>
    <w:p>
      <w:pPr>
        <w:numPr>
          <w:ilvl w:val="2"/>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投标人在招标文件中规定的投标有效期内撤销其投标文件；</w:t>
      </w:r>
    </w:p>
    <w:p>
      <w:pPr>
        <w:numPr>
          <w:ilvl w:val="2"/>
          <w:numId w:val="45"/>
        </w:numPr>
        <w:autoSpaceDE w:val="0"/>
        <w:autoSpaceDN w:val="0"/>
        <w:snapToGrid w:val="0"/>
        <w:spacing w:after="0" w:line="360" w:lineRule="auto"/>
        <w:rPr>
          <w:rFonts w:ascii="宋体" w:hAnsi="宋体" w:cs="宋体"/>
          <w:color w:val="auto"/>
          <w:sz w:val="24"/>
          <w:highlight w:val="none"/>
          <w:lang w:eastAsia="zh-TW"/>
        </w:rPr>
      </w:pPr>
      <w:r>
        <w:rPr>
          <w:rFonts w:hint="eastAsia" w:ascii="宋体" w:hAnsi="宋体" w:cs="宋体"/>
          <w:color w:val="auto"/>
          <w:sz w:val="24"/>
          <w:highlight w:val="none"/>
          <w:lang w:eastAsia="zh-TW"/>
        </w:rPr>
        <w:t>中标后无正当理由放弃中标或中标人拒绝与采购人签订合同；</w:t>
      </w:r>
    </w:p>
    <w:p>
      <w:pPr>
        <w:numPr>
          <w:ilvl w:val="2"/>
          <w:numId w:val="45"/>
        </w:numPr>
        <w:autoSpaceDE w:val="0"/>
        <w:autoSpaceDN w:val="0"/>
        <w:snapToGrid w:val="0"/>
        <w:spacing w:after="0" w:line="360" w:lineRule="auto"/>
        <w:rPr>
          <w:rFonts w:ascii="宋体" w:hAnsi="宋体" w:cs="宋体"/>
          <w:color w:val="auto"/>
          <w:sz w:val="24"/>
          <w:highlight w:val="none"/>
          <w:lang w:eastAsia="zh-TW"/>
        </w:rPr>
      </w:pPr>
      <w:r>
        <w:rPr>
          <w:rFonts w:ascii="宋体" w:hAnsi="宋体"/>
          <w:color w:val="auto"/>
          <w:sz w:val="24"/>
          <w:highlight w:val="none"/>
        </w:rPr>
        <w:t>中标人未按本须知规定缴纳采购代理服务费。</w:t>
      </w:r>
    </w:p>
    <w:p>
      <w:pPr>
        <w:numPr>
          <w:ilvl w:val="0"/>
          <w:numId w:val="45"/>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投标有效期</w:t>
      </w:r>
    </w:p>
    <w:p>
      <w:pPr>
        <w:numPr>
          <w:ilvl w:val="1"/>
          <w:numId w:val="45"/>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投标应自</w:t>
      </w:r>
      <w:r>
        <w:rPr>
          <w:rFonts w:hint="eastAsia" w:ascii="宋体" w:hAnsi="宋体" w:cs="宋体"/>
          <w:b/>
          <w:color w:val="auto"/>
          <w:sz w:val="24"/>
          <w:highlight w:val="none"/>
          <w:lang w:eastAsia="zh-TW"/>
        </w:rPr>
        <w:t>投标</w:t>
      </w:r>
      <w:r>
        <w:rPr>
          <w:rFonts w:hint="eastAsia" w:ascii="宋体" w:hAnsi="宋体" w:cs="宋体"/>
          <w:b/>
          <w:color w:val="auto"/>
          <w:sz w:val="24"/>
          <w:highlight w:val="none"/>
        </w:rPr>
        <w:t>邀请</w:t>
      </w:r>
      <w:r>
        <w:rPr>
          <w:rFonts w:hint="eastAsia" w:ascii="宋体" w:hAnsi="宋体" w:cs="宋体"/>
          <w:color w:val="auto"/>
          <w:sz w:val="24"/>
          <w:highlight w:val="none"/>
          <w:lang w:eastAsia="zh-TW"/>
        </w:rPr>
        <w:t>中规定的提交投标文件的截止之日起算，并</w:t>
      </w:r>
      <w:r>
        <w:rPr>
          <w:rFonts w:hint="eastAsia" w:ascii="宋体" w:hAnsi="宋体" w:cs="宋体"/>
          <w:color w:val="auto"/>
          <w:sz w:val="24"/>
          <w:highlight w:val="none"/>
        </w:rPr>
        <w:t>与</w:t>
      </w:r>
      <w:r>
        <w:rPr>
          <w:rFonts w:hint="eastAsia" w:ascii="宋体" w:hAnsi="宋体" w:cs="宋体"/>
          <w:b/>
          <w:color w:val="auto"/>
          <w:sz w:val="24"/>
          <w:highlight w:val="none"/>
          <w:lang w:eastAsia="zh-TW"/>
        </w:rPr>
        <w:t>投标人须知前附表</w:t>
      </w:r>
      <w:r>
        <w:rPr>
          <w:rFonts w:hint="eastAsia" w:ascii="宋体" w:hAnsi="宋体" w:cs="宋体"/>
          <w:color w:val="auto"/>
          <w:sz w:val="24"/>
          <w:highlight w:val="none"/>
          <w:lang w:eastAsia="zh-TW"/>
        </w:rPr>
        <w:t>中所述期限内保持有效。</w:t>
      </w:r>
    </w:p>
    <w:p>
      <w:pPr>
        <w:numPr>
          <w:ilvl w:val="1"/>
          <w:numId w:val="45"/>
        </w:numPr>
        <w:autoSpaceDE w:val="0"/>
        <w:autoSpaceDN w:val="0"/>
        <w:snapToGrid w:val="0"/>
        <w:spacing w:after="0" w:line="360" w:lineRule="auto"/>
        <w:rPr>
          <w:rFonts w:ascii="宋体" w:hAnsi="宋体"/>
          <w:color w:val="auto"/>
          <w:sz w:val="24"/>
          <w:highlight w:val="none"/>
        </w:rPr>
      </w:pPr>
      <w:r>
        <w:rPr>
          <w:rFonts w:hint="eastAsia" w:ascii="宋体" w:hAnsi="宋体" w:cs="宋体"/>
          <w:color w:val="auto"/>
          <w:sz w:val="24"/>
          <w:highlight w:val="none"/>
          <w:lang w:eastAsia="zh-TW"/>
        </w:rPr>
        <w:t>特殊情况下</w:t>
      </w:r>
      <w:r>
        <w:rPr>
          <w:rFonts w:hint="eastAsia" w:ascii="宋体" w:hAnsi="宋体" w:cs="宋体"/>
          <w:color w:val="auto"/>
          <w:sz w:val="24"/>
          <w:highlight w:val="none"/>
        </w:rPr>
        <w:t>，</w:t>
      </w:r>
      <w:r>
        <w:rPr>
          <w:rFonts w:hint="eastAsia" w:ascii="宋体" w:hAnsi="宋体" w:cs="宋体"/>
          <w:color w:val="auto"/>
          <w:sz w:val="24"/>
          <w:highlight w:val="none"/>
          <w:lang w:eastAsia="zh-TW"/>
        </w:rPr>
        <w:t>在原投标有效期截止之前</w:t>
      </w:r>
      <w:r>
        <w:rPr>
          <w:rFonts w:hint="eastAsia" w:ascii="宋体" w:hAnsi="宋体" w:cs="宋体"/>
          <w:color w:val="auto"/>
          <w:sz w:val="24"/>
          <w:highlight w:val="none"/>
        </w:rPr>
        <w:t>，</w:t>
      </w:r>
      <w:r>
        <w:rPr>
          <w:rFonts w:hint="eastAsia" w:ascii="宋体" w:hAnsi="宋体" w:cs="宋体"/>
          <w:color w:val="auto"/>
          <w:sz w:val="24"/>
          <w:highlight w:val="none"/>
          <w:lang w:eastAsia="zh-TW"/>
        </w:rPr>
        <w:t>采购代理机构可要求投标人延长投标有效期。这种要求与答复均应以书面形式提交。投标人可拒绝采购代理机构的这种要求</w:t>
      </w:r>
      <w:r>
        <w:rPr>
          <w:rFonts w:hint="eastAsia" w:ascii="宋体" w:hAnsi="宋体" w:cs="宋体"/>
          <w:color w:val="auto"/>
          <w:sz w:val="24"/>
          <w:highlight w:val="none"/>
        </w:rPr>
        <w:t>，</w:t>
      </w:r>
      <w:r>
        <w:rPr>
          <w:rFonts w:hint="eastAsia" w:ascii="宋体" w:hAnsi="宋体" w:cs="宋体"/>
          <w:color w:val="auto"/>
          <w:sz w:val="24"/>
          <w:highlight w:val="none"/>
          <w:lang w:eastAsia="zh-TW"/>
        </w:rPr>
        <w:t>其投标保证金将</w:t>
      </w:r>
      <w:r>
        <w:rPr>
          <w:rFonts w:hint="eastAsia" w:ascii="宋体" w:hAnsi="宋体" w:cs="宋体"/>
          <w:color w:val="auto"/>
          <w:sz w:val="24"/>
          <w:highlight w:val="none"/>
        </w:rPr>
        <w:t>予以退还，</w:t>
      </w:r>
      <w:r>
        <w:rPr>
          <w:rFonts w:hint="eastAsia" w:ascii="宋体" w:hAnsi="宋体" w:cs="宋体"/>
          <w:color w:val="auto"/>
          <w:sz w:val="24"/>
          <w:highlight w:val="none"/>
          <w:lang w:eastAsia="zh-TW"/>
        </w:rPr>
        <w:t>但其投标在原投标有效期期满后将不再有效。同意延长投标有效期的投标人将不会被要求和允许修正其投标</w:t>
      </w:r>
      <w:r>
        <w:rPr>
          <w:rFonts w:hint="eastAsia" w:ascii="宋体" w:hAnsi="宋体" w:cs="宋体"/>
          <w:color w:val="auto"/>
          <w:sz w:val="24"/>
          <w:highlight w:val="none"/>
        </w:rPr>
        <w:t>，</w:t>
      </w:r>
      <w:r>
        <w:rPr>
          <w:rFonts w:hint="eastAsia" w:ascii="宋体" w:hAnsi="宋体" w:cs="宋体"/>
          <w:color w:val="auto"/>
          <w:sz w:val="24"/>
          <w:highlight w:val="none"/>
          <w:lang w:eastAsia="zh-TW"/>
        </w:rPr>
        <w:t>而只会被要求相应地延长其投标保证金的有效期。在这种情况下</w:t>
      </w:r>
      <w:r>
        <w:rPr>
          <w:rFonts w:hint="eastAsia" w:ascii="宋体" w:hAnsi="宋体" w:cs="宋体"/>
          <w:color w:val="auto"/>
          <w:sz w:val="24"/>
          <w:highlight w:val="none"/>
        </w:rPr>
        <w:t>，</w:t>
      </w:r>
      <w:r>
        <w:rPr>
          <w:rFonts w:hint="eastAsia" w:ascii="宋体" w:hAnsi="宋体" w:cs="宋体"/>
          <w:color w:val="auto"/>
          <w:sz w:val="24"/>
          <w:highlight w:val="none"/>
          <w:lang w:eastAsia="zh-TW"/>
        </w:rPr>
        <w:t>本须知有关投标保证金的退还和</w:t>
      </w:r>
      <w:r>
        <w:rPr>
          <w:rFonts w:hint="eastAsia" w:ascii="宋体" w:hAnsi="宋体" w:cs="宋体"/>
          <w:color w:val="auto"/>
          <w:sz w:val="24"/>
          <w:highlight w:val="none"/>
        </w:rPr>
        <w:t>不予退还</w:t>
      </w:r>
      <w:r>
        <w:rPr>
          <w:rFonts w:hint="eastAsia" w:ascii="宋体" w:hAnsi="宋体" w:cs="宋体"/>
          <w:color w:val="auto"/>
          <w:sz w:val="24"/>
          <w:highlight w:val="none"/>
          <w:lang w:eastAsia="zh-TW"/>
        </w:rPr>
        <w:t>的规定将在延长了的有效期内继续有效。</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19" w:name="_Toc23524"/>
      <w:bookmarkStart w:id="20" w:name="_Toc153184838"/>
      <w:r>
        <w:rPr>
          <w:rFonts w:hint="eastAsia" w:ascii="宋体" w:hAnsi="宋体"/>
          <w:b/>
          <w:color w:val="auto"/>
          <w:sz w:val="28"/>
          <w:szCs w:val="28"/>
          <w:highlight w:val="none"/>
          <w:lang w:eastAsia="zh-TW"/>
        </w:rPr>
        <w:t>投标文件的递交</w:t>
      </w:r>
      <w:bookmarkEnd w:id="19"/>
      <w:bookmarkEnd w:id="20"/>
    </w:p>
    <w:p>
      <w:pPr>
        <w:numPr>
          <w:ilvl w:val="0"/>
          <w:numId w:val="48"/>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投标文件递交</w:t>
      </w:r>
    </w:p>
    <w:p>
      <w:pPr>
        <w:numPr>
          <w:ilvl w:val="1"/>
          <w:numId w:val="48"/>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w:t>
      </w:r>
      <w:r>
        <w:rPr>
          <w:rFonts w:hint="eastAsia" w:ascii="宋体" w:hAnsi="宋体" w:cs="宋体"/>
          <w:color w:val="auto"/>
          <w:sz w:val="24"/>
          <w:highlight w:val="none"/>
        </w:rPr>
        <w:t>的投标文件</w:t>
      </w:r>
      <w:r>
        <w:rPr>
          <w:rFonts w:hint="eastAsia" w:ascii="宋体" w:hAnsi="宋体" w:cs="宋体"/>
          <w:color w:val="auto"/>
          <w:sz w:val="24"/>
          <w:highlight w:val="none"/>
          <w:lang w:eastAsia="zh-TW"/>
        </w:rPr>
        <w:t>应</w:t>
      </w:r>
      <w:r>
        <w:rPr>
          <w:rFonts w:hint="eastAsia" w:ascii="宋体" w:hAnsi="宋体" w:cs="宋体"/>
          <w:color w:val="auto"/>
          <w:sz w:val="24"/>
          <w:highlight w:val="none"/>
        </w:rPr>
        <w:t>在</w:t>
      </w:r>
      <w:r>
        <w:rPr>
          <w:rFonts w:hint="eastAsia" w:ascii="宋体" w:hAnsi="宋体"/>
          <w:color w:val="auto"/>
          <w:sz w:val="24"/>
          <w:highlight w:val="none"/>
        </w:rPr>
        <w:t>本项目投标截止时间前送达开标地点。</w:t>
      </w:r>
    </w:p>
    <w:p>
      <w:pPr>
        <w:numPr>
          <w:ilvl w:val="1"/>
          <w:numId w:val="48"/>
        </w:numPr>
        <w:autoSpaceDE w:val="0"/>
        <w:autoSpaceDN w:val="0"/>
        <w:snapToGrid w:val="0"/>
        <w:spacing w:after="0" w:line="360" w:lineRule="auto"/>
        <w:rPr>
          <w:rFonts w:ascii="宋体" w:hAnsi="宋体" w:cs="黑体"/>
          <w:b/>
          <w:bCs/>
          <w:strike/>
          <w:color w:val="auto"/>
          <w:sz w:val="24"/>
          <w:highlight w:val="none"/>
        </w:rPr>
      </w:pPr>
      <w:r>
        <w:rPr>
          <w:rFonts w:hint="eastAsia" w:ascii="宋体" w:hAnsi="宋体" w:cs="宋体"/>
          <w:color w:val="auto"/>
          <w:sz w:val="24"/>
          <w:highlight w:val="none"/>
          <w:lang w:eastAsia="zh-TW"/>
        </w:rPr>
        <w:t>逾期送达或者未按照招标文件要求密封的投标文件，采购人、采购代理机构应当拒收。</w:t>
      </w:r>
    </w:p>
    <w:p>
      <w:pPr>
        <w:numPr>
          <w:ilvl w:val="0"/>
          <w:numId w:val="48"/>
        </w:numPr>
        <w:autoSpaceDE w:val="0"/>
        <w:autoSpaceDN w:val="0"/>
        <w:snapToGrid w:val="0"/>
        <w:spacing w:after="0" w:line="360" w:lineRule="auto"/>
        <w:ind w:left="487" w:hanging="487" w:hangingChars="202"/>
        <w:outlineLvl w:val="3"/>
        <w:rPr>
          <w:rFonts w:ascii="宋体" w:hAnsi="宋体"/>
          <w:b/>
          <w:bCs/>
          <w:color w:val="auto"/>
          <w:sz w:val="24"/>
          <w:highlight w:val="none"/>
        </w:rPr>
      </w:pPr>
      <w:r>
        <w:rPr>
          <w:rFonts w:hint="eastAsia" w:ascii="宋体" w:hAnsi="宋体"/>
          <w:b/>
          <w:bCs/>
          <w:color w:val="auto"/>
          <w:sz w:val="24"/>
          <w:highlight w:val="none"/>
        </w:rPr>
        <w:t>投标文件的修改和撤回、撤销</w:t>
      </w:r>
    </w:p>
    <w:p>
      <w:pPr>
        <w:numPr>
          <w:ilvl w:val="1"/>
          <w:numId w:val="48"/>
        </w:numPr>
        <w:autoSpaceDE w:val="0"/>
        <w:autoSpaceDN w:val="0"/>
        <w:snapToGrid w:val="0"/>
        <w:spacing w:after="0" w:line="360" w:lineRule="auto"/>
        <w:rPr>
          <w:rFonts w:ascii="宋体" w:hAnsi="宋体" w:cs="黑体"/>
          <w:b/>
          <w:bCs/>
          <w:color w:val="auto"/>
          <w:sz w:val="24"/>
          <w:highlight w:val="none"/>
        </w:rPr>
      </w:pPr>
      <w:r>
        <w:rPr>
          <w:rFonts w:hint="eastAsia" w:ascii="宋体" w:hAnsi="宋体" w:cs="宋体"/>
          <w:color w:val="auto"/>
          <w:sz w:val="24"/>
          <w:highlight w:val="none"/>
          <w:lang w:eastAsia="zh-TW"/>
        </w:rPr>
        <w:t>投标人在投标截止时间前，可以对所递交的投标文件进行补充、修改或者撤回，并书面通知采购代理机构。补充、修改的内容应当按招标文件要求签署、盖章</w:t>
      </w:r>
      <w:r>
        <w:rPr>
          <w:rFonts w:hint="eastAsia" w:ascii="宋体" w:hAnsi="宋体" w:cs="宋体"/>
          <w:color w:val="auto"/>
          <w:sz w:val="24"/>
          <w:highlight w:val="none"/>
        </w:rPr>
        <w:t>和</w:t>
      </w:r>
      <w:r>
        <w:rPr>
          <w:rFonts w:hint="eastAsia" w:ascii="宋体" w:hAnsi="宋体" w:cs="宋体"/>
          <w:color w:val="auto"/>
          <w:sz w:val="24"/>
          <w:highlight w:val="none"/>
          <w:lang w:eastAsia="zh-TW"/>
        </w:rPr>
        <w:t>密封后，并作为投标文件的组成部分。在投标截止时间之后，投标人不得对其投标文件做任何修改和补充。</w:t>
      </w:r>
    </w:p>
    <w:p>
      <w:pPr>
        <w:numPr>
          <w:ilvl w:val="1"/>
          <w:numId w:val="48"/>
        </w:numPr>
        <w:autoSpaceDE w:val="0"/>
        <w:autoSpaceDN w:val="0"/>
        <w:snapToGrid w:val="0"/>
        <w:spacing w:after="0" w:line="360" w:lineRule="auto"/>
        <w:rPr>
          <w:rFonts w:ascii="宋体" w:hAnsi="宋体" w:cs="黑体"/>
          <w:b/>
          <w:bCs/>
          <w:color w:val="auto"/>
          <w:sz w:val="24"/>
          <w:highlight w:val="none"/>
        </w:rPr>
      </w:pPr>
      <w:r>
        <w:rPr>
          <w:rFonts w:hint="eastAsia" w:ascii="宋体" w:hAnsi="宋体"/>
          <w:bCs/>
          <w:color w:val="auto"/>
          <w:sz w:val="24"/>
          <w:highlight w:val="none"/>
        </w:rPr>
        <w:t>投标人在投标截止后或在招标文件中规定的投标有效期内不可撤销其投标。</w:t>
      </w:r>
    </w:p>
    <w:p>
      <w:pPr>
        <w:numPr>
          <w:ilvl w:val="1"/>
          <w:numId w:val="48"/>
        </w:numPr>
        <w:autoSpaceDE w:val="0"/>
        <w:autoSpaceDN w:val="0"/>
        <w:snapToGrid w:val="0"/>
        <w:spacing w:after="0" w:line="360" w:lineRule="auto"/>
        <w:rPr>
          <w:rFonts w:ascii="宋体" w:hAnsi="宋体" w:cs="黑体"/>
          <w:b/>
          <w:bCs/>
          <w:strike/>
          <w:color w:val="auto"/>
          <w:sz w:val="24"/>
          <w:highlight w:val="none"/>
        </w:rPr>
      </w:pPr>
      <w:r>
        <w:rPr>
          <w:rFonts w:hint="eastAsia" w:ascii="宋体" w:hAnsi="宋体"/>
          <w:color w:val="auto"/>
          <w:sz w:val="24"/>
          <w:highlight w:val="none"/>
        </w:rPr>
        <w:t>除投标人不足3家不得开标的情形外，投标人所提交的投标文件在本项目投标截止时间后均不予退还。</w:t>
      </w:r>
    </w:p>
    <w:p>
      <w:pPr>
        <w:numPr>
          <w:ilvl w:val="0"/>
          <w:numId w:val="42"/>
        </w:numPr>
        <w:tabs>
          <w:tab w:val="left" w:pos="4395"/>
        </w:tabs>
        <w:autoSpaceDE w:val="0"/>
        <w:autoSpaceDN w:val="0"/>
        <w:snapToGrid w:val="0"/>
        <w:spacing w:after="0" w:line="360" w:lineRule="auto"/>
        <w:ind w:left="708" w:hanging="708" w:hangingChars="252"/>
        <w:jc w:val="center"/>
        <w:outlineLvl w:val="2"/>
        <w:rPr>
          <w:rFonts w:ascii="宋体" w:hAnsi="宋体"/>
          <w:b/>
          <w:color w:val="auto"/>
          <w:sz w:val="28"/>
          <w:szCs w:val="28"/>
          <w:highlight w:val="none"/>
          <w:lang w:eastAsia="zh-TW"/>
        </w:rPr>
      </w:pPr>
      <w:bookmarkStart w:id="21" w:name="_Toc11537"/>
      <w:bookmarkStart w:id="22" w:name="_Toc153184839"/>
      <w:r>
        <w:rPr>
          <w:rFonts w:hint="eastAsia" w:ascii="宋体" w:hAnsi="宋体"/>
          <w:b/>
          <w:color w:val="auto"/>
          <w:sz w:val="28"/>
          <w:szCs w:val="28"/>
          <w:highlight w:val="none"/>
          <w:lang w:eastAsia="zh-TW"/>
        </w:rPr>
        <w:t>开标、评标、定标与合同签订</w:t>
      </w:r>
      <w:bookmarkEnd w:id="21"/>
      <w:bookmarkEnd w:id="22"/>
    </w:p>
    <w:p>
      <w:pPr>
        <w:numPr>
          <w:ilvl w:val="0"/>
          <w:numId w:val="49"/>
        </w:numPr>
        <w:autoSpaceDE w:val="0"/>
        <w:autoSpaceDN w:val="0"/>
        <w:snapToGrid w:val="0"/>
        <w:spacing w:after="0" w:line="360" w:lineRule="auto"/>
        <w:outlineLvl w:val="3"/>
        <w:rPr>
          <w:rFonts w:ascii="宋体" w:hAnsi="宋体"/>
          <w:b/>
          <w:bCs/>
          <w:color w:val="auto"/>
          <w:sz w:val="24"/>
          <w:highlight w:val="none"/>
        </w:rPr>
      </w:pPr>
      <w:r>
        <w:rPr>
          <w:rFonts w:hint="eastAsia" w:ascii="宋体" w:hAnsi="宋体"/>
          <w:b/>
          <w:bCs/>
          <w:color w:val="auto"/>
          <w:sz w:val="24"/>
          <w:highlight w:val="none"/>
        </w:rPr>
        <w:t>开标</w:t>
      </w:r>
    </w:p>
    <w:p>
      <w:pPr>
        <w:pStyle w:val="85"/>
        <w:widowControl/>
        <w:numPr>
          <w:ilvl w:val="1"/>
          <w:numId w:val="42"/>
        </w:numPr>
        <w:snapToGrid w:val="0"/>
        <w:spacing w:after="0" w:line="360" w:lineRule="auto"/>
        <w:ind w:left="426" w:firstLineChars="0"/>
        <w:jc w:val="left"/>
        <w:rPr>
          <w:rFonts w:hAnsi="宋体"/>
          <w:color w:val="auto"/>
          <w:sz w:val="24"/>
          <w:highlight w:val="none"/>
        </w:rPr>
      </w:pPr>
      <w:r>
        <w:rPr>
          <w:rFonts w:hint="eastAsia" w:ascii="宋体" w:hAnsi="宋体" w:cs="宋体"/>
          <w:color w:val="auto"/>
          <w:sz w:val="24"/>
          <w:highlight w:val="none"/>
          <w:lang w:eastAsia="zh-TW"/>
        </w:rPr>
        <w:t>采购代理机构在投标邀请中规定的日期、时</w:t>
      </w:r>
      <w:r>
        <w:rPr>
          <w:rFonts w:hint="eastAsia" w:ascii="宋体" w:hAnsi="宋体" w:cs="宋体"/>
          <w:color w:val="auto"/>
          <w:sz w:val="24"/>
          <w:highlight w:val="none"/>
        </w:rPr>
        <w:t>间</w:t>
      </w:r>
      <w:r>
        <w:rPr>
          <w:rFonts w:hint="eastAsia" w:ascii="宋体" w:hAnsi="宋体" w:cs="宋体"/>
          <w:color w:val="auto"/>
          <w:sz w:val="24"/>
          <w:highlight w:val="none"/>
          <w:lang w:eastAsia="zh-TW"/>
        </w:rPr>
        <w:t>和地点组织</w:t>
      </w:r>
      <w:r>
        <w:rPr>
          <w:rFonts w:hint="eastAsia" w:ascii="宋体" w:hAnsi="宋体" w:cs="宋体"/>
          <w:color w:val="auto"/>
          <w:sz w:val="24"/>
          <w:highlight w:val="none"/>
        </w:rPr>
        <w:t>开标会议</w:t>
      </w:r>
      <w:r>
        <w:rPr>
          <w:rFonts w:hint="eastAsia" w:ascii="宋体" w:hAnsi="宋体" w:cs="宋体"/>
          <w:color w:val="auto"/>
          <w:sz w:val="24"/>
          <w:highlight w:val="none"/>
          <w:lang w:eastAsia="zh-TW"/>
        </w:rPr>
        <w:t>。</w:t>
      </w:r>
      <w:r>
        <w:rPr>
          <w:rFonts w:hint="eastAsia" w:ascii="宋体" w:hAnsi="宋体" w:cs="宋体"/>
          <w:color w:val="auto"/>
          <w:sz w:val="24"/>
          <w:highlight w:val="none"/>
        </w:rPr>
        <w:t>开标时邀请所有投标人代表参加。</w:t>
      </w:r>
    </w:p>
    <w:p>
      <w:pPr>
        <w:pStyle w:val="85"/>
        <w:widowControl/>
        <w:numPr>
          <w:ilvl w:val="1"/>
          <w:numId w:val="42"/>
        </w:numPr>
        <w:snapToGrid w:val="0"/>
        <w:spacing w:after="0" w:line="360" w:lineRule="auto"/>
        <w:ind w:left="426" w:hanging="426" w:firstLineChars="0"/>
        <w:jc w:val="left"/>
        <w:rPr>
          <w:rFonts w:ascii="宋体" w:hAnsi="宋体" w:cs="宋体"/>
          <w:color w:val="auto"/>
          <w:sz w:val="24"/>
          <w:highlight w:val="none"/>
          <w:lang w:eastAsia="zh-TW"/>
        </w:rPr>
      </w:pPr>
      <w:r>
        <w:rPr>
          <w:rFonts w:hint="eastAsia" w:ascii="宋体" w:hAnsi="宋体" w:cs="宋体"/>
          <w:color w:val="auto"/>
          <w:sz w:val="24"/>
          <w:highlight w:val="none"/>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pPr>
        <w:pStyle w:val="85"/>
        <w:widowControl/>
        <w:numPr>
          <w:ilvl w:val="1"/>
          <w:numId w:val="42"/>
        </w:numPr>
        <w:snapToGrid w:val="0"/>
        <w:spacing w:after="0" w:line="360" w:lineRule="auto"/>
        <w:ind w:left="426" w:hanging="426" w:firstLineChars="0"/>
        <w:jc w:val="left"/>
        <w:rPr>
          <w:rFonts w:ascii="宋体" w:hAnsi="宋体" w:cs="宋体"/>
          <w:color w:val="auto"/>
          <w:sz w:val="24"/>
          <w:highlight w:val="none"/>
          <w:lang w:eastAsia="zh-TW"/>
        </w:rPr>
      </w:pPr>
      <w:r>
        <w:rPr>
          <w:rFonts w:hint="eastAsia" w:ascii="宋体" w:hAnsi="宋体" w:cs="宋体"/>
          <w:color w:val="auto"/>
          <w:sz w:val="24"/>
          <w:highlight w:val="none"/>
          <w:lang w:eastAsia="zh-TW"/>
        </w:rPr>
        <w:t>开标过程应当由采购人或者采购代理机构负责记录，由参加开标的各投标人代表和相关工作人员签字确认。</w:t>
      </w:r>
    </w:p>
    <w:p>
      <w:pPr>
        <w:pStyle w:val="85"/>
        <w:widowControl/>
        <w:numPr>
          <w:ilvl w:val="1"/>
          <w:numId w:val="42"/>
        </w:numPr>
        <w:snapToGrid w:val="0"/>
        <w:spacing w:after="0" w:line="360" w:lineRule="auto"/>
        <w:ind w:left="426" w:hanging="426" w:firstLineChars="0"/>
        <w:jc w:val="left"/>
        <w:rPr>
          <w:rFonts w:ascii="宋体" w:hAnsi="宋体" w:cs="宋体"/>
          <w:sz w:val="24"/>
          <w:lang w:eastAsia="zh-TW"/>
        </w:rPr>
      </w:pPr>
      <w:r>
        <w:rPr>
          <w:rFonts w:hint="eastAsia" w:ascii="宋体" w:hAnsi="宋体" w:cs="宋体"/>
          <w:sz w:val="24"/>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85"/>
        <w:widowControl/>
        <w:numPr>
          <w:ilvl w:val="1"/>
          <w:numId w:val="42"/>
        </w:numPr>
        <w:snapToGrid w:val="0"/>
        <w:spacing w:after="0" w:line="360" w:lineRule="auto"/>
        <w:ind w:left="426" w:hanging="426" w:firstLineChars="0"/>
        <w:jc w:val="left"/>
        <w:rPr>
          <w:rFonts w:ascii="宋体" w:hAnsi="宋体" w:cs="宋体"/>
          <w:sz w:val="24"/>
          <w:lang w:eastAsia="zh-TW"/>
        </w:rPr>
      </w:pPr>
      <w:r>
        <w:rPr>
          <w:rFonts w:hint="eastAsia" w:ascii="宋体" w:hAnsi="宋体" w:cs="宋体"/>
          <w:sz w:val="24"/>
          <w:lang w:eastAsia="zh-TW"/>
        </w:rPr>
        <w:t>投标人未参加开标的，视同认可开标结果。</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评标：</w:t>
      </w:r>
    </w:p>
    <w:p>
      <w:pPr>
        <w:pStyle w:val="85"/>
        <w:widowControl/>
        <w:numPr>
          <w:ilvl w:val="0"/>
          <w:numId w:val="50"/>
        </w:numPr>
        <w:snapToGrid w:val="0"/>
        <w:spacing w:after="0" w:line="360" w:lineRule="auto"/>
        <w:ind w:left="426" w:hanging="426" w:firstLineChars="0"/>
        <w:jc w:val="left"/>
        <w:rPr>
          <w:rFonts w:ascii="宋体" w:hAnsi="宋体"/>
          <w:b/>
          <w:bCs/>
          <w:sz w:val="24"/>
        </w:rPr>
      </w:pPr>
      <w:r>
        <w:rPr>
          <w:rFonts w:hint="eastAsia" w:ascii="宋体" w:hAnsi="宋体"/>
          <w:b/>
          <w:bCs/>
          <w:sz w:val="24"/>
        </w:rPr>
        <w:t>评标委员会组成及职责</w:t>
      </w:r>
    </w:p>
    <w:p>
      <w:pPr>
        <w:pStyle w:val="85"/>
        <w:widowControl/>
        <w:numPr>
          <w:ilvl w:val="0"/>
          <w:numId w:val="51"/>
        </w:numPr>
        <w:snapToGrid w:val="0"/>
        <w:spacing w:after="0" w:line="360" w:lineRule="auto"/>
        <w:ind w:left="426" w:firstLineChars="0"/>
        <w:jc w:val="left"/>
        <w:rPr>
          <w:rFonts w:ascii="宋体" w:hAnsi="宋体" w:cs="宋体"/>
          <w:sz w:val="24"/>
          <w:lang w:eastAsia="zh-TW"/>
        </w:rPr>
      </w:pPr>
      <w:r>
        <w:rPr>
          <w:rFonts w:hint="eastAsia" w:ascii="宋体" w:hAnsi="宋体" w:cs="宋体"/>
          <w:sz w:val="24"/>
        </w:rPr>
        <w:t>本次招标</w:t>
      </w:r>
      <w:r>
        <w:rPr>
          <w:rFonts w:hint="eastAsia" w:ascii="宋体" w:hAnsi="宋体" w:cs="宋体"/>
          <w:sz w:val="24"/>
          <w:lang w:eastAsia="zh-TW"/>
        </w:rPr>
        <w:t>依法组建评标委员会，评标委员会成员人数</w:t>
      </w:r>
      <w:r>
        <w:rPr>
          <w:rFonts w:hint="eastAsia" w:ascii="宋体" w:hAnsi="宋体" w:cs="宋体"/>
          <w:b/>
          <w:sz w:val="24"/>
        </w:rPr>
        <w:t>详见投标人须知前附表</w:t>
      </w:r>
      <w:r>
        <w:rPr>
          <w:rFonts w:hint="eastAsia" w:ascii="宋体" w:hAnsi="宋体" w:cs="宋体"/>
          <w:sz w:val="24"/>
          <w:lang w:eastAsia="zh-TW"/>
        </w:rPr>
        <w:t>。</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评标委员会成员名单在评标结果公告前应当保密。评审专家有下列情形之一的，受到邀请应主动提出回避，采购当事人也可以要求该评审专家回避：</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参加采购活动前3年内与供应商存在劳动关系；</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参加采购活动前3年内担任供应商的董事、监事；</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参加采购活动前3年内是供应商的控股股东或者实际控制人；</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与供应商的法定代表人或者负责人有夫妻、直系血亲、三代以内旁系血亲或者近姻亲关系；</w:t>
      </w:r>
    </w:p>
    <w:p>
      <w:pPr>
        <w:pStyle w:val="85"/>
        <w:widowControl/>
        <w:numPr>
          <w:ilvl w:val="1"/>
          <w:numId w:val="52"/>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与供应商有其他可能影响采购活动公平、公正进行的关系。</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评标委员会成员和参与评标的有关工作人员不得透露对投标文件的评审和比较、中标候选人的推荐情况以及与评标有关的其他情况。</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评标委员会负责具体评标事务，并独立履行下列职责：</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审查、评价投标文件是否符合招标文件的商务、技术等实质性要求；</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要求投标人对投标文件有关事项作出澄清或者说明；</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对投标文件进行比较和评价；</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确定中标候选人名单，以及根据采购人委托直接确定中标人；</w:t>
      </w:r>
    </w:p>
    <w:p>
      <w:pPr>
        <w:pStyle w:val="85"/>
        <w:widowControl/>
        <w:numPr>
          <w:ilvl w:val="0"/>
          <w:numId w:val="53"/>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向采购人、采购代理机构或者有关部门报告评标中发现的违法行为。</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对于投标文件中含义不明确、同类问题表述不一致或者有明显文字和计算错误的内容，评标委员会应当以书面形式要求投标人作出必要的澄清、说明或者补正。</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85"/>
        <w:widowControl/>
        <w:numPr>
          <w:ilvl w:val="0"/>
          <w:numId w:val="51"/>
        </w:numPr>
        <w:snapToGrid w:val="0"/>
        <w:spacing w:after="0"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评标委员会决定投标的响应性只根据投标文件中提供的材料内容，而不依据外部的材料证据。</w:t>
      </w:r>
    </w:p>
    <w:p>
      <w:pPr>
        <w:pStyle w:val="85"/>
        <w:widowControl/>
        <w:numPr>
          <w:ilvl w:val="0"/>
          <w:numId w:val="50"/>
        </w:numPr>
        <w:snapToGrid w:val="0"/>
        <w:spacing w:after="0" w:line="360" w:lineRule="auto"/>
        <w:ind w:left="426" w:hanging="426" w:firstLineChars="0"/>
        <w:jc w:val="left"/>
        <w:rPr>
          <w:rFonts w:ascii="宋体" w:hAnsi="宋体"/>
          <w:b/>
          <w:bCs/>
          <w:sz w:val="24"/>
        </w:rPr>
      </w:pPr>
      <w:r>
        <w:rPr>
          <w:rFonts w:hint="eastAsia" w:ascii="宋体" w:hAnsi="宋体"/>
          <w:b/>
          <w:bCs/>
          <w:sz w:val="24"/>
        </w:rPr>
        <w:t>评标方法</w:t>
      </w:r>
    </w:p>
    <w:p>
      <w:pPr>
        <w:pStyle w:val="85"/>
        <w:widowControl/>
        <w:numPr>
          <w:ilvl w:val="0"/>
          <w:numId w:val="54"/>
        </w:numPr>
        <w:snapToGrid w:val="0"/>
        <w:spacing w:after="0"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w:t>
      </w:r>
      <w:r>
        <w:rPr>
          <w:rFonts w:hint="eastAsia" w:ascii="宋体" w:hAnsi="宋体"/>
          <w:sz w:val="24"/>
        </w:rPr>
        <w:t>规定的评标方法进行评审。</w:t>
      </w:r>
    </w:p>
    <w:p>
      <w:pPr>
        <w:pStyle w:val="85"/>
        <w:widowControl/>
        <w:numPr>
          <w:ilvl w:val="0"/>
          <w:numId w:val="54"/>
        </w:numPr>
        <w:snapToGrid w:val="0"/>
        <w:spacing w:after="0" w:line="360" w:lineRule="auto"/>
        <w:ind w:left="426" w:hanging="426" w:firstLineChars="0"/>
        <w:jc w:val="left"/>
        <w:rPr>
          <w:rFonts w:ascii="宋体" w:hAnsi="宋体"/>
          <w:sz w:val="24"/>
        </w:rPr>
      </w:pPr>
      <w:r>
        <w:rPr>
          <w:rFonts w:hint="eastAsia" w:hAnsi="宋体"/>
          <w:sz w:val="24"/>
        </w:rPr>
        <w:t>综合评分法：</w:t>
      </w:r>
    </w:p>
    <w:p>
      <w:pPr>
        <w:pStyle w:val="85"/>
        <w:widowControl/>
        <w:numPr>
          <w:ilvl w:val="0"/>
          <w:numId w:val="55"/>
        </w:numPr>
        <w:tabs>
          <w:tab w:val="left" w:pos="567"/>
        </w:tabs>
        <w:snapToGrid w:val="0"/>
        <w:spacing w:after="0" w:line="360" w:lineRule="auto"/>
        <w:ind w:left="567" w:hanging="283" w:firstLineChars="0"/>
        <w:jc w:val="left"/>
        <w:rPr>
          <w:rFonts w:ascii="宋体" w:hAnsi="宋体"/>
          <w:bCs/>
          <w:sz w:val="24"/>
        </w:rPr>
      </w:pPr>
      <w:r>
        <w:rPr>
          <w:rFonts w:hint="eastAsia" w:ascii="宋体" w:hAnsi="宋体"/>
          <w:bCs/>
          <w:sz w:val="24"/>
        </w:rPr>
        <w:t>综合评分法，是指投标文件满足招标文件全部实质性要求，且按照评审因素的量化指标评审得分最高的投标人为中标候选人的评标方法。</w:t>
      </w:r>
    </w:p>
    <w:p>
      <w:pPr>
        <w:pStyle w:val="85"/>
        <w:widowControl/>
        <w:numPr>
          <w:ilvl w:val="0"/>
          <w:numId w:val="55"/>
        </w:numPr>
        <w:tabs>
          <w:tab w:val="left" w:pos="567"/>
        </w:tabs>
        <w:snapToGrid w:val="0"/>
        <w:spacing w:after="0" w:line="360" w:lineRule="auto"/>
        <w:ind w:hanging="136" w:firstLineChars="0"/>
        <w:jc w:val="left"/>
        <w:rPr>
          <w:rFonts w:ascii="宋体" w:hAnsi="宋体"/>
          <w:bCs/>
          <w:sz w:val="24"/>
        </w:rPr>
      </w:pPr>
      <w:r>
        <w:rPr>
          <w:rFonts w:hint="eastAsia" w:ascii="宋体" w:hAnsi="宋体"/>
          <w:bCs/>
          <w:sz w:val="24"/>
        </w:rPr>
        <w:t>评标步骤：</w:t>
      </w:r>
    </w:p>
    <w:p>
      <w:pPr>
        <w:pStyle w:val="85"/>
        <w:widowControl/>
        <w:numPr>
          <w:ilvl w:val="0"/>
          <w:numId w:val="56"/>
        </w:numPr>
        <w:tabs>
          <w:tab w:val="left" w:pos="567"/>
        </w:tabs>
        <w:snapToGrid w:val="0"/>
        <w:spacing w:after="0" w:line="360" w:lineRule="auto"/>
        <w:ind w:left="567" w:hanging="284" w:firstLineChars="0"/>
        <w:jc w:val="left"/>
        <w:rPr>
          <w:rFonts w:ascii="宋体" w:cs="宋体"/>
          <w:sz w:val="24"/>
        </w:rPr>
      </w:pPr>
      <w:r>
        <w:rPr>
          <w:rFonts w:hint="eastAsia" w:ascii="宋体" w:hAnsi="宋体"/>
          <w:bCs/>
          <w:sz w:val="24"/>
        </w:rPr>
        <w:t>资格性审查：</w:t>
      </w:r>
      <w:r>
        <w:rPr>
          <w:rFonts w:hint="eastAsia" w:ascii="宋体" w:cs="宋体"/>
          <w:sz w:val="24"/>
        </w:rPr>
        <w:t>开标结束后，采购人或者采购代理机构依法对投标人的资格进行审查，详见《资格性审查表》。未通过资格性审查的投标人，不进入符合性审查。</w:t>
      </w:r>
    </w:p>
    <w:p>
      <w:pPr>
        <w:pStyle w:val="85"/>
        <w:widowControl/>
        <w:numPr>
          <w:ilvl w:val="0"/>
          <w:numId w:val="56"/>
        </w:numPr>
        <w:tabs>
          <w:tab w:val="left" w:pos="426"/>
          <w:tab w:val="left" w:pos="567"/>
        </w:tabs>
        <w:snapToGrid w:val="0"/>
        <w:spacing w:after="0" w:line="360" w:lineRule="auto"/>
        <w:ind w:left="567" w:hanging="284" w:firstLineChars="0"/>
        <w:jc w:val="left"/>
        <w:rPr>
          <w:rFonts w:ascii="宋体" w:cs="宋体"/>
          <w:sz w:val="24"/>
        </w:rPr>
      </w:pPr>
      <w:r>
        <w:rPr>
          <w:rFonts w:hint="eastAsia" w:ascii="宋体" w:cs="宋体"/>
          <w:sz w:val="24"/>
        </w:rPr>
        <w:t>符合性审查：评标委员会应当对通过资格性审查的投标人的投标文件进行符合性审查，详见《符合性审查表》，以确定其是否满足招标文件的实质性要求。未通过符合性审查的投标人，不进入技术、商务和价格评审。</w:t>
      </w:r>
    </w:p>
    <w:p>
      <w:pPr>
        <w:pStyle w:val="85"/>
        <w:widowControl/>
        <w:numPr>
          <w:ilvl w:val="0"/>
          <w:numId w:val="56"/>
        </w:numPr>
        <w:tabs>
          <w:tab w:val="left" w:pos="567"/>
        </w:tabs>
        <w:snapToGrid w:val="0"/>
        <w:spacing w:after="0" w:line="360" w:lineRule="auto"/>
        <w:ind w:left="567" w:hanging="283" w:firstLineChars="0"/>
        <w:jc w:val="left"/>
        <w:rPr>
          <w:rFonts w:ascii="宋体" w:cs="宋体"/>
          <w:sz w:val="24"/>
        </w:rPr>
      </w:pPr>
      <w:r>
        <w:rPr>
          <w:rFonts w:hint="eastAsia" w:ascii="宋体" w:cs="宋体"/>
          <w:sz w:val="24"/>
        </w:rPr>
        <w:t>详细评审：评标委员会对符合性审查合格的投标文件进行技术、商务评估，综合比较与评价。具体技术、商务、价格部分的评审因素详见《综合评分表》。</w:t>
      </w:r>
    </w:p>
    <w:p>
      <w:pPr>
        <w:pStyle w:val="85"/>
        <w:widowControl/>
        <w:numPr>
          <w:ilvl w:val="0"/>
          <w:numId w:val="56"/>
        </w:numPr>
        <w:snapToGrid w:val="0"/>
        <w:spacing w:after="0" w:line="360" w:lineRule="auto"/>
        <w:ind w:left="567" w:hanging="283" w:firstLineChars="0"/>
        <w:jc w:val="left"/>
        <w:rPr>
          <w:rFonts w:ascii="宋体" w:hAnsi="宋体"/>
          <w:sz w:val="24"/>
        </w:rPr>
      </w:pPr>
      <w:r>
        <w:rPr>
          <w:rFonts w:hint="eastAsia" w:ascii="宋体" w:hAnsi="宋体"/>
          <w:sz w:val="24"/>
        </w:rPr>
        <w:t>评标过程中，不得去掉报价中的最高报价和最低报价。</w:t>
      </w:r>
    </w:p>
    <w:p>
      <w:pPr>
        <w:pStyle w:val="85"/>
        <w:widowControl/>
        <w:numPr>
          <w:ilvl w:val="0"/>
          <w:numId w:val="56"/>
        </w:numPr>
        <w:snapToGrid w:val="0"/>
        <w:spacing w:after="0" w:line="360" w:lineRule="auto"/>
        <w:ind w:left="567" w:hanging="283" w:firstLineChars="0"/>
        <w:jc w:val="left"/>
        <w:rPr>
          <w:rFonts w:ascii="宋体" w:hAnsi="宋体"/>
          <w:sz w:val="24"/>
        </w:rPr>
      </w:pPr>
      <w:r>
        <w:rPr>
          <w:rFonts w:hint="eastAsia" w:ascii="宋体" w:hAnsi="宋体"/>
          <w:sz w:val="24"/>
        </w:rPr>
        <w:t>评标时，评标委员会各成员应当独立对每个投标人的投标文件进行评价，并汇总每个投标人的得分。</w:t>
      </w:r>
    </w:p>
    <w:p>
      <w:pPr>
        <w:pStyle w:val="85"/>
        <w:widowControl/>
        <w:numPr>
          <w:ilvl w:val="0"/>
          <w:numId w:val="56"/>
        </w:numPr>
        <w:snapToGrid w:val="0"/>
        <w:spacing w:after="0" w:line="360" w:lineRule="auto"/>
        <w:ind w:left="567" w:hanging="283" w:firstLineChars="0"/>
        <w:jc w:val="left"/>
        <w:rPr>
          <w:rFonts w:ascii="宋体" w:hAnsi="宋体"/>
          <w:sz w:val="24"/>
        </w:rPr>
      </w:pPr>
      <w:r>
        <w:rPr>
          <w:rFonts w:hint="eastAsia" w:ascii="宋体" w:hAnsi="宋体"/>
          <w:sz w:val="24"/>
        </w:rPr>
        <w:t>综合得分=技术得分+商务得分+价格得分。</w:t>
      </w:r>
    </w:p>
    <w:p>
      <w:pPr>
        <w:pStyle w:val="85"/>
        <w:widowControl/>
        <w:numPr>
          <w:ilvl w:val="0"/>
          <w:numId w:val="54"/>
        </w:numPr>
        <w:snapToGrid w:val="0"/>
        <w:spacing w:after="0" w:line="360" w:lineRule="auto"/>
        <w:ind w:left="426" w:hanging="426" w:firstLineChars="0"/>
        <w:jc w:val="left"/>
        <w:rPr>
          <w:rFonts w:hAnsi="宋体"/>
          <w:sz w:val="24"/>
        </w:rPr>
      </w:pPr>
      <w:r>
        <w:rPr>
          <w:rFonts w:hint="eastAsia" w:hAnsi="宋体"/>
          <w:sz w:val="24"/>
        </w:rPr>
        <w:t>最低评标价法</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最低评标价法，是指投标文件满足招标文件全部实质性要求，且投标报价最低的投标人为中标候选人的评标方法。</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评标步骤：</w:t>
      </w:r>
    </w:p>
    <w:p>
      <w:pPr>
        <w:pStyle w:val="85"/>
        <w:widowControl/>
        <w:numPr>
          <w:ilvl w:val="0"/>
          <w:numId w:val="57"/>
        </w:numPr>
        <w:snapToGrid w:val="0"/>
        <w:spacing w:after="0" w:line="360" w:lineRule="auto"/>
        <w:ind w:left="851" w:hanging="425" w:firstLineChars="0"/>
        <w:jc w:val="left"/>
        <w:rPr>
          <w:rFonts w:ascii="宋体" w:hAnsi="宋体" w:cs="宋体"/>
          <w:sz w:val="24"/>
          <w:lang w:eastAsia="zh-TW"/>
        </w:rPr>
      </w:pPr>
      <w:r>
        <w:rPr>
          <w:rFonts w:hint="eastAsia" w:ascii="宋体" w:hAnsi="宋体" w:cs="宋体"/>
          <w:sz w:val="24"/>
          <w:lang w:eastAsia="zh-TW"/>
        </w:rPr>
        <w:t>资格性审查：开标结束后，采购人或者采购代理机构应当依法对投标人的资格进行审查，详见《资格性审查表》。未通过资格性审查的投标人，不进入符合性审查。</w:t>
      </w:r>
    </w:p>
    <w:p>
      <w:pPr>
        <w:pStyle w:val="85"/>
        <w:widowControl/>
        <w:numPr>
          <w:ilvl w:val="0"/>
          <w:numId w:val="57"/>
        </w:numPr>
        <w:snapToGrid w:val="0"/>
        <w:spacing w:after="0" w:line="360" w:lineRule="auto"/>
        <w:ind w:left="851" w:hanging="425" w:firstLineChars="0"/>
        <w:jc w:val="left"/>
        <w:rPr>
          <w:rFonts w:ascii="宋体" w:hAnsi="宋体" w:cs="宋体"/>
          <w:sz w:val="24"/>
          <w:lang w:eastAsia="zh-TW"/>
        </w:rPr>
      </w:pPr>
      <w:r>
        <w:rPr>
          <w:rFonts w:hint="eastAsia" w:ascii="宋体" w:hAnsi="宋体" w:cs="宋体"/>
          <w:sz w:val="24"/>
          <w:lang w:eastAsia="zh-TW"/>
        </w:rPr>
        <w:t>符合性审查：评标委员会应当对通过资格性审查的投标人的投标文件进行符合性审查，详见《符合性审查表》，以确定其是否满足招标文件的实质性要求。未通过符合性审查的投标人，不进入价格评审。</w:t>
      </w:r>
    </w:p>
    <w:p>
      <w:pPr>
        <w:pStyle w:val="85"/>
        <w:widowControl/>
        <w:numPr>
          <w:ilvl w:val="0"/>
          <w:numId w:val="54"/>
        </w:numPr>
        <w:snapToGrid w:val="0"/>
        <w:spacing w:after="0" w:line="360" w:lineRule="auto"/>
        <w:ind w:left="426" w:hanging="426" w:firstLineChars="0"/>
        <w:jc w:val="left"/>
        <w:rPr>
          <w:rFonts w:hAnsi="宋体"/>
          <w:sz w:val="24"/>
        </w:rPr>
      </w:pPr>
      <w:r>
        <w:rPr>
          <w:rFonts w:hint="eastAsia" w:ascii="宋体" w:hAnsi="宋体" w:cs="宋体"/>
          <w:sz w:val="24"/>
        </w:rPr>
        <w:t>除非</w:t>
      </w:r>
      <w:r>
        <w:rPr>
          <w:rFonts w:hint="eastAsia" w:ascii="宋体" w:hAnsi="宋体" w:cs="黑体"/>
          <w:b/>
          <w:sz w:val="24"/>
        </w:rPr>
        <w:t>投标人须知前附表</w:t>
      </w:r>
      <w:r>
        <w:rPr>
          <w:rFonts w:hint="eastAsia" w:ascii="宋体" w:hAnsi="宋体" w:cs="宋体"/>
          <w:sz w:val="24"/>
        </w:rPr>
        <w:t>中另有规定，</w:t>
      </w:r>
      <w:r>
        <w:rPr>
          <w:rFonts w:hint="eastAsia" w:hAnsi="宋体"/>
          <w:sz w:val="24"/>
        </w:rPr>
        <w:t>投标文件报价出现前后不一致的，按照下列规定修正：</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投标文件中开标一览表（报价表）内容与投标文件中相应内容不一致的，以开标一览表（报价表）为准；</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大写金额和小写金额不一致的，以大写金额为准；</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单价金额小数点或者百分比有明显错位的，以开标一览表的总价为准，并修改单价；</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总价金额与按单价汇总金额不一致的，以单价金额计算结果为准。</w:t>
      </w:r>
    </w:p>
    <w:p>
      <w:pPr>
        <w:widowControl/>
        <w:snapToGrid w:val="0"/>
        <w:spacing w:after="0" w:line="360" w:lineRule="auto"/>
        <w:ind w:firstLine="600" w:firstLineChars="250"/>
        <w:jc w:val="left"/>
        <w:rPr>
          <w:rFonts w:ascii="宋体" w:hAnsi="宋体" w:cs="宋体"/>
          <w:b/>
          <w:sz w:val="24"/>
        </w:rPr>
      </w:pPr>
      <w:r>
        <w:rPr>
          <w:rFonts w:hint="eastAsia" w:ascii="宋体" w:hAnsi="宋体" w:cs="宋体"/>
          <w:sz w:val="24"/>
          <w:lang w:eastAsia="zh-TW"/>
        </w:rPr>
        <w:t>同时出现两种以上不一致的，按照前款规定的顺序修正。修正后的报价按照</w:t>
      </w:r>
      <w:r>
        <w:rPr>
          <w:rFonts w:hint="eastAsia" w:ascii="宋体" w:hAnsi="宋体" w:cs="宋体"/>
          <w:sz w:val="24"/>
        </w:rPr>
        <w:t>本章“</w:t>
      </w:r>
      <w:r>
        <w:rPr>
          <w:rFonts w:hint="eastAsia" w:ascii="宋体" w:hAnsi="宋体" w:cs="宋体"/>
          <w:b/>
          <w:sz w:val="24"/>
        </w:rPr>
        <w:t>评标委员会组成及职责”</w:t>
      </w:r>
      <w:r>
        <w:rPr>
          <w:rFonts w:hint="eastAsia" w:ascii="宋体" w:hAnsi="宋体" w:cs="宋体"/>
          <w:sz w:val="24"/>
        </w:rPr>
        <w:t>第（6）点</w:t>
      </w:r>
      <w:r>
        <w:rPr>
          <w:rFonts w:hint="eastAsia" w:ascii="宋体" w:hAnsi="宋体" w:cs="宋体"/>
          <w:sz w:val="24"/>
          <w:lang w:eastAsia="zh-TW"/>
        </w:rPr>
        <w:t>的规定经投标人确认后产生约束力，投标人不确认的，其</w:t>
      </w:r>
      <w:r>
        <w:rPr>
          <w:rFonts w:hint="eastAsia" w:ascii="宋体" w:hAnsi="宋体" w:cs="宋体"/>
          <w:b/>
          <w:sz w:val="24"/>
          <w:lang w:eastAsia="zh-TW"/>
        </w:rPr>
        <w:t>投标无效</w:t>
      </w:r>
      <w:r>
        <w:rPr>
          <w:rFonts w:hint="eastAsia" w:ascii="宋体" w:hAnsi="宋体" w:cs="宋体"/>
          <w:b/>
          <w:sz w:val="24"/>
        </w:rPr>
        <w:t>。</w:t>
      </w:r>
    </w:p>
    <w:p>
      <w:pPr>
        <w:pStyle w:val="85"/>
        <w:widowControl/>
        <w:numPr>
          <w:ilvl w:val="0"/>
          <w:numId w:val="54"/>
        </w:numPr>
        <w:snapToGrid w:val="0"/>
        <w:spacing w:after="0" w:line="360" w:lineRule="auto"/>
        <w:ind w:left="709" w:hanging="709" w:firstLineChars="0"/>
        <w:jc w:val="left"/>
        <w:rPr>
          <w:rFonts w:hAnsi="宋体"/>
          <w:sz w:val="24"/>
        </w:rPr>
      </w:pPr>
      <w:r>
        <w:rPr>
          <w:rFonts w:hint="eastAsia" w:hAnsi="宋体"/>
          <w:sz w:val="24"/>
        </w:rPr>
        <w:t>价格评审：除了算术修正和落实政府采购政策需进行的价格扣除外，不能对投标人的投标价格进行任何调整，详见《价格扣除》。</w:t>
      </w:r>
    </w:p>
    <w:p>
      <w:pPr>
        <w:pStyle w:val="85"/>
        <w:widowControl/>
        <w:numPr>
          <w:ilvl w:val="0"/>
          <w:numId w:val="54"/>
        </w:numPr>
        <w:snapToGrid w:val="0"/>
        <w:spacing w:after="0" w:line="360" w:lineRule="auto"/>
        <w:ind w:left="709" w:hanging="709" w:firstLineChars="0"/>
        <w:jc w:val="left"/>
        <w:rPr>
          <w:rFonts w:hAnsi="宋体"/>
          <w:sz w:val="24"/>
        </w:rPr>
      </w:pPr>
      <w:r>
        <w:rPr>
          <w:rFonts w:hint="eastAsia"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5"/>
        <w:widowControl/>
        <w:numPr>
          <w:ilvl w:val="0"/>
          <w:numId w:val="54"/>
        </w:numPr>
        <w:snapToGrid w:val="0"/>
        <w:spacing w:after="0" w:line="360" w:lineRule="auto"/>
        <w:ind w:left="709" w:hanging="709" w:firstLineChars="0"/>
        <w:jc w:val="left"/>
        <w:rPr>
          <w:rFonts w:hAnsi="宋体"/>
          <w:sz w:val="24"/>
        </w:rPr>
      </w:pPr>
      <w:r>
        <w:rPr>
          <w:rFonts w:hint="eastAsia" w:hAnsi="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49"/>
        </w:numPr>
        <w:autoSpaceDE w:val="0"/>
        <w:autoSpaceDN w:val="0"/>
        <w:snapToGrid w:val="0"/>
        <w:spacing w:after="0" w:line="360" w:lineRule="auto"/>
        <w:ind w:left="487" w:hanging="487" w:hangingChars="202"/>
        <w:outlineLvl w:val="3"/>
        <w:rPr>
          <w:rFonts w:hAnsi="宋体"/>
          <w:b/>
          <w:sz w:val="24"/>
        </w:rPr>
      </w:pPr>
      <w:r>
        <w:rPr>
          <w:rFonts w:hint="eastAsia" w:hAnsi="宋体"/>
          <w:b/>
          <w:sz w:val="24"/>
        </w:rPr>
        <w:t>推荐中标候选人</w:t>
      </w:r>
    </w:p>
    <w:p>
      <w:pPr>
        <w:pStyle w:val="85"/>
        <w:widowControl/>
        <w:numPr>
          <w:ilvl w:val="0"/>
          <w:numId w:val="58"/>
        </w:numPr>
        <w:spacing w:after="0" w:line="360" w:lineRule="auto"/>
        <w:ind w:left="426" w:hanging="426" w:firstLineChars="0"/>
        <w:jc w:val="left"/>
        <w:rPr>
          <w:rFonts w:ascii="宋体" w:hAnsi="宋体" w:cs="宋体"/>
          <w:sz w:val="24"/>
          <w:lang w:eastAsia="zh-TW"/>
        </w:rPr>
      </w:pPr>
      <w:r>
        <w:rPr>
          <w:rFonts w:hint="eastAsia" w:hAnsi="宋体"/>
          <w:b/>
          <w:sz w:val="24"/>
        </w:rPr>
        <w:t>综合评分法</w:t>
      </w:r>
    </w:p>
    <w:p>
      <w:pPr>
        <w:pStyle w:val="85"/>
        <w:widowControl/>
        <w:numPr>
          <w:ilvl w:val="1"/>
          <w:numId w:val="58"/>
        </w:numPr>
        <w:spacing w:after="0" w:line="360" w:lineRule="auto"/>
        <w:ind w:left="567" w:hanging="567" w:firstLineChars="0"/>
        <w:jc w:val="left"/>
        <w:rPr>
          <w:rFonts w:ascii="宋体" w:hAnsi="宋体" w:cs="宋体"/>
          <w:sz w:val="24"/>
          <w:lang w:eastAsia="zh-TW"/>
        </w:rPr>
      </w:pPr>
      <w:r>
        <w:rPr>
          <w:rFonts w:hint="eastAsia" w:ascii="宋体" w:hAnsi="宋体" w:cs="宋体"/>
          <w:sz w:val="24"/>
          <w:lang w:eastAsia="zh-TW"/>
        </w:rPr>
        <w:t>使用综合评分法的采购项目，单一产品采购</w:t>
      </w:r>
      <w:r>
        <w:rPr>
          <w:rFonts w:hint="eastAsia" w:ascii="宋体" w:hAnsi="宋体"/>
          <w:sz w:val="24"/>
        </w:rPr>
        <w:t>项目</w:t>
      </w:r>
      <w:r>
        <w:rPr>
          <w:rFonts w:hint="eastAsia" w:ascii="宋体" w:hAnsi="宋体" w:cs="宋体"/>
          <w:sz w:val="24"/>
          <w:lang w:eastAsia="zh-TW"/>
        </w:rPr>
        <w:t>提供相同品牌产品或</w:t>
      </w:r>
      <w:r>
        <w:rPr>
          <w:rFonts w:hint="eastAsia" w:ascii="宋体" w:hAnsi="宋体"/>
          <w:sz w:val="24"/>
        </w:rPr>
        <w:t>非单一产品采购项目多家投标人提供的任意一个核心产品品牌相同的，</w:t>
      </w:r>
      <w:r>
        <w:rPr>
          <w:rFonts w:hint="eastAsia" w:ascii="宋体" w:hAnsi="宋体" w:cs="宋体"/>
          <w:sz w:val="24"/>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pPr>
        <w:pStyle w:val="85"/>
        <w:widowControl/>
        <w:numPr>
          <w:ilvl w:val="1"/>
          <w:numId w:val="58"/>
        </w:numPr>
        <w:spacing w:after="0" w:line="360" w:lineRule="auto"/>
        <w:ind w:left="567" w:hanging="567" w:firstLineChars="0"/>
        <w:jc w:val="left"/>
        <w:rPr>
          <w:rFonts w:ascii="宋体" w:hAnsi="宋体" w:cs="宋体"/>
          <w:sz w:val="24"/>
          <w:lang w:eastAsia="zh-TW"/>
        </w:rPr>
      </w:pPr>
      <w:r>
        <w:rPr>
          <w:rFonts w:hint="eastAsia" w:ascii="宋体" w:hAnsi="宋体"/>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85"/>
        <w:widowControl/>
        <w:numPr>
          <w:ilvl w:val="0"/>
          <w:numId w:val="58"/>
        </w:numPr>
        <w:snapToGrid w:val="0"/>
        <w:spacing w:after="0" w:line="360" w:lineRule="auto"/>
        <w:ind w:left="426" w:hanging="426" w:firstLineChars="0"/>
        <w:jc w:val="left"/>
        <w:rPr>
          <w:rFonts w:ascii="宋体" w:hAnsi="宋体"/>
          <w:b/>
          <w:sz w:val="24"/>
        </w:rPr>
      </w:pPr>
      <w:r>
        <w:rPr>
          <w:rFonts w:hint="eastAsia" w:ascii="宋体" w:hAnsi="宋体"/>
          <w:b/>
          <w:sz w:val="24"/>
        </w:rPr>
        <w:t>最低评标价法：</w:t>
      </w:r>
    </w:p>
    <w:p>
      <w:pPr>
        <w:pStyle w:val="85"/>
        <w:widowControl/>
        <w:numPr>
          <w:ilvl w:val="1"/>
          <w:numId w:val="58"/>
        </w:numPr>
        <w:snapToGrid w:val="0"/>
        <w:spacing w:after="0" w:line="360" w:lineRule="auto"/>
        <w:ind w:left="567" w:hanging="567" w:firstLineChars="0"/>
        <w:jc w:val="left"/>
        <w:rPr>
          <w:rFonts w:ascii="宋体" w:hAnsi="宋体" w:cs="宋体"/>
          <w:sz w:val="24"/>
          <w:lang w:eastAsia="zh-TW"/>
        </w:rPr>
      </w:pPr>
      <w:r>
        <w:rPr>
          <w:rFonts w:hint="eastAsia" w:ascii="宋体" w:hAnsi="宋体" w:cs="宋体"/>
          <w:sz w:val="24"/>
          <w:lang w:eastAsia="zh-TW"/>
        </w:rPr>
        <w:t>采用最低评标价法的采购项目，单一产品采购</w:t>
      </w:r>
      <w:r>
        <w:rPr>
          <w:rFonts w:hint="eastAsia" w:ascii="宋体" w:hAnsi="宋体"/>
          <w:sz w:val="24"/>
        </w:rPr>
        <w:t>项目</w:t>
      </w:r>
      <w:r>
        <w:rPr>
          <w:rFonts w:hint="eastAsia" w:ascii="宋体" w:hAnsi="宋体" w:cs="宋体"/>
          <w:sz w:val="24"/>
          <w:lang w:eastAsia="zh-TW"/>
        </w:rPr>
        <w:t>提供相同品牌产品的不同投标人参加同一合同项下投标的或</w:t>
      </w:r>
      <w:r>
        <w:rPr>
          <w:rFonts w:hint="eastAsia" w:ascii="宋体" w:hAnsi="宋体"/>
          <w:sz w:val="24"/>
        </w:rPr>
        <w:t>非单一产品采购项目多家投标人提供的任意一个核心产品品牌相同的</w:t>
      </w:r>
      <w:r>
        <w:rPr>
          <w:rFonts w:hint="eastAsia" w:ascii="宋体" w:hAnsi="宋体" w:cs="宋体"/>
          <w:sz w:val="24"/>
          <w:lang w:eastAsia="zh-TW"/>
        </w:rPr>
        <w:t>，以其中通过资格审查、符合性审查且报价最低的参加评标；报价相同的，由评标委员会采取随机抽取方式确定，</w:t>
      </w:r>
      <w:r>
        <w:rPr>
          <w:rFonts w:hint="eastAsia" w:ascii="宋体" w:hAnsi="宋体" w:cs="宋体"/>
          <w:b/>
          <w:sz w:val="24"/>
          <w:lang w:eastAsia="zh-TW"/>
        </w:rPr>
        <w:t>其他投标无效</w:t>
      </w:r>
      <w:r>
        <w:rPr>
          <w:rFonts w:hint="eastAsia" w:ascii="宋体" w:hAnsi="宋体" w:cs="宋体"/>
          <w:sz w:val="24"/>
          <w:lang w:eastAsia="zh-TW"/>
        </w:rPr>
        <w:t>。</w:t>
      </w:r>
    </w:p>
    <w:p>
      <w:pPr>
        <w:pStyle w:val="85"/>
        <w:widowControl/>
        <w:numPr>
          <w:ilvl w:val="1"/>
          <w:numId w:val="58"/>
        </w:numPr>
        <w:snapToGrid w:val="0"/>
        <w:spacing w:after="0" w:line="360" w:lineRule="auto"/>
        <w:ind w:left="567" w:hanging="567" w:firstLineChars="0"/>
        <w:jc w:val="left"/>
        <w:rPr>
          <w:rFonts w:ascii="宋体" w:hAnsi="宋体" w:cs="宋体"/>
          <w:sz w:val="24"/>
          <w:lang w:eastAsia="zh-TW"/>
        </w:rPr>
      </w:pPr>
      <w:r>
        <w:rPr>
          <w:rFonts w:hint="eastAsia" w:ascii="宋体" w:hAnsi="宋体"/>
          <w:sz w:val="24"/>
        </w:rPr>
        <w:t>采用最低评标价法的，评标结果按投标报价由低到高顺序排列。投标报价相同的并列。投标文件满足招标文件全部实质性要求且投标报价最低的投标人为排名第一的中标候选人。</w:t>
      </w:r>
    </w:p>
    <w:p>
      <w:pPr>
        <w:pStyle w:val="85"/>
        <w:widowControl/>
        <w:numPr>
          <w:ilvl w:val="0"/>
          <w:numId w:val="58"/>
        </w:numPr>
        <w:snapToGrid w:val="0"/>
        <w:spacing w:after="0"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w:t>
      </w:r>
      <w:r>
        <w:rPr>
          <w:rFonts w:hint="eastAsia" w:ascii="宋体" w:hAnsi="宋体"/>
          <w:sz w:val="24"/>
        </w:rPr>
        <w:t>规定的方式推荐中标候选人。</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确定中标人</w:t>
      </w:r>
    </w:p>
    <w:p>
      <w:pPr>
        <w:pStyle w:val="85"/>
        <w:widowControl/>
        <w:numPr>
          <w:ilvl w:val="0"/>
          <w:numId w:val="59"/>
        </w:numPr>
        <w:snapToGrid w:val="0"/>
        <w:spacing w:after="0" w:line="360" w:lineRule="auto"/>
        <w:ind w:left="426" w:hanging="426" w:firstLineChars="0"/>
        <w:jc w:val="left"/>
        <w:rPr>
          <w:rFonts w:ascii="宋体" w:hAnsi="宋体"/>
          <w:strike/>
          <w:sz w:val="24"/>
        </w:rPr>
      </w:pPr>
      <w:r>
        <w:rPr>
          <w:rFonts w:hint="eastAsia" w:ascii="宋体" w:hAnsi="宋体"/>
          <w:sz w:val="24"/>
        </w:rPr>
        <w:t>中标候选人并列的，按</w:t>
      </w:r>
      <w:r>
        <w:rPr>
          <w:rFonts w:hint="eastAsia" w:ascii="宋体" w:hAnsi="宋体"/>
          <w:b/>
          <w:sz w:val="24"/>
        </w:rPr>
        <w:t>投标人须知前附表</w:t>
      </w:r>
      <w:r>
        <w:rPr>
          <w:rFonts w:hint="eastAsia" w:ascii="宋体" w:hAnsi="宋体"/>
          <w:sz w:val="24"/>
        </w:rPr>
        <w:t>规定确定中标人。</w:t>
      </w:r>
    </w:p>
    <w:p>
      <w:pPr>
        <w:pStyle w:val="85"/>
        <w:widowControl/>
        <w:numPr>
          <w:ilvl w:val="0"/>
          <w:numId w:val="59"/>
        </w:numPr>
        <w:snapToGrid w:val="0"/>
        <w:spacing w:after="0" w:line="360" w:lineRule="auto"/>
        <w:ind w:left="426" w:hanging="426" w:firstLineChars="0"/>
        <w:jc w:val="left"/>
        <w:rPr>
          <w:rFonts w:ascii="宋体" w:hAnsi="宋体"/>
          <w:sz w:val="24"/>
        </w:rPr>
      </w:pPr>
      <w:r>
        <w:rPr>
          <w:rFonts w:hint="eastAsia" w:ascii="宋体" w:hAnsi="宋体"/>
          <w:sz w:val="24"/>
        </w:rPr>
        <w:t>采购代理机构</w:t>
      </w:r>
      <w:r>
        <w:rPr>
          <w:rFonts w:ascii="宋体" w:hAnsi="宋体"/>
          <w:sz w:val="24"/>
        </w:rPr>
        <w:t>提</w:t>
      </w:r>
      <w:r>
        <w:rPr>
          <w:rFonts w:hint="eastAsia" w:ascii="宋体" w:hAnsi="宋体"/>
          <w:sz w:val="24"/>
        </w:rPr>
        <w:t>交</w:t>
      </w:r>
      <w:r>
        <w:rPr>
          <w:rFonts w:ascii="宋体" w:hAnsi="宋体"/>
          <w:sz w:val="24"/>
        </w:rPr>
        <w:t>评</w:t>
      </w:r>
      <w:r>
        <w:rPr>
          <w:rFonts w:hint="eastAsia" w:ascii="宋体" w:hAnsi="宋体"/>
          <w:sz w:val="24"/>
        </w:rPr>
        <w:t>标</w:t>
      </w:r>
      <w:r>
        <w:rPr>
          <w:rFonts w:ascii="宋体" w:hAnsi="宋体"/>
          <w:sz w:val="24"/>
        </w:rPr>
        <w:t>报告报</w:t>
      </w:r>
      <w:r>
        <w:rPr>
          <w:rFonts w:hint="eastAsia" w:ascii="宋体" w:hAnsi="宋体"/>
          <w:sz w:val="24"/>
        </w:rPr>
        <w:t>采购</w:t>
      </w:r>
      <w:r>
        <w:rPr>
          <w:rFonts w:ascii="宋体" w:hAnsi="宋体"/>
          <w:sz w:val="24"/>
        </w:rPr>
        <w:t>人</w:t>
      </w:r>
      <w:r>
        <w:rPr>
          <w:rFonts w:hint="eastAsia" w:ascii="宋体" w:hAnsi="宋体"/>
          <w:sz w:val="24"/>
        </w:rPr>
        <w:t>确认，采购人在收到评标报告5个工作日内确定中标人，按照评标报告中确定的中标候选人顺序确定中标人，也可以事先授权评标委员会直接确定中标人。</w:t>
      </w:r>
    </w:p>
    <w:p>
      <w:pPr>
        <w:pStyle w:val="85"/>
        <w:widowControl/>
        <w:numPr>
          <w:ilvl w:val="0"/>
          <w:numId w:val="59"/>
        </w:numPr>
        <w:snapToGrid w:val="0"/>
        <w:spacing w:after="0" w:line="360" w:lineRule="auto"/>
        <w:ind w:left="426" w:hanging="426" w:firstLineChars="0"/>
        <w:jc w:val="left"/>
        <w:rPr>
          <w:rFonts w:ascii="宋体" w:hAnsi="宋体"/>
          <w:sz w:val="24"/>
        </w:rPr>
      </w:pPr>
      <w:r>
        <w:rPr>
          <w:rFonts w:hint="eastAsia" w:ascii="宋体" w:hAnsi="宋体"/>
          <w:sz w:val="24"/>
        </w:rPr>
        <w:t>中标人拒绝与采购人签订合同的，采购人可以按照评标报告推荐的中标候选人名单排序，确定下一候选人为中标人，也可以重新开展采购活动。</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中标公告及中标通知书</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cs="宋体"/>
          <w:sz w:val="24"/>
          <w:lang w:eastAsia="zh-TW"/>
        </w:rPr>
        <w:t>中标人确定后</w:t>
      </w:r>
      <w:r>
        <w:rPr>
          <w:rFonts w:hint="eastAsia" w:ascii="宋体" w:hAnsi="宋体" w:cs="宋体"/>
          <w:sz w:val="24"/>
        </w:rPr>
        <w:t>，</w:t>
      </w:r>
      <w:r>
        <w:rPr>
          <w:rFonts w:hint="eastAsia" w:ascii="宋体" w:hAnsi="宋体" w:cs="宋体"/>
          <w:sz w:val="24"/>
          <w:lang w:eastAsia="zh-TW"/>
        </w:rPr>
        <w:t>采购代理机构将在</w:t>
      </w:r>
      <w:r>
        <w:rPr>
          <w:rFonts w:hint="eastAsia" w:ascii="宋体" w:hAnsi="宋体" w:cs="宋体"/>
          <w:sz w:val="24"/>
        </w:rPr>
        <w:t>发布采购信息公告的法定媒体</w:t>
      </w:r>
      <w:r>
        <w:rPr>
          <w:rFonts w:hint="eastAsia" w:ascii="宋体" w:hAnsi="宋体" w:cs="宋体"/>
          <w:sz w:val="24"/>
          <w:lang w:eastAsia="zh-TW"/>
        </w:rPr>
        <w:t>上发布中标公告，并向中标人发出《中标通知书》，向采购人及未中标人发出《招标结果通知书》，《中标通知书》对中标人和采购人具有同等法律效力。</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sz w:val="24"/>
        </w:rPr>
        <w:t>《中标通知书》将作为授予合同资格的合法依据，是合同的一个组成部分。</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采购代理服务费</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cs="宋体"/>
          <w:sz w:val="24"/>
        </w:rPr>
        <w:t>中标人应按照招标文件</w:t>
      </w:r>
      <w:r>
        <w:rPr>
          <w:rFonts w:hint="eastAsia" w:ascii="宋体" w:hAnsi="宋体" w:cs="宋体"/>
          <w:b/>
          <w:sz w:val="24"/>
        </w:rPr>
        <w:t>投标人须知前附表</w:t>
      </w:r>
      <w:r>
        <w:rPr>
          <w:rFonts w:hint="eastAsia" w:ascii="宋体" w:hAnsi="宋体" w:cs="宋体"/>
          <w:sz w:val="24"/>
        </w:rPr>
        <w:t>中的规定缴纳采购代理服务费。</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合同的订立</w:t>
      </w:r>
    </w:p>
    <w:p>
      <w:pPr>
        <w:numPr>
          <w:ilvl w:val="1"/>
          <w:numId w:val="49"/>
        </w:numPr>
        <w:autoSpaceDE w:val="0"/>
        <w:autoSpaceDN w:val="0"/>
        <w:snapToGrid w:val="0"/>
        <w:spacing w:after="0" w:line="360" w:lineRule="auto"/>
        <w:rPr>
          <w:rFonts w:ascii="宋体" w:hAnsi="宋体" w:cs="黑体"/>
          <w:b/>
          <w:bCs/>
          <w:sz w:val="24"/>
        </w:rPr>
      </w:pPr>
      <w:r>
        <w:rPr>
          <w:rFonts w:hint="eastAsia" w:ascii="宋体" w:hAnsi="宋体" w:cs="宋体"/>
          <w:sz w:val="24"/>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 w:val="24"/>
        </w:rPr>
        <w:t>。</w:t>
      </w:r>
    </w:p>
    <w:p>
      <w:pPr>
        <w:numPr>
          <w:ilvl w:val="1"/>
          <w:numId w:val="49"/>
        </w:numPr>
        <w:autoSpaceDE w:val="0"/>
        <w:autoSpaceDN w:val="0"/>
        <w:snapToGrid w:val="0"/>
        <w:spacing w:after="0" w:line="360" w:lineRule="auto"/>
        <w:rPr>
          <w:rFonts w:ascii="宋体" w:hAnsi="宋体" w:cs="宋体"/>
          <w:sz w:val="24"/>
        </w:rPr>
      </w:pPr>
      <w:r>
        <w:rPr>
          <w:rFonts w:hint="eastAsia" w:ascii="宋体" w:hAnsi="宋体" w:cs="宋体"/>
          <w:sz w:val="24"/>
          <w:lang w:eastAsia="zh-TW"/>
        </w:rPr>
        <w:t>采购人或者采购代理机构</w:t>
      </w:r>
      <w:r>
        <w:rPr>
          <w:rFonts w:hint="eastAsia" w:ascii="宋体" w:hAnsi="宋体" w:cs="宋体"/>
          <w:sz w:val="24"/>
        </w:rPr>
        <w:t xml:space="preserve">不得向中标人提出任何不合理的要求，作为签订合同的条件，不得与中标人私下订立背离合同实质性内容的协议。 </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合同的履行</w:t>
      </w:r>
    </w:p>
    <w:p>
      <w:pPr>
        <w:numPr>
          <w:ilvl w:val="1"/>
          <w:numId w:val="49"/>
        </w:numPr>
        <w:autoSpaceDE w:val="0"/>
        <w:autoSpaceDN w:val="0"/>
        <w:snapToGrid w:val="0"/>
        <w:spacing w:after="0" w:line="360" w:lineRule="auto"/>
        <w:rPr>
          <w:rFonts w:ascii="宋体" w:hAnsi="宋体" w:cs="宋体"/>
          <w:sz w:val="24"/>
          <w:lang w:eastAsia="zh-TW"/>
        </w:rPr>
      </w:pPr>
      <w:r>
        <w:rPr>
          <w:rFonts w:hint="eastAsia" w:ascii="宋体" w:hAnsi="宋体" w:cs="宋体"/>
          <w:sz w:val="24"/>
        </w:rPr>
        <w:t>中标人不得将采购合同转包。</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法律法规规定的其他属于投标无效的</w:t>
      </w:r>
    </w:p>
    <w:p>
      <w:pPr>
        <w:pStyle w:val="85"/>
        <w:widowControl/>
        <w:numPr>
          <w:ilvl w:val="1"/>
          <w:numId w:val="49"/>
        </w:numPr>
        <w:snapToGrid w:val="0"/>
        <w:spacing w:after="0" w:line="360" w:lineRule="auto"/>
        <w:ind w:firstLineChars="0"/>
        <w:jc w:val="left"/>
        <w:rPr>
          <w:rFonts w:ascii="宋体" w:hAnsi="宋体"/>
          <w:b/>
          <w:sz w:val="24"/>
        </w:rPr>
      </w:pPr>
      <w:r>
        <w:rPr>
          <w:rFonts w:hint="eastAsia" w:ascii="宋体" w:hAnsi="宋体"/>
          <w:b/>
          <w:sz w:val="24"/>
        </w:rPr>
        <w:t>有下列情形之一的，视为投标人串通投标，其投标无效：</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不同投标人的投标文件由同一单位或者个人编制；</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不同投标人委托同一单位或者个人办理投标事宜；</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不同投标人的投标文件载明的项目管理成员或者联系人员为同一人；</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不同投标人的投标文件异常一致或者投标报价呈规律性差异；</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不同投标人的投标文件相互混装；</w:t>
      </w:r>
    </w:p>
    <w:p>
      <w:pPr>
        <w:pStyle w:val="85"/>
        <w:widowControl/>
        <w:numPr>
          <w:ilvl w:val="2"/>
          <w:numId w:val="49"/>
        </w:numPr>
        <w:snapToGrid w:val="0"/>
        <w:spacing w:after="0" w:line="360" w:lineRule="auto"/>
        <w:ind w:firstLineChars="0"/>
        <w:jc w:val="left"/>
        <w:rPr>
          <w:rFonts w:ascii="宋体" w:hAnsi="宋体"/>
          <w:sz w:val="24"/>
        </w:rPr>
      </w:pPr>
      <w:r>
        <w:rPr>
          <w:rFonts w:hint="eastAsia" w:ascii="宋体" w:hAnsi="宋体"/>
          <w:sz w:val="24"/>
        </w:rPr>
        <w:t>不同投标人的投标保证金从同一单位或者个人的账户转出。</w:t>
      </w:r>
    </w:p>
    <w:p>
      <w:pPr>
        <w:numPr>
          <w:ilvl w:val="0"/>
          <w:numId w:val="49"/>
        </w:numPr>
        <w:autoSpaceDE w:val="0"/>
        <w:autoSpaceDN w:val="0"/>
        <w:snapToGrid w:val="0"/>
        <w:spacing w:after="0" w:line="360" w:lineRule="auto"/>
        <w:ind w:left="487" w:hanging="487" w:hangingChars="202"/>
        <w:outlineLvl w:val="3"/>
        <w:rPr>
          <w:rFonts w:ascii="宋体" w:hAnsi="宋体"/>
          <w:b/>
          <w:bCs/>
          <w:sz w:val="24"/>
        </w:rPr>
      </w:pPr>
      <w:r>
        <w:rPr>
          <w:rFonts w:ascii="宋体" w:hAnsi="宋体"/>
          <w:b/>
          <w:bCs/>
          <w:sz w:val="24"/>
        </w:rPr>
        <w:t>废标</w:t>
      </w:r>
    </w:p>
    <w:p>
      <w:pPr>
        <w:pStyle w:val="85"/>
        <w:widowControl/>
        <w:numPr>
          <w:ilvl w:val="0"/>
          <w:numId w:val="60"/>
        </w:numPr>
        <w:tabs>
          <w:tab w:val="left" w:pos="567"/>
        </w:tabs>
        <w:snapToGrid w:val="0"/>
        <w:spacing w:after="0" w:line="360" w:lineRule="auto"/>
        <w:ind w:firstLineChars="0"/>
        <w:jc w:val="left"/>
        <w:rPr>
          <w:rFonts w:ascii="宋体" w:hAnsi="宋体"/>
          <w:sz w:val="24"/>
        </w:rPr>
      </w:pPr>
      <w:r>
        <w:rPr>
          <w:rFonts w:ascii="宋体" w:hAnsi="宋体"/>
          <w:sz w:val="24"/>
        </w:rPr>
        <w:t>在招标采购中，出现下列情形之一的，应予废标</w:t>
      </w:r>
      <w:r>
        <w:rPr>
          <w:rFonts w:hint="eastAsia" w:ascii="宋体" w:hAnsi="宋体"/>
          <w:sz w:val="24"/>
        </w:rPr>
        <w:t>：</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符合专业条件的供应商或者对</w:t>
      </w:r>
      <w:r>
        <w:rPr>
          <w:rFonts w:hint="eastAsia" w:ascii="宋体" w:hAnsi="宋体"/>
          <w:sz w:val="24"/>
        </w:rPr>
        <w:t>招标</w:t>
      </w:r>
      <w:r>
        <w:rPr>
          <w:rFonts w:ascii="宋体" w:hAnsi="宋体"/>
          <w:sz w:val="24"/>
        </w:rPr>
        <w:t>文件作实质响应的供应商不足三家的；</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出现影响采购公正的违法、违规行为的；</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投标人的报价均超过了采购预算，采购人不能支付的；</w:t>
      </w:r>
    </w:p>
    <w:p>
      <w:pPr>
        <w:pStyle w:val="85"/>
        <w:widowControl/>
        <w:numPr>
          <w:ilvl w:val="3"/>
          <w:numId w:val="49"/>
        </w:numPr>
        <w:tabs>
          <w:tab w:val="left" w:pos="426"/>
          <w:tab w:val="clear" w:pos="851"/>
        </w:tabs>
        <w:snapToGrid w:val="0"/>
        <w:spacing w:after="0" w:line="360" w:lineRule="auto"/>
        <w:ind w:left="426" w:hanging="425" w:firstLineChars="0"/>
        <w:jc w:val="left"/>
        <w:rPr>
          <w:rFonts w:ascii="宋体" w:hAnsi="宋体"/>
          <w:sz w:val="24"/>
        </w:rPr>
      </w:pPr>
      <w:r>
        <w:rPr>
          <w:rFonts w:ascii="宋体" w:hAnsi="宋体"/>
          <w:sz w:val="24"/>
        </w:rPr>
        <w:t>因重大变故，采购任务取消的</w:t>
      </w:r>
      <w:r>
        <w:rPr>
          <w:rFonts w:hint="eastAsia" w:ascii="宋体" w:hAnsi="宋体"/>
          <w:sz w:val="24"/>
        </w:rPr>
        <w:t>。</w:t>
      </w:r>
    </w:p>
    <w:p>
      <w:pPr>
        <w:numPr>
          <w:ilvl w:val="0"/>
          <w:numId w:val="42"/>
        </w:numPr>
        <w:tabs>
          <w:tab w:val="left" w:pos="4395"/>
        </w:tabs>
        <w:autoSpaceDE w:val="0"/>
        <w:autoSpaceDN w:val="0"/>
        <w:snapToGrid w:val="0"/>
        <w:spacing w:before="156" w:beforeLines="50" w:after="0" w:line="360" w:lineRule="auto"/>
        <w:ind w:left="708" w:hanging="708" w:hangingChars="252"/>
        <w:jc w:val="center"/>
        <w:outlineLvl w:val="2"/>
        <w:rPr>
          <w:rFonts w:ascii="宋体" w:hAnsi="宋体"/>
          <w:b/>
          <w:sz w:val="28"/>
          <w:szCs w:val="28"/>
          <w:lang w:eastAsia="zh-TW"/>
        </w:rPr>
      </w:pPr>
      <w:bookmarkStart w:id="23" w:name="_Toc153184840"/>
      <w:bookmarkStart w:id="24" w:name="_Toc17768"/>
      <w:r>
        <w:rPr>
          <w:rFonts w:hint="eastAsia" w:ascii="宋体" w:hAnsi="宋体"/>
          <w:b/>
          <w:sz w:val="28"/>
          <w:szCs w:val="28"/>
          <w:lang w:eastAsia="zh-TW"/>
        </w:rPr>
        <w:t>询问、质疑</w:t>
      </w:r>
      <w:bookmarkEnd w:id="23"/>
      <w:bookmarkEnd w:id="24"/>
    </w:p>
    <w:p>
      <w:pPr>
        <w:numPr>
          <w:ilvl w:val="0"/>
          <w:numId w:val="61"/>
        </w:numPr>
        <w:autoSpaceDE w:val="0"/>
        <w:autoSpaceDN w:val="0"/>
        <w:snapToGrid w:val="0"/>
        <w:spacing w:after="0" w:line="360" w:lineRule="auto"/>
        <w:outlineLvl w:val="3"/>
        <w:rPr>
          <w:rFonts w:ascii="宋体" w:hAnsi="宋体"/>
          <w:b/>
          <w:bCs/>
          <w:sz w:val="24"/>
        </w:rPr>
      </w:pPr>
      <w:r>
        <w:rPr>
          <w:rFonts w:hint="eastAsia" w:ascii="宋体" w:hAnsi="宋体"/>
          <w:b/>
          <w:bCs/>
          <w:sz w:val="24"/>
        </w:rPr>
        <w:t>询问</w:t>
      </w:r>
    </w:p>
    <w:p>
      <w:pPr>
        <w:numPr>
          <w:ilvl w:val="1"/>
          <w:numId w:val="61"/>
        </w:numPr>
        <w:autoSpaceDE w:val="0"/>
        <w:autoSpaceDN w:val="0"/>
        <w:snapToGrid w:val="0"/>
        <w:spacing w:after="0" w:line="360" w:lineRule="auto"/>
        <w:ind w:left="648" w:hanging="648" w:hangingChars="270"/>
        <w:rPr>
          <w:rFonts w:ascii="宋体" w:hAnsi="宋体" w:cs="黑体"/>
          <w:b/>
          <w:bCs/>
          <w:sz w:val="24"/>
        </w:rPr>
      </w:pPr>
      <w:r>
        <w:rPr>
          <w:rFonts w:hint="eastAsia" w:ascii="宋体" w:hAnsi="宋体" w:cs="黑体"/>
          <w:bCs/>
          <w:sz w:val="24"/>
        </w:rPr>
        <w:t>供应商对采购活动事项有疑问的，可以向</w:t>
      </w:r>
      <w:r>
        <w:rPr>
          <w:rFonts w:hint="eastAsia" w:ascii="宋体" w:hAnsi="宋体" w:cs="宋体"/>
          <w:sz w:val="24"/>
          <w:lang w:eastAsia="zh-TW"/>
        </w:rPr>
        <w:t>采购人或者采购代理机构</w:t>
      </w:r>
      <w:r>
        <w:rPr>
          <w:rFonts w:hint="eastAsia" w:ascii="宋体" w:hAnsi="宋体" w:cs="黑体"/>
          <w:bCs/>
          <w:sz w:val="24"/>
        </w:rPr>
        <w:t>提出询问，询问可以口头方式提出，也可以书面方式提出。</w:t>
      </w:r>
    </w:p>
    <w:p>
      <w:pPr>
        <w:numPr>
          <w:ilvl w:val="1"/>
          <w:numId w:val="61"/>
        </w:numPr>
        <w:autoSpaceDE w:val="0"/>
        <w:autoSpaceDN w:val="0"/>
        <w:snapToGrid w:val="0"/>
        <w:spacing w:after="0" w:line="360" w:lineRule="auto"/>
        <w:ind w:left="648" w:hanging="648" w:hangingChars="270"/>
        <w:rPr>
          <w:rFonts w:ascii="宋体" w:hAnsi="宋体" w:cs="黑体"/>
          <w:b/>
          <w:bCs/>
          <w:sz w:val="24"/>
        </w:rPr>
      </w:pPr>
      <w:r>
        <w:rPr>
          <w:rFonts w:hint="eastAsia" w:ascii="宋体" w:hAnsi="宋体" w:cs="黑体"/>
          <w:bCs/>
          <w:sz w:val="24"/>
        </w:rPr>
        <w:t>如采用书面方式提出询问，供应商为自然人的，询问函应当由本人签字；供应商为法人或者其他组织的，应当由法定代表人、主要负责人或授权代表签字或者盖个人名章，并加盖公章。投标人递交询问函时非法定代表人亲自办理的需提供法定代表人授权委托书（应载明授权代表的姓名或者名称、代理事项、具体权限、期限和相关事项）及授权代表身份证复印件。</w:t>
      </w:r>
    </w:p>
    <w:p>
      <w:pPr>
        <w:numPr>
          <w:ilvl w:val="1"/>
          <w:numId w:val="61"/>
        </w:numPr>
        <w:autoSpaceDE w:val="0"/>
        <w:autoSpaceDN w:val="0"/>
        <w:snapToGrid w:val="0"/>
        <w:spacing w:after="0" w:line="360" w:lineRule="auto"/>
        <w:ind w:left="648" w:hanging="648" w:hangingChars="270"/>
        <w:rPr>
          <w:rFonts w:ascii="宋体" w:hAnsi="宋体" w:cs="黑体"/>
          <w:b/>
          <w:bCs/>
          <w:sz w:val="24"/>
        </w:rPr>
      </w:pPr>
      <w:r>
        <w:rPr>
          <w:rFonts w:hint="eastAsia" w:ascii="宋体" w:hAnsi="宋体" w:cs="宋体"/>
          <w:sz w:val="24"/>
          <w:lang w:eastAsia="zh-TW"/>
        </w:rPr>
        <w:t>采购人或者采购代理机构</w:t>
      </w:r>
      <w:r>
        <w:rPr>
          <w:rFonts w:hint="eastAsia" w:ascii="宋体" w:hAnsi="宋体" w:cs="黑体"/>
          <w:bCs/>
          <w:sz w:val="24"/>
        </w:rPr>
        <w:t>在三个工作日内对供应商依法提出的询问作出答复。</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采购人或采购代理机构接收以书面形式递交的询问函，接收询问函的联系人、联系方式和通讯地址详见</w:t>
      </w:r>
      <w:r>
        <w:rPr>
          <w:rFonts w:hint="eastAsia" w:hAnsi="宋体"/>
          <w:b/>
          <w:snapToGrid w:val="0"/>
          <w:sz w:val="24"/>
        </w:rPr>
        <w:t>投标人须知前附表</w:t>
      </w:r>
      <w:r>
        <w:rPr>
          <w:rFonts w:hint="eastAsia" w:ascii="宋体" w:hAnsi="宋体"/>
          <w:sz w:val="24"/>
        </w:rPr>
        <w:t>。</w:t>
      </w:r>
    </w:p>
    <w:p>
      <w:pPr>
        <w:numPr>
          <w:ilvl w:val="0"/>
          <w:numId w:val="61"/>
        </w:numPr>
        <w:autoSpaceDE w:val="0"/>
        <w:autoSpaceDN w:val="0"/>
        <w:snapToGrid w:val="0"/>
        <w:spacing w:after="0" w:line="360" w:lineRule="auto"/>
        <w:ind w:left="487" w:hanging="487" w:hangingChars="202"/>
        <w:outlineLvl w:val="3"/>
        <w:rPr>
          <w:rFonts w:ascii="宋体" w:hAnsi="宋体"/>
          <w:b/>
          <w:bCs/>
          <w:sz w:val="24"/>
        </w:rPr>
      </w:pPr>
      <w:r>
        <w:rPr>
          <w:rFonts w:hint="eastAsia" w:ascii="宋体" w:hAnsi="宋体"/>
          <w:b/>
          <w:bCs/>
          <w:sz w:val="24"/>
        </w:rPr>
        <w:t>质疑</w:t>
      </w:r>
    </w:p>
    <w:p>
      <w:pPr>
        <w:numPr>
          <w:ilvl w:val="1"/>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质疑期限：</w:t>
      </w:r>
    </w:p>
    <w:p>
      <w:pPr>
        <w:numPr>
          <w:ilvl w:val="2"/>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招标文件的内容</w:t>
      </w:r>
      <w:r>
        <w:rPr>
          <w:rFonts w:hint="eastAsia" w:ascii="宋体" w:hAnsi="宋体" w:cs="黑体"/>
          <w:bCs/>
          <w:sz w:val="24"/>
        </w:rPr>
        <w:t>损害其权益的，应在收到招标文件之日或者招标文件公告期届满之日起七个工作日内。</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供应商购买招标文件之日早于招标文件公告期限届满之日的，则以供应商购买招标文件之日为质疑时效期间的起算日期；否则，以招标文件公告期限届满之日为质疑时效期间的起算日期。</w:t>
      </w:r>
    </w:p>
    <w:p>
      <w:pPr>
        <w:numPr>
          <w:ilvl w:val="2"/>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采购过程</w:t>
      </w:r>
      <w:r>
        <w:rPr>
          <w:rFonts w:hint="eastAsia" w:ascii="宋体" w:hAnsi="宋体" w:cs="黑体"/>
          <w:bCs/>
          <w:sz w:val="24"/>
        </w:rPr>
        <w:t>损害其权益的，应在各采购程序环节结束之日起七个工作日内。</w:t>
      </w:r>
    </w:p>
    <w:p>
      <w:pPr>
        <w:numPr>
          <w:ilvl w:val="2"/>
          <w:numId w:val="61"/>
        </w:numPr>
        <w:autoSpaceDE w:val="0"/>
        <w:autoSpaceDN w:val="0"/>
        <w:snapToGrid w:val="0"/>
        <w:spacing w:after="0"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中标或者成交结果</w:t>
      </w:r>
      <w:r>
        <w:rPr>
          <w:rFonts w:hint="eastAsia" w:ascii="宋体" w:hAnsi="宋体" w:cs="黑体"/>
          <w:bCs/>
          <w:sz w:val="24"/>
        </w:rPr>
        <w:t>损害其权益的，应在中标或者成交结果公告期限届满之日起七个工作日内。</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提交要求：</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以</w:t>
      </w:r>
      <w:r>
        <w:rPr>
          <w:rFonts w:ascii="宋体" w:hAnsi="宋体" w:cs="黑体"/>
          <w:bCs/>
          <w:sz w:val="24"/>
        </w:rPr>
        <w:t>书面纸质质疑函原件（不包括电报、电传、传真、电子数据交换和电子邮件等形式提出的质疑函</w:t>
      </w:r>
      <w:r>
        <w:rPr>
          <w:rFonts w:hint="eastAsia" w:ascii="宋体" w:hAnsi="宋体" w:cs="黑体"/>
          <w:bCs/>
          <w:sz w:val="24"/>
        </w:rPr>
        <w:t>）向采购人或者采购代理机构</w:t>
      </w:r>
      <w:r>
        <w:rPr>
          <w:rFonts w:hint="eastAsia" w:ascii="宋体" w:hAnsi="宋体" w:cs="宋体"/>
          <w:sz w:val="24"/>
        </w:rPr>
        <w:t>一次性提出针对同一采购程序环节的</w:t>
      </w:r>
      <w:r>
        <w:rPr>
          <w:rFonts w:hint="eastAsia" w:ascii="宋体" w:hAnsi="宋体" w:cs="黑体"/>
          <w:bCs/>
          <w:sz w:val="24"/>
        </w:rPr>
        <w:t>质疑。</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以联合体形式参加采购活动的，其质疑应当由组成联合体的所有供应商共同提出。</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质疑函应当包括下列内容：</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供应商的姓名或者名称、地址、邮编、联系人及联系电话；</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质疑项目的名称及编号；</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具体、明确的质疑事项和与质疑事项相关的请求；</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事实依据；</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必要的法律依据；</w:t>
      </w:r>
    </w:p>
    <w:p>
      <w:pPr>
        <w:pStyle w:val="85"/>
        <w:widowControl/>
        <w:numPr>
          <w:ilvl w:val="1"/>
          <w:numId w:val="54"/>
        </w:numPr>
        <w:tabs>
          <w:tab w:val="left" w:pos="709"/>
        </w:tabs>
        <w:snapToGrid w:val="0"/>
        <w:spacing w:after="0" w:line="360" w:lineRule="auto"/>
        <w:ind w:left="426" w:hanging="283" w:firstLineChars="0"/>
        <w:jc w:val="left"/>
        <w:rPr>
          <w:rFonts w:ascii="宋体" w:hAnsi="宋体"/>
          <w:bCs/>
          <w:sz w:val="24"/>
        </w:rPr>
      </w:pPr>
      <w:r>
        <w:rPr>
          <w:rFonts w:hint="eastAsia" w:ascii="宋体" w:hAnsi="宋体"/>
          <w:bCs/>
          <w:sz w:val="24"/>
        </w:rPr>
        <w:t>提出质疑的日期。</w:t>
      </w:r>
    </w:p>
    <w:p>
      <w:pPr>
        <w:numPr>
          <w:ilvl w:val="2"/>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供应商为自然人的，质疑函应当由本人签字；供应商为法人或者其他组织的，应当由法定代表人、主要负责人或授权代表签字或者盖个人名章，并加盖公章。供应商递交质疑函时非法定代表人亲自办理的，应提供法定代表人授权委托书和授权代表身份证复印件，其授权委托书应载明授权代表的姓名或者名称、代理事项、具体权限、期限和相关事项。</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黑体"/>
          <w:bCs/>
          <w:sz w:val="24"/>
        </w:rPr>
        <w:t>供应商捏造事实、提供虚假材料或者以非法手段取得证明材料不能作为质疑的证明材料。</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cs="宋体"/>
          <w:sz w:val="24"/>
          <w:lang w:eastAsia="zh-TW"/>
        </w:rPr>
        <w:t>采购人或者采购代理机构</w:t>
      </w:r>
      <w:r>
        <w:rPr>
          <w:rFonts w:hint="eastAsia" w:ascii="宋体" w:hAnsi="宋体"/>
          <w:sz w:val="24"/>
        </w:rPr>
        <w:t>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采购人或采购代理机构接收以书面形式递交的质疑函，接收质疑函的联系人、联系方式和通讯地址详见</w:t>
      </w:r>
      <w:r>
        <w:rPr>
          <w:rFonts w:hint="eastAsia" w:hAnsi="宋体"/>
          <w:b/>
          <w:snapToGrid w:val="0"/>
          <w:sz w:val="24"/>
        </w:rPr>
        <w:t>投标人须知前附表</w:t>
      </w:r>
      <w:r>
        <w:rPr>
          <w:rFonts w:hint="eastAsia" w:ascii="宋体" w:hAnsi="宋体"/>
          <w:sz w:val="24"/>
        </w:rPr>
        <w:t>。</w:t>
      </w:r>
    </w:p>
    <w:p>
      <w:pPr>
        <w:numPr>
          <w:ilvl w:val="1"/>
          <w:numId w:val="61"/>
        </w:numPr>
        <w:autoSpaceDE w:val="0"/>
        <w:autoSpaceDN w:val="0"/>
        <w:snapToGrid w:val="0"/>
        <w:spacing w:after="0" w:line="360" w:lineRule="auto"/>
        <w:ind w:left="566" w:hanging="566" w:hangingChars="236"/>
        <w:rPr>
          <w:rFonts w:ascii="宋体" w:hAnsi="宋体" w:cs="黑体"/>
          <w:bCs/>
          <w:sz w:val="24"/>
        </w:rPr>
      </w:pPr>
      <w:r>
        <w:rPr>
          <w:rFonts w:hint="eastAsia" w:ascii="宋体" w:hAnsi="宋体"/>
          <w:sz w:val="24"/>
        </w:rPr>
        <w:t>具体询问、质疑函的格式详见本须知附件。</w:t>
      </w:r>
    </w:p>
    <w:p>
      <w:pPr>
        <w:widowControl/>
        <w:spacing w:after="0"/>
        <w:jc w:val="left"/>
        <w:rPr>
          <w:rFonts w:ascii="宋体" w:hAnsi="宋体" w:cs="宋体"/>
          <w:szCs w:val="21"/>
        </w:rPr>
      </w:pPr>
      <w:r>
        <w:rPr>
          <w:rFonts w:ascii="宋体" w:hAnsi="宋体" w:cs="宋体"/>
          <w:szCs w:val="21"/>
        </w:rPr>
        <w:br w:type="page"/>
      </w:r>
    </w:p>
    <w:p>
      <w:pPr>
        <w:autoSpaceDE w:val="0"/>
        <w:autoSpaceDN w:val="0"/>
        <w:snapToGrid w:val="0"/>
        <w:spacing w:after="0" w:line="360" w:lineRule="auto"/>
        <w:rPr>
          <w:rFonts w:ascii="宋体" w:hAnsi="宋体"/>
          <w:b/>
          <w:sz w:val="24"/>
        </w:rPr>
      </w:pPr>
      <w:r>
        <w:rPr>
          <w:rFonts w:hint="eastAsia" w:ascii="宋体" w:hAnsi="宋体"/>
          <w:b/>
          <w:bCs/>
          <w:sz w:val="24"/>
        </w:rPr>
        <w:t>附件：询问函、质疑函格式</w:t>
      </w:r>
    </w:p>
    <w:p>
      <w:pPr>
        <w:snapToGrid w:val="0"/>
        <w:spacing w:after="0" w:line="360" w:lineRule="auto"/>
        <w:rPr>
          <w:rFonts w:ascii="宋体" w:hAnsi="宋体"/>
          <w:b/>
          <w:sz w:val="24"/>
        </w:rPr>
      </w:pPr>
      <w:r>
        <w:rPr>
          <w:rFonts w:hint="eastAsia" w:ascii="宋体" w:hAnsi="宋体"/>
          <w:b/>
          <w:sz w:val="24"/>
        </w:rPr>
        <w:t>说明：本部分格式为投标人提交询问函、质疑函时使用，不属于投标文件格式的组成部分。</w:t>
      </w:r>
    </w:p>
    <w:p>
      <w:pPr>
        <w:pStyle w:val="34"/>
        <w:snapToGrid w:val="0"/>
        <w:spacing w:before="0" w:beforeAutospacing="0" w:after="0" w:afterAutospacing="0" w:line="360" w:lineRule="auto"/>
        <w:jc w:val="both"/>
      </w:pPr>
    </w:p>
    <w:p>
      <w:pPr>
        <w:pStyle w:val="34"/>
        <w:snapToGrid w:val="0"/>
        <w:spacing w:before="0" w:beforeAutospacing="0" w:after="0" w:afterAutospacing="0" w:line="360" w:lineRule="auto"/>
        <w:jc w:val="both"/>
        <w:rPr>
          <w:b/>
        </w:rPr>
      </w:pPr>
      <w:r>
        <w:rPr>
          <w:rFonts w:hint="eastAsia"/>
          <w:b/>
        </w:rPr>
        <w:t>1.询问函格式</w:t>
      </w:r>
    </w:p>
    <w:p>
      <w:pPr>
        <w:pStyle w:val="34"/>
        <w:spacing w:before="0" w:beforeAutospacing="0" w:after="0" w:afterAutospacing="0" w:line="360" w:lineRule="auto"/>
        <w:jc w:val="center"/>
        <w:rPr>
          <w:rStyle w:val="41"/>
        </w:rPr>
      </w:pPr>
      <w:r>
        <w:rPr>
          <w:rStyle w:val="41"/>
          <w:rFonts w:hint="eastAsia"/>
        </w:rPr>
        <w:t>询问函</w:t>
      </w:r>
    </w:p>
    <w:p>
      <w:pPr>
        <w:widowControl/>
        <w:snapToGrid w:val="0"/>
        <w:spacing w:after="0" w:line="360" w:lineRule="auto"/>
        <w:rPr>
          <w:rFonts w:ascii="宋体" w:hAnsi="宋体"/>
          <w:sz w:val="24"/>
        </w:rPr>
      </w:pPr>
      <w:r>
        <w:rPr>
          <w:rFonts w:hint="eastAsia" w:ascii="宋体" w:hAnsi="宋体"/>
          <w:sz w:val="24"/>
          <w:u w:val="single"/>
        </w:rPr>
        <w:t>采联国际招标采购集团有限公司</w:t>
      </w:r>
      <w:r>
        <w:rPr>
          <w:rFonts w:hint="eastAsia" w:ascii="宋体" w:hAnsi="宋体"/>
          <w:sz w:val="24"/>
        </w:rPr>
        <w:t>：</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我单位已报名并准备参与</w:t>
      </w:r>
      <w:r>
        <w:rPr>
          <w:rFonts w:hint="eastAsia" w:ascii="宋体" w:hAnsi="宋体"/>
          <w:sz w:val="24"/>
          <w:u w:val="single"/>
        </w:rPr>
        <w:t>广东省英德监狱购买单警装备项目</w:t>
      </w:r>
      <w:r>
        <w:rPr>
          <w:rFonts w:hint="eastAsia" w:ascii="宋体" w:hAnsi="宋体"/>
          <w:sz w:val="24"/>
        </w:rPr>
        <w:t>（项目采购编号：CLF0123GZ11QY48）的投标（或报价）活动，现有以下几个内容（或条款）存在疑问（或无法理解），特提出询问。</w:t>
      </w:r>
    </w:p>
    <w:p>
      <w:pPr>
        <w:widowControl/>
        <w:tabs>
          <w:tab w:val="center" w:pos="5019"/>
        </w:tabs>
        <w:snapToGrid w:val="0"/>
        <w:spacing w:after="0" w:line="360" w:lineRule="auto"/>
        <w:ind w:firstLine="480" w:firstLineChars="200"/>
        <w:rPr>
          <w:rFonts w:ascii="宋体" w:hAnsi="宋体"/>
          <w:sz w:val="24"/>
        </w:rPr>
      </w:pPr>
      <w:r>
        <w:rPr>
          <w:rFonts w:hint="eastAsia" w:ascii="宋体" w:hAnsi="宋体"/>
          <w:sz w:val="24"/>
        </w:rPr>
        <w:t>一、_____________________（事项一）</w:t>
      </w:r>
      <w:r>
        <w:rPr>
          <w:rFonts w:ascii="宋体" w:hAnsi="宋体"/>
          <w:sz w:val="24"/>
        </w:rPr>
        <w:tab/>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（1）____________________（问题或条款内容）</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（2）____________________（说明疑问或无法理解原因）</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（3）____________________（建议）</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二、_____________________（事项二）</w:t>
      </w:r>
    </w:p>
    <w:p>
      <w:pPr>
        <w:widowControl/>
        <w:tabs>
          <w:tab w:val="left" w:pos="6300"/>
        </w:tabs>
        <w:snapToGrid w:val="0"/>
        <w:spacing w:after="0" w:line="360" w:lineRule="auto"/>
        <w:ind w:firstLine="480" w:firstLineChars="200"/>
        <w:rPr>
          <w:rFonts w:ascii="宋体" w:hAnsi="宋体"/>
          <w:sz w:val="24"/>
        </w:rPr>
      </w:pPr>
      <w:r>
        <w:rPr>
          <w:rFonts w:hint="eastAsia" w:ascii="宋体" w:hAnsi="宋体"/>
          <w:sz w:val="24"/>
        </w:rPr>
        <w:t>……</w:t>
      </w:r>
    </w:p>
    <w:p>
      <w:pPr>
        <w:widowControl/>
        <w:tabs>
          <w:tab w:val="left" w:pos="6300"/>
        </w:tabs>
        <w:snapToGrid w:val="0"/>
        <w:spacing w:after="0" w:line="360" w:lineRule="auto"/>
        <w:jc w:val="left"/>
        <w:rPr>
          <w:rFonts w:ascii="宋体" w:hAnsi="宋体"/>
          <w:b/>
          <w:sz w:val="24"/>
        </w:rPr>
      </w:pPr>
      <w:r>
        <w:rPr>
          <w:rFonts w:hint="eastAsia" w:ascii="宋体" w:hAnsi="宋体"/>
          <w:b/>
          <w:sz w:val="24"/>
        </w:rPr>
        <w:t>随附相关证明材料如下：（目录）。</w:t>
      </w:r>
    </w:p>
    <w:p>
      <w:pPr>
        <w:widowControl/>
        <w:tabs>
          <w:tab w:val="left" w:pos="6300"/>
        </w:tabs>
        <w:snapToGrid w:val="0"/>
        <w:spacing w:after="0" w:line="360" w:lineRule="auto"/>
        <w:ind w:firstLine="1440" w:firstLineChars="600"/>
        <w:rPr>
          <w:rFonts w:ascii="宋体" w:hAnsi="宋体"/>
          <w:sz w:val="24"/>
        </w:rPr>
      </w:pPr>
    </w:p>
    <w:p>
      <w:pPr>
        <w:widowControl/>
        <w:tabs>
          <w:tab w:val="left" w:pos="6300"/>
        </w:tabs>
        <w:snapToGrid w:val="0"/>
        <w:spacing w:after="0" w:line="360" w:lineRule="auto"/>
        <w:jc w:val="left"/>
        <w:rPr>
          <w:rFonts w:ascii="宋体" w:hAnsi="宋体"/>
          <w:sz w:val="24"/>
        </w:rPr>
      </w:pPr>
      <w:r>
        <w:rPr>
          <w:rFonts w:hint="eastAsia" w:ascii="宋体" w:hAnsi="宋体"/>
          <w:sz w:val="24"/>
        </w:rPr>
        <w:t>询问人（公章）：</w:t>
      </w:r>
    </w:p>
    <w:p>
      <w:pPr>
        <w:widowControl/>
        <w:tabs>
          <w:tab w:val="left" w:pos="6300"/>
        </w:tabs>
        <w:snapToGrid w:val="0"/>
        <w:spacing w:after="0" w:line="360" w:lineRule="auto"/>
        <w:jc w:val="left"/>
        <w:rPr>
          <w:rFonts w:ascii="宋体" w:hAnsi="宋体"/>
          <w:sz w:val="24"/>
        </w:rPr>
      </w:pPr>
      <w:r>
        <w:rPr>
          <w:rFonts w:hint="eastAsia" w:ascii="宋体" w:hAnsi="宋体"/>
          <w:sz w:val="24"/>
        </w:rPr>
        <w:t>法定代表人（授权代表）：</w:t>
      </w:r>
    </w:p>
    <w:p>
      <w:pPr>
        <w:tabs>
          <w:tab w:val="left" w:pos="6300"/>
        </w:tabs>
        <w:snapToGrid w:val="0"/>
        <w:spacing w:after="0" w:line="360" w:lineRule="auto"/>
        <w:jc w:val="left"/>
        <w:rPr>
          <w:rFonts w:ascii="宋体" w:hAnsi="宋体"/>
          <w:sz w:val="24"/>
        </w:rPr>
      </w:pPr>
      <w:r>
        <w:rPr>
          <w:rFonts w:hint="eastAsia" w:ascii="宋体" w:hAnsi="宋体"/>
          <w:sz w:val="24"/>
        </w:rPr>
        <w:t>地址/邮编：</w:t>
      </w:r>
    </w:p>
    <w:p>
      <w:pPr>
        <w:tabs>
          <w:tab w:val="left" w:pos="6300"/>
        </w:tabs>
        <w:snapToGrid w:val="0"/>
        <w:spacing w:after="0" w:line="360" w:lineRule="auto"/>
        <w:jc w:val="left"/>
        <w:rPr>
          <w:rFonts w:ascii="宋体" w:hAnsi="宋体"/>
          <w:sz w:val="24"/>
        </w:rPr>
      </w:pPr>
      <w:r>
        <w:rPr>
          <w:rFonts w:hint="eastAsia" w:ascii="宋体" w:hAnsi="宋体"/>
          <w:sz w:val="24"/>
        </w:rPr>
        <w:t>电话/传真：</w:t>
      </w:r>
    </w:p>
    <w:p>
      <w:pPr>
        <w:tabs>
          <w:tab w:val="left" w:pos="6300"/>
        </w:tabs>
        <w:snapToGrid w:val="0"/>
        <w:spacing w:after="0" w:line="360" w:lineRule="auto"/>
        <w:jc w:val="left"/>
        <w:rPr>
          <w:rFonts w:ascii="宋体" w:hAnsi="宋体"/>
          <w:sz w:val="24"/>
        </w:rPr>
      </w:pPr>
      <w:r>
        <w:rPr>
          <w:rFonts w:hint="eastAsia" w:ascii="宋体" w:hAnsi="宋体"/>
          <w:bCs/>
          <w:sz w:val="24"/>
        </w:rPr>
        <w:t>电子邮箱：</w:t>
      </w:r>
      <w:r>
        <w:rPr>
          <w:rFonts w:ascii="宋体" w:hAnsi="宋体"/>
          <w:sz w:val="24"/>
        </w:rPr>
        <w:t xml:space="preserve"> </w:t>
      </w:r>
    </w:p>
    <w:p>
      <w:pPr>
        <w:spacing w:after="0" w:line="360" w:lineRule="auto"/>
        <w:jc w:val="left"/>
        <w:rPr>
          <w:rFonts w:ascii="宋体" w:hAnsi="宋体"/>
          <w:sz w:val="24"/>
        </w:rPr>
      </w:pPr>
      <w:r>
        <w:rPr>
          <w:rFonts w:hint="eastAsia" w:ascii="宋体" w:hAnsi="宋体"/>
          <w:sz w:val="24"/>
        </w:rPr>
        <w:t>日期：  年   月  日</w:t>
      </w:r>
    </w:p>
    <w:p>
      <w:pPr>
        <w:snapToGrid w:val="0"/>
        <w:spacing w:after="0" w:line="360" w:lineRule="auto"/>
        <w:ind w:firstLine="482" w:firstLineChars="201"/>
        <w:rPr>
          <w:rFonts w:ascii="宋体" w:hAnsi="宋体"/>
          <w:sz w:val="24"/>
        </w:rPr>
      </w:pPr>
    </w:p>
    <w:p>
      <w:pPr>
        <w:pStyle w:val="34"/>
        <w:snapToGrid w:val="0"/>
        <w:spacing w:before="0" w:beforeAutospacing="0" w:after="0" w:afterAutospacing="0" w:line="360" w:lineRule="auto"/>
        <w:jc w:val="both"/>
      </w:pPr>
      <w:r>
        <w:br w:type="page"/>
      </w:r>
      <w:r>
        <w:rPr>
          <w:rFonts w:hint="eastAsia"/>
          <w:b/>
        </w:rPr>
        <w:t>2.质疑函格式</w:t>
      </w:r>
    </w:p>
    <w:p>
      <w:pPr>
        <w:spacing w:after="0"/>
        <w:jc w:val="center"/>
        <w:rPr>
          <w:rFonts w:ascii="宋体" w:hAnsi="宋体" w:cs="仿宋"/>
          <w:b/>
          <w:bCs/>
          <w:sz w:val="24"/>
        </w:rPr>
      </w:pPr>
      <w:r>
        <w:rPr>
          <w:rFonts w:hint="eastAsia" w:ascii="宋体" w:hAnsi="宋体" w:cs="仿宋"/>
          <w:b/>
          <w:bCs/>
          <w:sz w:val="24"/>
        </w:rPr>
        <w:t>质疑函范本</w:t>
      </w:r>
    </w:p>
    <w:p>
      <w:pPr>
        <w:snapToGrid w:val="0"/>
        <w:spacing w:after="0" w:line="360" w:lineRule="auto"/>
        <w:rPr>
          <w:rFonts w:ascii="宋体" w:hAnsi="宋体" w:cs="仿宋"/>
          <w:b/>
          <w:bCs/>
          <w:sz w:val="24"/>
        </w:rPr>
      </w:pPr>
      <w:r>
        <w:rPr>
          <w:rFonts w:hint="eastAsia" w:ascii="宋体" w:hAnsi="宋体" w:cs="仿宋"/>
          <w:b/>
          <w:bCs/>
          <w:sz w:val="24"/>
        </w:rPr>
        <w:t>一、质疑供应商基本信息</w:t>
      </w:r>
    </w:p>
    <w:p>
      <w:pPr>
        <w:snapToGrid w:val="0"/>
        <w:spacing w:after="0" w:line="360" w:lineRule="auto"/>
        <w:rPr>
          <w:rFonts w:ascii="宋体" w:hAnsi="宋体" w:cs="仿宋"/>
          <w:sz w:val="24"/>
          <w:u w:val="dotted"/>
        </w:rPr>
      </w:pPr>
      <w:r>
        <w:rPr>
          <w:rFonts w:hint="eastAsia" w:ascii="宋体" w:hAnsi="宋体" w:cs="仿宋"/>
          <w:sz w:val="24"/>
        </w:rPr>
        <w:t>质疑供应商：</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地址：</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联系人：</w:t>
      </w:r>
      <w:r>
        <w:rPr>
          <w:rFonts w:hint="eastAsia" w:ascii="宋体" w:hAnsi="宋体" w:cs="仿宋"/>
          <w:sz w:val="24"/>
          <w:u w:val="single"/>
        </w:rPr>
        <w:t xml:space="preserve">                      </w:t>
      </w:r>
      <w:r>
        <w:rPr>
          <w:rFonts w:hint="eastAsia" w:ascii="宋体" w:hAnsi="宋体" w:cs="仿宋"/>
          <w:sz w:val="24"/>
        </w:rPr>
        <w:t>联系电话：</w:t>
      </w:r>
      <w:r>
        <w:rPr>
          <w:rFonts w:hint="eastAsia" w:ascii="宋体" w:hAnsi="宋体" w:cs="仿宋"/>
          <w:sz w:val="24"/>
          <w:u w:val="single"/>
        </w:rPr>
        <w:t xml:space="preserve">                              </w:t>
      </w:r>
    </w:p>
    <w:p>
      <w:pPr>
        <w:snapToGrid w:val="0"/>
        <w:spacing w:after="0" w:line="360" w:lineRule="auto"/>
        <w:rPr>
          <w:rFonts w:ascii="宋体" w:hAnsi="宋体" w:cs="仿宋"/>
          <w:sz w:val="24"/>
          <w:u w:val="dotted"/>
        </w:rPr>
      </w:pPr>
      <w:r>
        <w:rPr>
          <w:rFonts w:hint="eastAsia" w:ascii="宋体" w:hAnsi="宋体" w:cs="仿宋"/>
          <w:sz w:val="24"/>
        </w:rPr>
        <w:t>授权代表：</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联系电话：</w:t>
      </w:r>
      <w:r>
        <w:rPr>
          <w:rFonts w:hint="eastAsia" w:ascii="宋体" w:hAnsi="宋体" w:cs="仿宋"/>
          <w:sz w:val="24"/>
          <w:u w:val="single"/>
        </w:rPr>
        <w:t xml:space="preserve">                                           </w:t>
      </w:r>
      <w:r>
        <w:rPr>
          <w:rFonts w:ascii="宋体" w:hAnsi="宋体" w:cs="仿宋"/>
          <w:sz w:val="24"/>
        </w:rPr>
        <w:t xml:space="preserve"> </w:t>
      </w:r>
    </w:p>
    <w:p>
      <w:pPr>
        <w:snapToGrid w:val="0"/>
        <w:spacing w:after="0" w:line="360" w:lineRule="auto"/>
        <w:rPr>
          <w:rFonts w:ascii="宋体" w:hAnsi="宋体" w:cs="仿宋"/>
          <w:sz w:val="24"/>
          <w:u w:val="single"/>
        </w:rPr>
      </w:pPr>
      <w:r>
        <w:rPr>
          <w:rFonts w:hint="eastAsia" w:ascii="宋体" w:hAnsi="宋体" w:cs="仿宋"/>
          <w:sz w:val="24"/>
        </w:rPr>
        <w:t>地址：</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bCs/>
          <w:sz w:val="24"/>
        </w:rPr>
        <w:t>电子邮箱：</w:t>
      </w:r>
      <w:r>
        <w:rPr>
          <w:rFonts w:hint="eastAsia" w:ascii="宋体" w:hAnsi="宋体" w:cs="仿宋"/>
          <w:bCs/>
          <w:sz w:val="24"/>
          <w:u w:val="single"/>
        </w:rPr>
        <w:t xml:space="preserve">                        </w:t>
      </w:r>
    </w:p>
    <w:p>
      <w:pPr>
        <w:snapToGrid w:val="0"/>
        <w:spacing w:after="0" w:line="360" w:lineRule="auto"/>
        <w:rPr>
          <w:rFonts w:ascii="宋体" w:hAnsi="宋体" w:cs="仿宋"/>
          <w:b/>
          <w:bCs/>
          <w:sz w:val="24"/>
        </w:rPr>
      </w:pPr>
      <w:r>
        <w:rPr>
          <w:rFonts w:hint="eastAsia" w:ascii="宋体" w:hAnsi="宋体" w:cs="仿宋"/>
          <w:b/>
          <w:bCs/>
          <w:sz w:val="24"/>
        </w:rPr>
        <w:t>二、质疑项目基本情况</w:t>
      </w:r>
    </w:p>
    <w:p>
      <w:pPr>
        <w:snapToGrid w:val="0"/>
        <w:spacing w:after="0" w:line="360" w:lineRule="auto"/>
        <w:rPr>
          <w:rFonts w:ascii="宋体" w:hAnsi="宋体" w:cs="仿宋"/>
          <w:sz w:val="24"/>
        </w:rPr>
      </w:pPr>
      <w:r>
        <w:rPr>
          <w:rFonts w:hint="eastAsia" w:ascii="宋体" w:hAnsi="宋体" w:cs="仿宋"/>
          <w:sz w:val="24"/>
        </w:rPr>
        <w:t>质疑项目的名称：</w:t>
      </w:r>
      <w:r>
        <w:rPr>
          <w:rFonts w:hint="eastAsia" w:ascii="宋体" w:hAnsi="宋体" w:cs="仿宋"/>
          <w:sz w:val="24"/>
          <w:u w:val="single"/>
        </w:rPr>
        <w:t xml:space="preserve">                                      </w:t>
      </w:r>
    </w:p>
    <w:p>
      <w:pPr>
        <w:snapToGrid w:val="0"/>
        <w:spacing w:after="0" w:line="360" w:lineRule="auto"/>
        <w:rPr>
          <w:rFonts w:ascii="宋体" w:hAnsi="宋体" w:cs="仿宋"/>
          <w:sz w:val="24"/>
        </w:rPr>
      </w:pPr>
      <w:r>
        <w:rPr>
          <w:rFonts w:hint="eastAsia" w:ascii="宋体" w:hAnsi="宋体" w:cs="仿宋"/>
          <w:sz w:val="24"/>
        </w:rPr>
        <w:t>质疑项目的编号：</w:t>
      </w:r>
      <w:r>
        <w:rPr>
          <w:rFonts w:hint="eastAsia" w:ascii="宋体" w:hAnsi="宋体" w:cs="仿宋"/>
          <w:sz w:val="24"/>
          <w:u w:val="single"/>
        </w:rPr>
        <w:t xml:space="preserve">               </w:t>
      </w:r>
      <w:r>
        <w:rPr>
          <w:rFonts w:hint="eastAsia" w:ascii="宋体" w:hAnsi="宋体" w:cs="仿宋"/>
          <w:sz w:val="24"/>
        </w:rPr>
        <w:t>包号：</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采购人名称：</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采购文件获取日期：</w:t>
      </w:r>
      <w:r>
        <w:rPr>
          <w:rFonts w:hint="eastAsia" w:ascii="宋体" w:hAnsi="宋体" w:cs="仿宋"/>
          <w:sz w:val="24"/>
          <w:u w:val="single"/>
        </w:rPr>
        <w:t xml:space="preserve">                                           </w:t>
      </w:r>
    </w:p>
    <w:p>
      <w:pPr>
        <w:snapToGrid w:val="0"/>
        <w:spacing w:after="0" w:line="360" w:lineRule="auto"/>
        <w:rPr>
          <w:rFonts w:ascii="宋体" w:hAnsi="宋体" w:cs="仿宋"/>
          <w:b/>
          <w:bCs/>
          <w:sz w:val="24"/>
        </w:rPr>
      </w:pPr>
      <w:r>
        <w:rPr>
          <w:rFonts w:hint="eastAsia" w:ascii="宋体" w:hAnsi="宋体" w:cs="仿宋"/>
          <w:b/>
          <w:bCs/>
          <w:sz w:val="24"/>
        </w:rPr>
        <w:t>三、质疑事项具体内容</w:t>
      </w:r>
    </w:p>
    <w:p>
      <w:pPr>
        <w:snapToGrid w:val="0"/>
        <w:spacing w:after="0" w:line="360" w:lineRule="auto"/>
        <w:rPr>
          <w:rFonts w:ascii="宋体" w:hAnsi="宋体" w:cs="仿宋"/>
          <w:sz w:val="24"/>
          <w:u w:val="single"/>
        </w:rPr>
      </w:pPr>
      <w:r>
        <w:rPr>
          <w:rFonts w:hint="eastAsia" w:ascii="宋体" w:hAnsi="宋体" w:cs="仿宋"/>
          <w:sz w:val="24"/>
        </w:rPr>
        <w:t>质疑事项1：</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事实依据：</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rPr>
        <w:t>法律依据：</w:t>
      </w:r>
      <w:r>
        <w:rPr>
          <w:rFonts w:hint="eastAsia" w:ascii="宋体" w:hAnsi="宋体" w:cs="仿宋"/>
          <w:sz w:val="24"/>
          <w:u w:val="single"/>
        </w:rPr>
        <w:t xml:space="preserve">                                          </w:t>
      </w:r>
    </w:p>
    <w:p>
      <w:pPr>
        <w:snapToGrid w:val="0"/>
        <w:spacing w:after="0" w:line="360" w:lineRule="auto"/>
        <w:rPr>
          <w:rFonts w:ascii="宋体" w:hAnsi="宋体" w:cs="仿宋"/>
          <w:sz w:val="24"/>
          <w:u w:val="single"/>
        </w:rPr>
      </w:pPr>
      <w:r>
        <w:rPr>
          <w:rFonts w:hint="eastAsia" w:ascii="宋体" w:hAnsi="宋体" w:cs="仿宋"/>
          <w:sz w:val="24"/>
          <w:u w:val="single"/>
        </w:rPr>
        <w:t xml:space="preserve">                                                     </w:t>
      </w:r>
    </w:p>
    <w:p>
      <w:pPr>
        <w:snapToGrid w:val="0"/>
        <w:spacing w:after="0" w:line="360" w:lineRule="auto"/>
        <w:rPr>
          <w:rFonts w:ascii="宋体" w:hAnsi="宋体" w:cs="仿宋"/>
          <w:sz w:val="24"/>
          <w:u w:val="dotted"/>
        </w:rPr>
      </w:pPr>
      <w:r>
        <w:rPr>
          <w:rFonts w:hint="eastAsia" w:ascii="宋体" w:hAnsi="宋体" w:cs="仿宋"/>
          <w:sz w:val="24"/>
        </w:rPr>
        <w:t>质疑事项2</w:t>
      </w:r>
    </w:p>
    <w:p>
      <w:pPr>
        <w:snapToGrid w:val="0"/>
        <w:spacing w:after="0" w:line="360" w:lineRule="auto"/>
        <w:rPr>
          <w:rFonts w:ascii="宋体" w:hAnsi="宋体" w:cs="仿宋"/>
          <w:sz w:val="24"/>
        </w:rPr>
      </w:pPr>
      <w:r>
        <w:rPr>
          <w:rFonts w:hint="eastAsia" w:ascii="宋体" w:hAnsi="宋体" w:cs="仿宋"/>
          <w:sz w:val="24"/>
        </w:rPr>
        <w:t>……</w:t>
      </w:r>
    </w:p>
    <w:p>
      <w:pPr>
        <w:snapToGrid w:val="0"/>
        <w:spacing w:after="0" w:line="360" w:lineRule="auto"/>
        <w:rPr>
          <w:rFonts w:ascii="宋体" w:hAnsi="宋体" w:cs="仿宋"/>
          <w:bCs/>
          <w:sz w:val="24"/>
        </w:rPr>
      </w:pPr>
      <w:r>
        <w:rPr>
          <w:rFonts w:hint="eastAsia" w:ascii="宋体" w:hAnsi="宋体" w:cs="仿宋"/>
          <w:bCs/>
          <w:sz w:val="24"/>
        </w:rPr>
        <w:t>四、与质疑事项相关的质疑请求</w:t>
      </w:r>
    </w:p>
    <w:p>
      <w:pPr>
        <w:snapToGrid w:val="0"/>
        <w:spacing w:after="0" w:line="360" w:lineRule="auto"/>
        <w:rPr>
          <w:rFonts w:ascii="宋体" w:hAnsi="宋体" w:cs="仿宋"/>
          <w:sz w:val="24"/>
          <w:u w:val="dotted"/>
        </w:rPr>
      </w:pPr>
      <w:r>
        <w:rPr>
          <w:rFonts w:hint="eastAsia" w:ascii="宋体" w:hAnsi="宋体" w:cs="仿宋"/>
          <w:sz w:val="24"/>
        </w:rPr>
        <w:t>请求：</w:t>
      </w:r>
      <w:r>
        <w:rPr>
          <w:rFonts w:hint="eastAsia" w:ascii="宋体" w:hAnsi="宋体" w:cs="仿宋"/>
          <w:sz w:val="24"/>
          <w:u w:val="single"/>
        </w:rPr>
        <w:t xml:space="preserve">                                               </w:t>
      </w:r>
    </w:p>
    <w:p>
      <w:pPr>
        <w:snapToGrid w:val="0"/>
        <w:spacing w:after="0" w:line="360" w:lineRule="auto"/>
        <w:rPr>
          <w:rFonts w:ascii="宋体" w:hAnsi="宋体"/>
          <w:sz w:val="24"/>
        </w:rPr>
      </w:pPr>
    </w:p>
    <w:p>
      <w:pPr>
        <w:widowControl/>
        <w:tabs>
          <w:tab w:val="left" w:pos="6300"/>
        </w:tabs>
        <w:snapToGrid w:val="0"/>
        <w:spacing w:after="0" w:line="360" w:lineRule="auto"/>
        <w:jc w:val="left"/>
        <w:rPr>
          <w:rFonts w:ascii="宋体" w:hAnsi="宋体"/>
          <w:sz w:val="24"/>
        </w:rPr>
      </w:pPr>
      <w:r>
        <w:rPr>
          <w:rFonts w:hint="eastAsia" w:ascii="宋体" w:hAnsi="宋体"/>
          <w:sz w:val="24"/>
        </w:rPr>
        <w:t>供应商（盖章）：</w:t>
      </w:r>
    </w:p>
    <w:p>
      <w:pPr>
        <w:widowControl/>
        <w:tabs>
          <w:tab w:val="left" w:pos="6300"/>
        </w:tabs>
        <w:snapToGrid w:val="0"/>
        <w:spacing w:after="0" w:line="360" w:lineRule="auto"/>
        <w:jc w:val="left"/>
        <w:rPr>
          <w:rFonts w:ascii="宋体" w:hAnsi="宋体"/>
          <w:sz w:val="24"/>
        </w:rPr>
      </w:pPr>
      <w:r>
        <w:rPr>
          <w:rFonts w:hint="eastAsia" w:ascii="宋体" w:hAnsi="宋体"/>
          <w:sz w:val="24"/>
        </w:rPr>
        <w:t>法定代表人（授权代表）：</w:t>
      </w:r>
    </w:p>
    <w:p>
      <w:pPr>
        <w:tabs>
          <w:tab w:val="left" w:pos="6300"/>
        </w:tabs>
        <w:snapToGrid w:val="0"/>
        <w:spacing w:after="0" w:line="360" w:lineRule="auto"/>
        <w:jc w:val="left"/>
        <w:rPr>
          <w:rFonts w:ascii="宋体" w:hAnsi="宋体"/>
          <w:sz w:val="24"/>
        </w:rPr>
      </w:pPr>
      <w:r>
        <w:rPr>
          <w:rFonts w:hint="eastAsia" w:ascii="宋体" w:hAnsi="宋体"/>
          <w:sz w:val="24"/>
        </w:rPr>
        <w:t>地址/邮编：</w:t>
      </w:r>
    </w:p>
    <w:p>
      <w:pPr>
        <w:tabs>
          <w:tab w:val="left" w:pos="6300"/>
        </w:tabs>
        <w:snapToGrid w:val="0"/>
        <w:spacing w:after="0" w:line="360" w:lineRule="auto"/>
        <w:jc w:val="left"/>
        <w:rPr>
          <w:rFonts w:ascii="宋体" w:hAnsi="宋体"/>
          <w:sz w:val="24"/>
        </w:rPr>
      </w:pPr>
      <w:r>
        <w:rPr>
          <w:rFonts w:hint="eastAsia" w:ascii="宋体" w:hAnsi="宋体"/>
          <w:sz w:val="24"/>
        </w:rPr>
        <w:t>电话/传真：</w:t>
      </w:r>
    </w:p>
    <w:p>
      <w:pPr>
        <w:spacing w:after="0" w:line="360" w:lineRule="auto"/>
        <w:jc w:val="left"/>
        <w:rPr>
          <w:rFonts w:ascii="宋体" w:hAnsi="宋体"/>
          <w:sz w:val="24"/>
        </w:rPr>
      </w:pPr>
      <w:r>
        <w:rPr>
          <w:rFonts w:hint="eastAsia" w:ascii="宋体" w:hAnsi="宋体"/>
          <w:sz w:val="24"/>
        </w:rPr>
        <w:t>日期：  年   月  日</w:t>
      </w:r>
    </w:p>
    <w:p>
      <w:pPr>
        <w:snapToGrid w:val="0"/>
        <w:spacing w:after="0" w:line="360" w:lineRule="auto"/>
        <w:rPr>
          <w:rFonts w:ascii="宋体" w:hAnsi="宋体" w:cs="仿宋"/>
          <w:b/>
          <w:sz w:val="24"/>
        </w:rPr>
      </w:pPr>
      <w:r>
        <w:rPr>
          <w:rFonts w:hint="eastAsia" w:ascii="宋体" w:hAnsi="宋体"/>
          <w:b/>
          <w:sz w:val="24"/>
        </w:rPr>
        <w:t>随附相关证明材料如下</w:t>
      </w:r>
      <w:r>
        <w:rPr>
          <w:rFonts w:hint="eastAsia" w:ascii="宋体" w:hAnsi="宋体" w:cs="仿宋"/>
          <w:b/>
          <w:sz w:val="24"/>
        </w:rPr>
        <w:t>：</w:t>
      </w:r>
    </w:p>
    <w:tbl>
      <w:tblPr>
        <w:tblStyle w:val="38"/>
        <w:tblW w:w="900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ascii="宋体" w:hAnsi="宋体" w:cs="仿宋"/>
                <w:b/>
                <w:sz w:val="24"/>
              </w:rPr>
              <w:t>序号</w:t>
            </w:r>
          </w:p>
        </w:tc>
        <w:tc>
          <w:tcPr>
            <w:tcW w:w="2761"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名称</w:t>
            </w:r>
          </w:p>
        </w:tc>
        <w:tc>
          <w:tcPr>
            <w:tcW w:w="2247"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来源</w:t>
            </w:r>
          </w:p>
        </w:tc>
        <w:tc>
          <w:tcPr>
            <w:tcW w:w="2247" w:type="dxa"/>
            <w:shd w:val="clear" w:color="auto" w:fill="auto"/>
            <w:tcMar>
              <w:top w:w="72" w:type="dxa"/>
              <w:left w:w="144" w:type="dxa"/>
              <w:bottom w:w="72" w:type="dxa"/>
              <w:right w:w="144" w:type="dxa"/>
            </w:tcMar>
            <w:vAlign w:val="center"/>
          </w:tcPr>
          <w:p>
            <w:pPr>
              <w:snapToGrid w:val="0"/>
              <w:spacing w:after="0" w:line="360" w:lineRule="auto"/>
              <w:jc w:val="center"/>
              <w:rPr>
                <w:rFonts w:ascii="宋体" w:hAnsi="宋体" w:cs="仿宋"/>
                <w:b/>
                <w:sz w:val="24"/>
              </w:rPr>
            </w:pPr>
            <w:r>
              <w:rPr>
                <w:rFonts w:hint="eastAsia" w:ascii="宋体" w:hAnsi="宋体" w:cs="仿宋"/>
                <w:b/>
                <w:sz w:val="24"/>
              </w:rPr>
              <w:t>证明对象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snapToGrid w:val="0"/>
              <w:spacing w:after="0" w:line="360" w:lineRule="auto"/>
              <w:jc w:val="center"/>
              <w:rPr>
                <w:rFonts w:ascii="宋体" w:hAnsi="宋体" w:cs="仿宋"/>
                <w:sz w:val="24"/>
              </w:rPr>
            </w:pPr>
            <w:r>
              <w:rPr>
                <w:rFonts w:ascii="宋体" w:hAnsi="宋体" w:cs="仿宋"/>
                <w:sz w:val="24"/>
              </w:rPr>
              <w:t>1</w:t>
            </w:r>
          </w:p>
        </w:tc>
        <w:tc>
          <w:tcPr>
            <w:tcW w:w="2761"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snapToGrid w:val="0"/>
              <w:spacing w:after="0" w:line="360" w:lineRule="auto"/>
              <w:jc w:val="center"/>
              <w:rPr>
                <w:rFonts w:ascii="宋体" w:hAnsi="宋体" w:cs="仿宋"/>
                <w:sz w:val="24"/>
              </w:rPr>
            </w:pPr>
            <w:r>
              <w:rPr>
                <w:rFonts w:ascii="宋体" w:hAnsi="宋体" w:cs="仿宋"/>
                <w:sz w:val="24"/>
              </w:rPr>
              <w:t>2</w:t>
            </w:r>
          </w:p>
        </w:tc>
        <w:tc>
          <w:tcPr>
            <w:tcW w:w="2761"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snapToGrid w:val="0"/>
              <w:spacing w:after="0" w:line="360" w:lineRule="auto"/>
              <w:jc w:val="center"/>
              <w:rPr>
                <w:rFonts w:ascii="宋体" w:hAnsi="宋体" w:cs="仿宋"/>
                <w:sz w:val="24"/>
              </w:rPr>
            </w:pPr>
            <w:r>
              <w:rPr>
                <w:rFonts w:hint="eastAsia" w:ascii="宋体" w:hAnsi="宋体" w:cs="仿宋"/>
                <w:sz w:val="24"/>
              </w:rPr>
              <w:t>……</w:t>
            </w:r>
          </w:p>
        </w:tc>
        <w:tc>
          <w:tcPr>
            <w:tcW w:w="2761"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snapToGrid w:val="0"/>
              <w:spacing w:after="0" w:line="360" w:lineRule="auto"/>
              <w:rPr>
                <w:rFonts w:ascii="宋体" w:hAnsi="宋体" w:cs="仿宋"/>
                <w:sz w:val="24"/>
              </w:rPr>
            </w:pPr>
          </w:p>
        </w:tc>
      </w:tr>
    </w:tbl>
    <w:p>
      <w:pPr>
        <w:pStyle w:val="85"/>
        <w:widowControl/>
        <w:numPr>
          <w:ilvl w:val="0"/>
          <w:numId w:val="62"/>
        </w:numPr>
        <w:spacing w:after="0" w:line="360" w:lineRule="auto"/>
        <w:ind w:firstLineChars="0"/>
        <w:jc w:val="left"/>
        <w:rPr>
          <w:rFonts w:ascii="宋体" w:hAnsi="宋体"/>
          <w:b/>
          <w:sz w:val="24"/>
        </w:rPr>
      </w:pPr>
      <w:r>
        <w:rPr>
          <w:rFonts w:hint="eastAsia" w:ascii="宋体" w:hAnsi="宋体"/>
          <w:b/>
          <w:sz w:val="24"/>
        </w:rPr>
        <w:t>相关说明</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供应商提出质疑时，应提交质疑函和必要的证明材料。</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质疑供应商若委托代理人进行质疑的，质疑函应按要求列明“授权代表”的有关内容，并在附件中提交由质疑</w:t>
      </w:r>
      <w:r>
        <w:rPr>
          <w:rFonts w:hint="eastAsia" w:ascii="宋体" w:hAnsi="宋体" w:cs="宋体"/>
          <w:sz w:val="24"/>
        </w:rPr>
        <w:t>供应商签署的授权委托书。授权委托书应载明代理人的姓名或者名称、代理事项、具体权限、期限和相关事项。</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质疑供应商若对项目的某一分包进行质疑，质疑函中</w:t>
      </w:r>
      <w:r>
        <w:rPr>
          <w:rFonts w:hint="eastAsia" w:ascii="宋体" w:hAnsi="宋体"/>
          <w:b/>
          <w:sz w:val="24"/>
          <w:u w:val="single"/>
        </w:rPr>
        <w:t>应列明具体分包号</w:t>
      </w:r>
      <w:r>
        <w:rPr>
          <w:rFonts w:hint="eastAsia" w:ascii="宋体" w:hAnsi="宋体"/>
          <w:sz w:val="24"/>
        </w:rPr>
        <w:t>。</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质疑函的质疑事项应具体、明确，并有必要的事实依据和法律依据。</w:t>
      </w:r>
    </w:p>
    <w:p>
      <w:pPr>
        <w:pStyle w:val="85"/>
        <w:widowControl/>
        <w:numPr>
          <w:ilvl w:val="0"/>
          <w:numId w:val="63"/>
        </w:numPr>
        <w:spacing w:after="0" w:line="360" w:lineRule="auto"/>
        <w:ind w:firstLineChars="0"/>
        <w:jc w:val="left"/>
        <w:rPr>
          <w:rFonts w:ascii="宋体" w:hAnsi="宋体"/>
          <w:sz w:val="24"/>
        </w:rPr>
      </w:pPr>
      <w:r>
        <w:rPr>
          <w:rFonts w:hint="eastAsia" w:ascii="宋体" w:hAnsi="宋体"/>
          <w:sz w:val="24"/>
        </w:rPr>
        <w:t>质疑函的质疑请求应与质疑事项相关。</w:t>
      </w:r>
    </w:p>
    <w:p>
      <w:pPr>
        <w:pStyle w:val="85"/>
        <w:numPr>
          <w:ilvl w:val="0"/>
          <w:numId w:val="63"/>
        </w:numPr>
        <w:spacing w:after="0" w:line="360" w:lineRule="auto"/>
        <w:ind w:firstLineChars="0"/>
        <w:rPr>
          <w:rFonts w:ascii="宋体" w:hAnsi="宋体"/>
          <w:sz w:val="24"/>
        </w:rPr>
      </w:pPr>
      <w:r>
        <w:rPr>
          <w:rFonts w:hint="eastAsia" w:ascii="宋体" w:hAnsi="宋体"/>
          <w:sz w:val="24"/>
        </w:rPr>
        <w:t>质疑供应商为自然人的，质疑函应由本人签字；质疑供应商为法人或者其他组织的，质疑函应由法定代表人、主要负责人，或者其授权代表签字或者盖个人名章，并加盖公章。</w:t>
      </w:r>
    </w:p>
    <w:p>
      <w:pPr>
        <w:pStyle w:val="85"/>
        <w:numPr>
          <w:ilvl w:val="0"/>
          <w:numId w:val="63"/>
        </w:numPr>
        <w:spacing w:after="0" w:line="360" w:lineRule="auto"/>
        <w:ind w:firstLineChars="0"/>
        <w:rPr>
          <w:rFonts w:ascii="宋体" w:hAnsi="宋体"/>
          <w:sz w:val="24"/>
        </w:rPr>
      </w:pPr>
      <w:r>
        <w:rPr>
          <w:rFonts w:hint="eastAsia" w:ascii="宋体" w:hAnsi="宋体"/>
          <w:sz w:val="24"/>
        </w:rPr>
        <w:t>供应商应在提交的证明材料中对质疑点的内容</w:t>
      </w:r>
      <w:r>
        <w:rPr>
          <w:rFonts w:hint="eastAsia" w:ascii="宋体" w:hAnsi="宋体"/>
          <w:b/>
          <w:sz w:val="24"/>
          <w:u w:val="single"/>
        </w:rPr>
        <w:t>作出相应的标识或以醒目的方式标明</w:t>
      </w:r>
      <w:r>
        <w:rPr>
          <w:rFonts w:hint="eastAsia" w:ascii="宋体" w:hAnsi="宋体"/>
          <w:sz w:val="24"/>
        </w:rPr>
        <w:t>。</w:t>
      </w:r>
    </w:p>
    <w:p>
      <w:pPr>
        <w:widowControl/>
        <w:spacing w:after="0"/>
        <w:jc w:val="left"/>
        <w:rPr>
          <w:b/>
          <w:bCs/>
          <w:sz w:val="28"/>
          <w:szCs w:val="28"/>
        </w:rPr>
      </w:pPr>
      <w:r>
        <w:rPr>
          <w:b/>
          <w:bCs/>
          <w:sz w:val="28"/>
          <w:szCs w:val="28"/>
        </w:rPr>
        <w:br w:type="page"/>
      </w:r>
    </w:p>
    <w:p>
      <w:pPr>
        <w:spacing w:before="156" w:beforeLines="50" w:after="0" w:line="360" w:lineRule="auto"/>
        <w:jc w:val="center"/>
        <w:outlineLvl w:val="0"/>
        <w:rPr>
          <w:b/>
          <w:bCs/>
          <w:sz w:val="28"/>
          <w:szCs w:val="28"/>
        </w:rPr>
      </w:pPr>
      <w:bookmarkStart w:id="25" w:name="_Toc153184841"/>
      <w:bookmarkStart w:id="26" w:name="_Toc17338"/>
      <w:r>
        <w:rPr>
          <w:rFonts w:hint="eastAsia"/>
          <w:b/>
          <w:bCs/>
          <w:sz w:val="28"/>
          <w:szCs w:val="28"/>
        </w:rPr>
        <w:t>第五章 合同格式条款</w:t>
      </w:r>
      <w:bookmarkEnd w:id="25"/>
      <w:bookmarkEnd w:id="26"/>
    </w:p>
    <w:p>
      <w:pPr>
        <w:tabs>
          <w:tab w:val="left" w:pos="720"/>
        </w:tabs>
        <w:spacing w:after="0" w:line="360" w:lineRule="auto"/>
        <w:rPr>
          <w:rFonts w:hint="eastAsia" w:ascii="宋体" w:hAnsi="宋体" w:cs="宋体"/>
          <w:sz w:val="24"/>
        </w:rPr>
      </w:pPr>
      <w:r>
        <w:rPr>
          <w:rFonts w:hint="eastAsia" w:ascii="宋体" w:hAnsi="宋体" w:cs="宋体"/>
          <w:sz w:val="24"/>
        </w:rPr>
        <w:t>注：本合同仅为合同的参考文本，合同签订双方可根据项目的具体要求进行修订。</w:t>
      </w:r>
    </w:p>
    <w:p>
      <w:pPr>
        <w:tabs>
          <w:tab w:val="left" w:pos="720"/>
        </w:tabs>
        <w:spacing w:after="0" w:line="360" w:lineRule="auto"/>
        <w:rPr>
          <w:rFonts w:ascii="宋体" w:hAnsi="宋体" w:cs="宋体"/>
          <w:sz w:val="24"/>
        </w:rPr>
      </w:pPr>
      <w:r>
        <w:rPr>
          <w:rFonts w:hint="eastAsia" w:ascii="宋体" w:hAnsi="宋体" w:cs="宋体"/>
          <w:sz w:val="24"/>
        </w:rPr>
        <w:t>甲    方（采购人）：</w:t>
      </w:r>
    </w:p>
    <w:p>
      <w:pPr>
        <w:spacing w:after="0" w:line="360" w:lineRule="auto"/>
        <w:rPr>
          <w:rFonts w:ascii="宋体" w:hAnsi="宋体" w:cs="宋体"/>
          <w:sz w:val="24"/>
        </w:rPr>
      </w:pPr>
      <w:r>
        <w:rPr>
          <w:rFonts w:hint="eastAsia" w:ascii="宋体" w:hAnsi="宋体" w:cs="宋体"/>
          <w:sz w:val="24"/>
        </w:rPr>
        <w:t xml:space="preserve">电    话：          </w:t>
      </w:r>
    </w:p>
    <w:p>
      <w:pPr>
        <w:spacing w:after="0" w:line="360" w:lineRule="auto"/>
        <w:rPr>
          <w:rFonts w:ascii="宋体" w:hAnsi="宋体" w:cs="宋体"/>
          <w:sz w:val="24"/>
        </w:rPr>
      </w:pPr>
      <w:r>
        <w:rPr>
          <w:rFonts w:hint="eastAsia" w:ascii="宋体" w:hAnsi="宋体" w:cs="宋体"/>
          <w:sz w:val="24"/>
        </w:rPr>
        <w:t>传  真：</w:t>
      </w:r>
    </w:p>
    <w:p>
      <w:pPr>
        <w:spacing w:after="0" w:line="360" w:lineRule="auto"/>
        <w:rPr>
          <w:rFonts w:ascii="宋体" w:hAnsi="宋体" w:cs="宋体"/>
          <w:sz w:val="24"/>
        </w:rPr>
      </w:pPr>
      <w:r>
        <w:rPr>
          <w:rFonts w:hint="eastAsia" w:ascii="宋体" w:hAnsi="宋体" w:cs="宋体"/>
          <w:sz w:val="24"/>
        </w:rPr>
        <w:t>住  所：</w:t>
      </w:r>
    </w:p>
    <w:p>
      <w:pPr>
        <w:spacing w:after="0" w:line="360" w:lineRule="auto"/>
        <w:rPr>
          <w:rFonts w:ascii="宋体" w:hAnsi="宋体" w:cs="宋体"/>
          <w:sz w:val="24"/>
        </w:rPr>
      </w:pPr>
    </w:p>
    <w:p>
      <w:pPr>
        <w:spacing w:after="0" w:line="360" w:lineRule="auto"/>
        <w:rPr>
          <w:rFonts w:ascii="宋体" w:hAnsi="宋体" w:cs="宋体"/>
          <w:sz w:val="24"/>
        </w:rPr>
      </w:pPr>
      <w:r>
        <w:rPr>
          <w:rFonts w:hint="eastAsia" w:ascii="宋体" w:hAnsi="宋体" w:cs="宋体"/>
          <w:sz w:val="24"/>
        </w:rPr>
        <w:t>乙    方（中标人）：</w:t>
      </w:r>
    </w:p>
    <w:p>
      <w:pPr>
        <w:spacing w:after="0" w:line="360" w:lineRule="auto"/>
        <w:rPr>
          <w:rFonts w:ascii="宋体" w:hAnsi="宋体" w:cs="宋体"/>
          <w:sz w:val="24"/>
        </w:rPr>
      </w:pPr>
      <w:r>
        <w:rPr>
          <w:rFonts w:hint="eastAsia" w:ascii="宋体" w:hAnsi="宋体" w:cs="宋体"/>
          <w:sz w:val="24"/>
        </w:rPr>
        <w:t xml:space="preserve">电    话：                </w:t>
      </w:r>
    </w:p>
    <w:p>
      <w:pPr>
        <w:spacing w:after="0" w:line="360" w:lineRule="auto"/>
        <w:rPr>
          <w:rFonts w:ascii="宋体" w:hAnsi="宋体" w:cs="宋体"/>
          <w:sz w:val="24"/>
        </w:rPr>
      </w:pPr>
      <w:r>
        <w:rPr>
          <w:rFonts w:hint="eastAsia" w:ascii="宋体" w:hAnsi="宋体" w:cs="宋体"/>
          <w:sz w:val="24"/>
        </w:rPr>
        <w:t xml:space="preserve">传  真：           </w:t>
      </w:r>
    </w:p>
    <w:p>
      <w:pPr>
        <w:spacing w:after="0" w:line="360" w:lineRule="auto"/>
        <w:rPr>
          <w:rFonts w:ascii="宋体" w:hAnsi="宋体" w:cs="宋体"/>
          <w:sz w:val="24"/>
        </w:rPr>
      </w:pPr>
      <w:r>
        <w:rPr>
          <w:rFonts w:hint="eastAsia" w:ascii="宋体" w:hAnsi="宋体" w:cs="宋体"/>
          <w:sz w:val="24"/>
        </w:rPr>
        <w:t>住  所：</w:t>
      </w:r>
    </w:p>
    <w:p>
      <w:pPr>
        <w:spacing w:after="0" w:line="360" w:lineRule="auto"/>
        <w:rPr>
          <w:rFonts w:ascii="宋体" w:hAnsi="宋体" w:cs="宋体"/>
          <w:sz w:val="24"/>
        </w:rPr>
      </w:pPr>
    </w:p>
    <w:p>
      <w:pPr>
        <w:spacing w:after="0" w:line="360" w:lineRule="auto"/>
        <w:ind w:firstLine="480" w:firstLineChars="200"/>
        <w:rPr>
          <w:rFonts w:ascii="宋体" w:hAnsi="宋体" w:cs="宋体"/>
          <w:sz w:val="24"/>
        </w:rPr>
      </w:pPr>
      <w:r>
        <w:rPr>
          <w:rFonts w:hint="eastAsia" w:ascii="宋体" w:hAnsi="宋体" w:cs="宋体"/>
          <w:sz w:val="24"/>
        </w:rPr>
        <w:t>根据</w:t>
      </w:r>
      <w:r>
        <w:rPr>
          <w:rFonts w:hint="eastAsia" w:ascii="宋体" w:hAnsi="宋体" w:cs="宋体"/>
          <w:sz w:val="24"/>
          <w:u w:val="single"/>
        </w:rPr>
        <w:t xml:space="preserve">  广东省英德监狱购买单警装备项目 </w:t>
      </w:r>
      <w:r>
        <w:rPr>
          <w:rFonts w:hint="eastAsia" w:ascii="宋体" w:hAnsi="宋体" w:cs="宋体"/>
          <w:sz w:val="24"/>
        </w:rPr>
        <w:t>（项目编号：</w:t>
      </w:r>
      <w:r>
        <w:rPr>
          <w:rFonts w:hint="eastAsia" w:ascii="宋体" w:hAnsi="宋体"/>
          <w:sz w:val="24"/>
        </w:rPr>
        <w:t>CLF0123GZ11QY48</w:t>
      </w:r>
      <w:r>
        <w:rPr>
          <w:rFonts w:hint="eastAsia" w:ascii="宋体" w:hAnsi="宋体" w:cs="宋体"/>
          <w:sz w:val="24"/>
        </w:rPr>
        <w:t>）的采购结果，按照《中华人民共和国民法典》的规定，经双方协商，本着平等互利和诚实信用的原则，一致同意签订本合同如下。</w:t>
      </w:r>
    </w:p>
    <w:p>
      <w:pPr>
        <w:numPr>
          <w:ilvl w:val="0"/>
          <w:numId w:val="64"/>
        </w:numPr>
        <w:tabs>
          <w:tab w:val="left" w:pos="426"/>
          <w:tab w:val="left" w:pos="567"/>
          <w:tab w:val="clear" w:pos="960"/>
        </w:tabs>
        <w:spacing w:after="0" w:line="420" w:lineRule="auto"/>
        <w:ind w:left="0" w:firstLine="0"/>
        <w:outlineLvl w:val="3"/>
        <w:rPr>
          <w:rFonts w:ascii="宋体" w:hAnsi="宋体" w:cs="宋体"/>
          <w:b/>
          <w:sz w:val="24"/>
        </w:rPr>
      </w:pPr>
      <w:r>
        <w:rPr>
          <w:rFonts w:hint="eastAsia" w:ascii="宋体" w:hAnsi="宋体" w:cs="宋体"/>
          <w:b/>
          <w:sz w:val="24"/>
        </w:rPr>
        <w:t>采购标的</w:t>
      </w:r>
    </w:p>
    <w:tbl>
      <w:tblPr>
        <w:tblStyle w:val="38"/>
        <w:tblW w:w="922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0"/>
        <w:gridCol w:w="1264"/>
        <w:gridCol w:w="3245"/>
        <w:gridCol w:w="985"/>
        <w:gridCol w:w="985"/>
        <w:gridCol w:w="1182"/>
        <w:gridCol w:w="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9" w:hRule="atLeast"/>
        </w:trPr>
        <w:tc>
          <w:tcPr>
            <w:tcW w:w="580" w:type="dxa"/>
            <w:vAlign w:val="center"/>
          </w:tcPr>
          <w:p>
            <w:pPr>
              <w:spacing w:after="0"/>
              <w:ind w:left="-62" w:leftChars="-31" w:right="-88" w:rightChars="-44"/>
              <w:jc w:val="center"/>
              <w:rPr>
                <w:rFonts w:ascii="宋体" w:hAnsi="宋体" w:cs="宋体"/>
                <w:sz w:val="24"/>
              </w:rPr>
            </w:pPr>
            <w:r>
              <w:rPr>
                <w:rFonts w:hint="eastAsia" w:ascii="宋体" w:hAnsi="宋体" w:cs="宋体"/>
                <w:sz w:val="24"/>
              </w:rPr>
              <w:t>序号</w:t>
            </w:r>
          </w:p>
        </w:tc>
        <w:tc>
          <w:tcPr>
            <w:tcW w:w="1264" w:type="dxa"/>
            <w:vAlign w:val="center"/>
          </w:tcPr>
          <w:p>
            <w:pPr>
              <w:spacing w:after="0"/>
              <w:ind w:left="-62" w:leftChars="-31" w:right="-88" w:rightChars="-44"/>
              <w:jc w:val="center"/>
              <w:rPr>
                <w:rFonts w:ascii="宋体" w:hAnsi="宋体" w:cs="宋体"/>
                <w:sz w:val="24"/>
              </w:rPr>
            </w:pPr>
            <w:r>
              <w:rPr>
                <w:rFonts w:hint="eastAsia" w:ascii="宋体" w:hAnsi="宋体" w:cs="宋体"/>
                <w:sz w:val="24"/>
              </w:rPr>
              <w:t>商品名称</w:t>
            </w:r>
          </w:p>
        </w:tc>
        <w:tc>
          <w:tcPr>
            <w:tcW w:w="3245" w:type="dxa"/>
            <w:vAlign w:val="center"/>
          </w:tcPr>
          <w:p>
            <w:pPr>
              <w:spacing w:after="0"/>
              <w:ind w:left="-62" w:leftChars="-31" w:right="-88" w:rightChars="-44"/>
              <w:jc w:val="center"/>
              <w:rPr>
                <w:rFonts w:ascii="宋体" w:hAnsi="宋体" w:cs="宋体"/>
                <w:sz w:val="24"/>
              </w:rPr>
            </w:pPr>
            <w:r>
              <w:rPr>
                <w:rFonts w:hint="eastAsia" w:ascii="宋体" w:hAnsi="宋体" w:cs="宋体"/>
                <w:sz w:val="24"/>
              </w:rPr>
              <w:t>品牌、规格型号、配置（性能参数）</w:t>
            </w:r>
          </w:p>
        </w:tc>
        <w:tc>
          <w:tcPr>
            <w:tcW w:w="985" w:type="dxa"/>
            <w:vAlign w:val="center"/>
          </w:tcPr>
          <w:p>
            <w:pPr>
              <w:spacing w:after="0"/>
              <w:ind w:left="-62" w:leftChars="-31" w:right="-88" w:rightChars="-44"/>
              <w:jc w:val="center"/>
              <w:rPr>
                <w:rFonts w:ascii="宋体" w:hAnsi="宋体" w:cs="宋体"/>
                <w:sz w:val="24"/>
              </w:rPr>
            </w:pPr>
            <w:r>
              <w:rPr>
                <w:rFonts w:hint="eastAsia" w:ascii="宋体" w:hAnsi="宋体" w:cs="宋体"/>
                <w:sz w:val="24"/>
              </w:rPr>
              <w:t>产地</w:t>
            </w:r>
          </w:p>
        </w:tc>
        <w:tc>
          <w:tcPr>
            <w:tcW w:w="985" w:type="dxa"/>
            <w:vAlign w:val="center"/>
          </w:tcPr>
          <w:p>
            <w:pPr>
              <w:spacing w:after="0"/>
              <w:ind w:left="-62" w:leftChars="-31" w:right="-88" w:rightChars="-44"/>
              <w:jc w:val="center"/>
              <w:rPr>
                <w:rFonts w:ascii="宋体" w:hAnsi="宋体" w:cs="宋体"/>
                <w:sz w:val="24"/>
              </w:rPr>
            </w:pPr>
            <w:r>
              <w:rPr>
                <w:rFonts w:hint="eastAsia" w:ascii="宋体" w:hAnsi="宋体" w:cs="宋体"/>
                <w:sz w:val="24"/>
              </w:rPr>
              <w:t>数量</w:t>
            </w:r>
          </w:p>
        </w:tc>
        <w:tc>
          <w:tcPr>
            <w:tcW w:w="1182" w:type="dxa"/>
            <w:vAlign w:val="center"/>
          </w:tcPr>
          <w:p>
            <w:pPr>
              <w:spacing w:after="0"/>
              <w:ind w:left="-62" w:leftChars="-31" w:right="-88" w:rightChars="-44"/>
              <w:jc w:val="center"/>
              <w:rPr>
                <w:rFonts w:ascii="宋体" w:hAnsi="宋体" w:cs="宋体"/>
                <w:sz w:val="24"/>
              </w:rPr>
            </w:pPr>
            <w:r>
              <w:rPr>
                <w:rFonts w:hint="eastAsia" w:ascii="宋体" w:hAnsi="宋体" w:cs="宋体"/>
                <w:sz w:val="24"/>
              </w:rPr>
              <w:t>单价(元)</w:t>
            </w:r>
          </w:p>
        </w:tc>
        <w:tc>
          <w:tcPr>
            <w:tcW w:w="988" w:type="dxa"/>
            <w:vAlign w:val="center"/>
          </w:tcPr>
          <w:p>
            <w:pPr>
              <w:spacing w:after="0"/>
              <w:ind w:left="-62" w:leftChars="-31" w:right="-88" w:rightChars="-44"/>
              <w:jc w:val="center"/>
              <w:rPr>
                <w:rFonts w:ascii="宋体" w:hAnsi="宋体" w:cs="宋体"/>
                <w:sz w:val="24"/>
              </w:rPr>
            </w:pPr>
            <w:r>
              <w:rPr>
                <w:rFonts w:hint="eastAsia" w:ascii="宋体" w:hAnsi="宋体" w:cs="宋体"/>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580" w:type="dxa"/>
            <w:vAlign w:val="center"/>
          </w:tcPr>
          <w:p>
            <w:pPr>
              <w:spacing w:after="0"/>
              <w:jc w:val="center"/>
              <w:rPr>
                <w:rFonts w:ascii="宋体" w:hAnsi="宋体" w:cs="宋体"/>
                <w:sz w:val="24"/>
              </w:rPr>
            </w:pPr>
            <w:r>
              <w:rPr>
                <w:rFonts w:hint="eastAsia" w:ascii="宋体" w:hAnsi="宋体" w:cs="宋体"/>
                <w:sz w:val="24"/>
              </w:rPr>
              <w:t>1</w:t>
            </w:r>
          </w:p>
        </w:tc>
        <w:tc>
          <w:tcPr>
            <w:tcW w:w="1264" w:type="dxa"/>
            <w:vAlign w:val="center"/>
          </w:tcPr>
          <w:p>
            <w:pPr>
              <w:spacing w:after="0"/>
              <w:rPr>
                <w:rFonts w:ascii="宋体" w:hAnsi="宋体" w:cs="宋体"/>
                <w:sz w:val="24"/>
              </w:rPr>
            </w:pPr>
          </w:p>
        </w:tc>
        <w:tc>
          <w:tcPr>
            <w:tcW w:w="324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1182" w:type="dxa"/>
            <w:vAlign w:val="center"/>
          </w:tcPr>
          <w:p>
            <w:pPr>
              <w:spacing w:after="0"/>
              <w:rPr>
                <w:rFonts w:ascii="宋体" w:hAnsi="宋体" w:cs="宋体"/>
                <w:sz w:val="24"/>
              </w:rPr>
            </w:pPr>
          </w:p>
        </w:tc>
        <w:tc>
          <w:tcPr>
            <w:tcW w:w="988" w:type="dxa"/>
            <w:vAlign w:val="center"/>
          </w:tcPr>
          <w:p>
            <w:pPr>
              <w:spacing w:after="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580" w:type="dxa"/>
            <w:vAlign w:val="center"/>
          </w:tcPr>
          <w:p>
            <w:pPr>
              <w:spacing w:after="0"/>
              <w:jc w:val="center"/>
              <w:rPr>
                <w:rFonts w:ascii="宋体" w:hAnsi="宋体" w:cs="宋体"/>
                <w:sz w:val="24"/>
              </w:rPr>
            </w:pPr>
            <w:r>
              <w:rPr>
                <w:rFonts w:hint="eastAsia" w:ascii="宋体" w:hAnsi="宋体" w:cs="宋体"/>
                <w:sz w:val="24"/>
              </w:rPr>
              <w:t>2</w:t>
            </w:r>
          </w:p>
        </w:tc>
        <w:tc>
          <w:tcPr>
            <w:tcW w:w="1264" w:type="dxa"/>
            <w:vAlign w:val="center"/>
          </w:tcPr>
          <w:p>
            <w:pPr>
              <w:spacing w:after="0"/>
              <w:rPr>
                <w:rFonts w:ascii="宋体" w:hAnsi="宋体" w:cs="宋体"/>
                <w:sz w:val="24"/>
              </w:rPr>
            </w:pPr>
          </w:p>
        </w:tc>
        <w:tc>
          <w:tcPr>
            <w:tcW w:w="324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1182" w:type="dxa"/>
            <w:vAlign w:val="center"/>
          </w:tcPr>
          <w:p>
            <w:pPr>
              <w:spacing w:after="0"/>
              <w:rPr>
                <w:rFonts w:ascii="宋体" w:hAnsi="宋体" w:cs="宋体"/>
                <w:sz w:val="24"/>
              </w:rPr>
            </w:pPr>
          </w:p>
        </w:tc>
        <w:tc>
          <w:tcPr>
            <w:tcW w:w="988" w:type="dxa"/>
            <w:vAlign w:val="center"/>
          </w:tcPr>
          <w:p>
            <w:pPr>
              <w:spacing w:after="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 w:hRule="atLeast"/>
        </w:trPr>
        <w:tc>
          <w:tcPr>
            <w:tcW w:w="580" w:type="dxa"/>
            <w:vAlign w:val="center"/>
          </w:tcPr>
          <w:p>
            <w:pPr>
              <w:spacing w:after="0"/>
              <w:jc w:val="center"/>
              <w:rPr>
                <w:rFonts w:ascii="宋体" w:hAnsi="宋体" w:cs="宋体"/>
                <w:sz w:val="24"/>
              </w:rPr>
            </w:pPr>
            <w:r>
              <w:rPr>
                <w:rFonts w:hint="eastAsia" w:ascii="宋体" w:hAnsi="宋体" w:cs="宋体"/>
                <w:sz w:val="24"/>
              </w:rPr>
              <w:t>3</w:t>
            </w:r>
          </w:p>
        </w:tc>
        <w:tc>
          <w:tcPr>
            <w:tcW w:w="1264" w:type="dxa"/>
            <w:vAlign w:val="center"/>
          </w:tcPr>
          <w:p>
            <w:pPr>
              <w:spacing w:after="0"/>
              <w:rPr>
                <w:rFonts w:ascii="宋体" w:hAnsi="宋体" w:cs="宋体"/>
                <w:sz w:val="24"/>
              </w:rPr>
            </w:pPr>
          </w:p>
        </w:tc>
        <w:tc>
          <w:tcPr>
            <w:tcW w:w="324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985" w:type="dxa"/>
            <w:vAlign w:val="center"/>
          </w:tcPr>
          <w:p>
            <w:pPr>
              <w:spacing w:after="0"/>
              <w:rPr>
                <w:rFonts w:ascii="宋体" w:hAnsi="宋体" w:cs="宋体"/>
                <w:sz w:val="24"/>
              </w:rPr>
            </w:pPr>
          </w:p>
        </w:tc>
        <w:tc>
          <w:tcPr>
            <w:tcW w:w="1182" w:type="dxa"/>
            <w:vAlign w:val="center"/>
          </w:tcPr>
          <w:p>
            <w:pPr>
              <w:spacing w:after="0"/>
              <w:rPr>
                <w:rFonts w:ascii="宋体" w:hAnsi="宋体" w:cs="宋体"/>
                <w:sz w:val="24"/>
              </w:rPr>
            </w:pPr>
          </w:p>
        </w:tc>
        <w:tc>
          <w:tcPr>
            <w:tcW w:w="988" w:type="dxa"/>
            <w:vAlign w:val="center"/>
          </w:tcPr>
          <w:p>
            <w:pPr>
              <w:spacing w:after="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9229" w:type="dxa"/>
            <w:gridSpan w:val="7"/>
            <w:vAlign w:val="center"/>
          </w:tcPr>
          <w:p>
            <w:pPr>
              <w:spacing w:after="0"/>
              <w:jc w:val="center"/>
              <w:rPr>
                <w:rFonts w:ascii="宋体" w:hAnsi="宋体" w:cs="宋体"/>
                <w:sz w:val="24"/>
                <w:u w:val="single"/>
              </w:rPr>
            </w:pPr>
            <w:r>
              <w:rPr>
                <w:rFonts w:hint="eastAsia" w:ascii="宋体" w:hAnsi="宋体" w:cs="宋体"/>
                <w:sz w:val="24"/>
              </w:rPr>
              <w:t>合计总额：</w:t>
            </w:r>
            <w:r>
              <w:rPr>
                <w:rFonts w:hint="eastAsia" w:ascii="宋体" w:hAnsi="宋体" w:cs="宋体"/>
                <w:sz w:val="24"/>
                <w:lang w:val="en-US" w:eastAsia="zh-CN"/>
              </w:rPr>
              <w:t>¥</w:t>
            </w:r>
            <w:r>
              <w:rPr>
                <w:rFonts w:hint="eastAsia" w:ascii="宋体" w:hAnsi="宋体" w:cs="宋体"/>
                <w:sz w:val="24"/>
                <w:u w:val="single"/>
              </w:rPr>
              <w:t xml:space="preserve">           </w:t>
            </w:r>
            <w:r>
              <w:rPr>
                <w:rFonts w:hint="eastAsia" w:ascii="宋体" w:hAnsi="宋体" w:cs="宋体"/>
                <w:sz w:val="24"/>
              </w:rPr>
              <w:t>元；    大写：</w:t>
            </w:r>
            <w:r>
              <w:rPr>
                <w:rFonts w:hint="eastAsia" w:ascii="宋体" w:hAnsi="宋体" w:cs="宋体"/>
                <w:sz w:val="24"/>
                <w:u w:val="single"/>
              </w:rPr>
              <w:t xml:space="preserve">            </w:t>
            </w:r>
          </w:p>
        </w:tc>
      </w:tr>
    </w:tbl>
    <w:p>
      <w:pPr>
        <w:snapToGrid w:val="0"/>
        <w:spacing w:after="0" w:line="360" w:lineRule="auto"/>
        <w:ind w:firstLine="480" w:firstLineChars="200"/>
        <w:rPr>
          <w:rFonts w:ascii="宋体" w:hAnsi="宋体" w:cs="宋体"/>
          <w:sz w:val="24"/>
        </w:rPr>
      </w:pPr>
      <w:r>
        <w:rPr>
          <w:rFonts w:hint="eastAsia" w:ascii="宋体" w:hAnsi="宋体" w:cs="宋体"/>
          <w:sz w:val="24"/>
        </w:rPr>
        <w:t>合同总额包括乙方设计、安装、随机零配件、标配工具、运输保险、调试、培训、质保期服务、各项税费及合同实施过程中不可预见费用等项目相关的一切费用。</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合同金额</w:t>
      </w:r>
    </w:p>
    <w:p>
      <w:pPr>
        <w:pStyle w:val="20"/>
        <w:snapToGrid w:val="0"/>
        <w:spacing w:after="0" w:line="360" w:lineRule="auto"/>
        <w:ind w:firstLine="480" w:firstLineChars="200"/>
        <w:rPr>
          <w:rFonts w:hAnsi="宋体" w:cs="宋体"/>
          <w:sz w:val="24"/>
          <w:szCs w:val="24"/>
        </w:rPr>
      </w:pPr>
      <w:r>
        <w:rPr>
          <w:rFonts w:hint="eastAsia" w:hAnsi="宋体" w:cs="宋体"/>
          <w:sz w:val="24"/>
          <w:szCs w:val="24"/>
        </w:rPr>
        <w:t>合同金额为</w:t>
      </w:r>
      <w:r>
        <w:rPr>
          <w:rFonts w:hint="eastAsia" w:hAnsi="宋体" w:cs="宋体"/>
          <w:sz w:val="24"/>
        </w:rPr>
        <w:t>￥</w:t>
      </w:r>
      <w:r>
        <w:rPr>
          <w:rFonts w:hint="eastAsia" w:hAnsi="宋体" w:cs="宋体"/>
          <w:sz w:val="24"/>
          <w:u w:val="single"/>
        </w:rPr>
        <w:t xml:space="preserve">           </w:t>
      </w:r>
      <w:r>
        <w:rPr>
          <w:rFonts w:hint="eastAsia" w:hAnsi="宋体" w:cs="宋体"/>
          <w:sz w:val="24"/>
        </w:rPr>
        <w:t>元；大写：</w:t>
      </w:r>
      <w:r>
        <w:rPr>
          <w:rFonts w:hint="eastAsia" w:hAnsi="宋体" w:cs="宋体"/>
          <w:sz w:val="24"/>
          <w:u w:val="single"/>
        </w:rPr>
        <w:t xml:space="preserve">            </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lang w:val="en-US" w:eastAsia="zh-CN"/>
        </w:rPr>
        <w:t>货物</w:t>
      </w:r>
      <w:r>
        <w:rPr>
          <w:rFonts w:hint="eastAsia" w:ascii="宋体" w:hAnsi="宋体" w:cs="宋体"/>
          <w:b/>
          <w:sz w:val="24"/>
        </w:rPr>
        <w:t>要求</w:t>
      </w:r>
    </w:p>
    <w:p>
      <w:pPr>
        <w:numPr>
          <w:ilvl w:val="0"/>
          <w:numId w:val="65"/>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货物为原制造商制造的全新产品，整机无污染，无侵权行为、表面无划损、无任何缺陷隐患，在中国境内可依常规安全合法使用。</w:t>
      </w:r>
    </w:p>
    <w:p>
      <w:pPr>
        <w:numPr>
          <w:ilvl w:val="0"/>
          <w:numId w:val="65"/>
        </w:numPr>
        <w:tabs>
          <w:tab w:val="left" w:pos="567"/>
          <w:tab w:val="left" w:pos="735"/>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货物为</w:t>
      </w:r>
      <w:r>
        <w:rPr>
          <w:rFonts w:ascii="宋体" w:hAnsi="宋体"/>
          <w:sz w:val="24"/>
        </w:rPr>
        <w:t>原厂商</w:t>
      </w:r>
      <w:r>
        <w:rPr>
          <w:rFonts w:hint="eastAsia" w:ascii="宋体" w:hAnsi="宋体"/>
          <w:sz w:val="24"/>
        </w:rPr>
        <w:t>(制造商)</w:t>
      </w:r>
      <w:r>
        <w:rPr>
          <w:rFonts w:hint="eastAsia" w:ascii="宋体" w:hAnsi="宋体" w:cs="宋体"/>
          <w:sz w:val="24"/>
        </w:rPr>
        <w:t>未启封全新包装，具出厂合格证，序列号、包装箱号与出厂批号一致，并可追索查阅。</w:t>
      </w:r>
    </w:p>
    <w:p>
      <w:pPr>
        <w:numPr>
          <w:ilvl w:val="0"/>
          <w:numId w:val="65"/>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乙方应将关键主机设备的用户手册、保修手册、有关单证资料及配备件、随机工具等交付给甲方，使用操作及安全须知等重要资料应附有中文说明。</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sz w:val="24"/>
        </w:rPr>
      </w:pPr>
      <w:r>
        <w:rPr>
          <w:rFonts w:hint="eastAsia" w:cs="宋体" w:asciiTheme="minorEastAsia" w:hAnsiTheme="minorEastAsia"/>
          <w:b/>
          <w:sz w:val="24"/>
        </w:rPr>
        <w:t>采购项目交付（实施）的时间（期限）和地点（范围）</w:t>
      </w:r>
      <w:r>
        <w:rPr>
          <w:rFonts w:hint="eastAsia" w:ascii="宋体" w:hAnsi="宋体" w:cs="宋体"/>
          <w:b/>
          <w:sz w:val="24"/>
        </w:rPr>
        <w:t>：</w:t>
      </w:r>
      <w:r>
        <w:rPr>
          <w:rFonts w:hint="eastAsia" w:ascii="宋体" w:hAnsi="宋体" w:cs="宋体"/>
          <w:sz w:val="24"/>
        </w:rPr>
        <w:t>详见本次招标文件采购需求</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付款方式：</w:t>
      </w:r>
      <w:r>
        <w:rPr>
          <w:rFonts w:hint="eastAsia" w:ascii="宋体" w:hAnsi="宋体" w:cs="宋体"/>
          <w:sz w:val="24"/>
        </w:rPr>
        <w:t>详见本次招标文件采购需求</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售后</w:t>
      </w:r>
      <w:r>
        <w:rPr>
          <w:rFonts w:hint="eastAsia" w:ascii="宋体" w:hAnsi="宋体" w:cs="宋体"/>
          <w:b/>
          <w:sz w:val="24"/>
          <w:lang w:val="en-US" w:eastAsia="zh-CN"/>
        </w:rPr>
        <w:t>保障</w:t>
      </w:r>
    </w:p>
    <w:p>
      <w:pPr>
        <w:numPr>
          <w:ilvl w:val="0"/>
          <w:numId w:val="66"/>
        </w:numPr>
        <w:tabs>
          <w:tab w:val="left" w:pos="567"/>
          <w:tab w:val="clear" w:pos="425"/>
        </w:tabs>
        <w:snapToGrid w:val="0"/>
        <w:spacing w:after="0" w:line="360" w:lineRule="auto"/>
        <w:ind w:left="567" w:hanging="283"/>
        <w:rPr>
          <w:rFonts w:ascii="宋体" w:hAnsi="宋体"/>
          <w:sz w:val="24"/>
        </w:rPr>
      </w:pPr>
      <w:r>
        <w:rPr>
          <w:rFonts w:hint="eastAsia" w:ascii="宋体" w:hAnsi="宋体"/>
          <w:sz w:val="24"/>
          <w:lang w:val="en-US" w:eastAsia="zh-CN"/>
        </w:rPr>
        <w:t>乙方</w:t>
      </w:r>
      <w:r>
        <w:rPr>
          <w:rFonts w:hint="eastAsia" w:ascii="宋体" w:hAnsi="宋体"/>
          <w:sz w:val="24"/>
        </w:rPr>
        <w:t>未按时完成履约行为或</w:t>
      </w:r>
      <w:r>
        <w:rPr>
          <w:rFonts w:hint="eastAsia" w:ascii="宋体" w:hAnsi="宋体"/>
          <w:sz w:val="24"/>
          <w:lang w:val="en-US" w:eastAsia="zh-CN"/>
        </w:rPr>
        <w:t>货物</w:t>
      </w:r>
      <w:r>
        <w:rPr>
          <w:rFonts w:hint="eastAsia" w:ascii="宋体" w:hAnsi="宋体"/>
          <w:sz w:val="24"/>
        </w:rPr>
        <w:t>质量达不到要求，经</w:t>
      </w:r>
      <w:r>
        <w:rPr>
          <w:rFonts w:hint="eastAsia" w:ascii="宋体" w:hAnsi="宋体"/>
          <w:sz w:val="24"/>
          <w:lang w:val="en-US" w:eastAsia="zh-CN"/>
        </w:rPr>
        <w:t>甲方</w:t>
      </w:r>
      <w:r>
        <w:rPr>
          <w:rFonts w:hint="eastAsia" w:ascii="宋体" w:hAnsi="宋体"/>
          <w:sz w:val="24"/>
        </w:rPr>
        <w:t>一次提出书面批评意见后，仍无改进，</w:t>
      </w:r>
      <w:r>
        <w:rPr>
          <w:rFonts w:hint="eastAsia" w:ascii="宋体" w:hAnsi="宋体"/>
          <w:sz w:val="24"/>
          <w:lang w:val="en-US" w:eastAsia="zh-CN"/>
        </w:rPr>
        <w:t>甲方</w:t>
      </w:r>
      <w:r>
        <w:rPr>
          <w:rFonts w:hint="eastAsia" w:ascii="宋体" w:hAnsi="宋体"/>
          <w:sz w:val="24"/>
        </w:rPr>
        <w:t>有权终止合同；</w:t>
      </w:r>
    </w:p>
    <w:p>
      <w:pPr>
        <w:numPr>
          <w:ilvl w:val="0"/>
          <w:numId w:val="66"/>
        </w:numPr>
        <w:tabs>
          <w:tab w:val="left" w:pos="567"/>
          <w:tab w:val="clear" w:pos="425"/>
        </w:tabs>
        <w:snapToGrid w:val="0"/>
        <w:spacing w:after="0" w:line="360" w:lineRule="auto"/>
        <w:ind w:left="567" w:hanging="283"/>
        <w:rPr>
          <w:rFonts w:ascii="宋体" w:hAnsi="宋体"/>
          <w:sz w:val="24"/>
        </w:rPr>
      </w:pPr>
      <w:r>
        <w:rPr>
          <w:rFonts w:hint="eastAsia" w:ascii="宋体" w:hAnsi="宋体"/>
          <w:sz w:val="24"/>
        </w:rPr>
        <w:t>质量保证期，验收合格之日起，不少于2年维修维护，上述费用均包含在本项目</w:t>
      </w:r>
      <w:r>
        <w:rPr>
          <w:rFonts w:hint="eastAsia" w:ascii="宋体" w:hAnsi="宋体"/>
          <w:sz w:val="24"/>
          <w:lang w:val="en-US" w:eastAsia="zh-CN"/>
        </w:rPr>
        <w:t>合同</w:t>
      </w:r>
      <w:r>
        <w:rPr>
          <w:rFonts w:hint="eastAsia" w:ascii="宋体" w:hAnsi="宋体"/>
          <w:sz w:val="24"/>
        </w:rPr>
        <w:t>价中，</w:t>
      </w:r>
      <w:r>
        <w:rPr>
          <w:rFonts w:hint="eastAsia" w:ascii="宋体" w:hAnsi="宋体"/>
          <w:sz w:val="24"/>
          <w:lang w:val="en-US" w:eastAsia="zh-CN"/>
        </w:rPr>
        <w:t>甲方</w:t>
      </w:r>
      <w:r>
        <w:rPr>
          <w:rFonts w:hint="eastAsia" w:ascii="宋体" w:hAnsi="宋体"/>
          <w:sz w:val="24"/>
        </w:rPr>
        <w:t>不再另行支付。</w:t>
      </w:r>
    </w:p>
    <w:p>
      <w:pPr>
        <w:numPr>
          <w:ilvl w:val="0"/>
          <w:numId w:val="66"/>
        </w:numPr>
        <w:tabs>
          <w:tab w:val="left" w:pos="567"/>
          <w:tab w:val="clear" w:pos="425"/>
        </w:tabs>
        <w:snapToGrid w:val="0"/>
        <w:spacing w:after="0" w:line="360" w:lineRule="auto"/>
        <w:ind w:left="567" w:hanging="283"/>
        <w:rPr>
          <w:rFonts w:ascii="宋体" w:hAnsi="宋体"/>
          <w:sz w:val="24"/>
        </w:rPr>
      </w:pPr>
      <w:r>
        <w:rPr>
          <w:rFonts w:hint="eastAsia" w:ascii="宋体" w:hAnsi="宋体"/>
          <w:sz w:val="24"/>
        </w:rPr>
        <w:t>签订合同后5个工作日内，</w:t>
      </w:r>
      <w:r>
        <w:rPr>
          <w:rFonts w:hint="eastAsia" w:ascii="宋体" w:hAnsi="宋体"/>
          <w:sz w:val="24"/>
          <w:lang w:val="en-US" w:eastAsia="zh-CN"/>
        </w:rPr>
        <w:t>乙方</w:t>
      </w:r>
      <w:r>
        <w:rPr>
          <w:rFonts w:hint="eastAsia" w:ascii="宋体" w:hAnsi="宋体"/>
          <w:sz w:val="24"/>
        </w:rPr>
        <w:t>以中标总价</w:t>
      </w:r>
      <w:r>
        <w:rPr>
          <w:rFonts w:hint="eastAsia" w:ascii="宋体" w:hAnsi="宋体"/>
          <w:sz w:val="24"/>
          <w:highlight w:val="none"/>
        </w:rPr>
        <w:t>的5%作为缴纳履约</w:t>
      </w:r>
      <w:r>
        <w:rPr>
          <w:rFonts w:hint="eastAsia" w:ascii="宋体" w:hAnsi="宋体"/>
          <w:sz w:val="24"/>
        </w:rPr>
        <w:t>保证金。</w:t>
      </w:r>
      <w:r>
        <w:rPr>
          <w:rFonts w:hint="eastAsia" w:ascii="宋体" w:hAnsi="宋体"/>
          <w:sz w:val="24"/>
          <w:lang w:val="en-US" w:eastAsia="zh-CN"/>
        </w:rPr>
        <w:t>乙方</w:t>
      </w:r>
      <w:r>
        <w:rPr>
          <w:rFonts w:hint="eastAsia" w:ascii="宋体" w:hAnsi="宋体"/>
          <w:sz w:val="24"/>
        </w:rPr>
        <w:t>履行完成合同约定权利义务事项</w:t>
      </w:r>
      <w:r>
        <w:rPr>
          <w:rFonts w:hint="eastAsia" w:ascii="宋体" w:hAnsi="宋体"/>
          <w:sz w:val="24"/>
          <w:lang w:eastAsia="zh-CN"/>
        </w:rPr>
        <w:t>后，</w:t>
      </w:r>
      <w:r>
        <w:rPr>
          <w:rFonts w:hint="eastAsia" w:ascii="宋体" w:hAnsi="宋体"/>
          <w:sz w:val="24"/>
        </w:rPr>
        <w:t>在</w:t>
      </w:r>
      <w:r>
        <w:rPr>
          <w:rFonts w:hint="eastAsia" w:ascii="宋体" w:hAnsi="宋体"/>
          <w:sz w:val="24"/>
          <w:lang w:val="en-US" w:eastAsia="zh-CN"/>
        </w:rPr>
        <w:t>甲方</w:t>
      </w:r>
      <w:r>
        <w:rPr>
          <w:rFonts w:hint="eastAsia" w:ascii="宋体" w:hAnsi="宋体"/>
          <w:sz w:val="24"/>
          <w:lang w:eastAsia="zh-CN"/>
        </w:rPr>
        <w:t>收到</w:t>
      </w:r>
      <w:r>
        <w:rPr>
          <w:rFonts w:hint="eastAsia" w:ascii="宋体" w:hAnsi="宋体"/>
          <w:sz w:val="24"/>
          <w:lang w:val="en-US" w:eastAsia="zh-CN"/>
        </w:rPr>
        <w:t>乙方</w:t>
      </w:r>
      <w:r>
        <w:rPr>
          <w:rFonts w:hint="eastAsia" w:ascii="宋体" w:hAnsi="宋体"/>
          <w:sz w:val="24"/>
          <w:lang w:eastAsia="zh-CN"/>
        </w:rPr>
        <w:t>提请退还履约保证金申请之日起，</w:t>
      </w:r>
      <w:r>
        <w:rPr>
          <w:rFonts w:hint="eastAsia" w:ascii="宋体" w:hAnsi="宋体"/>
          <w:sz w:val="24"/>
          <w:lang w:val="en-US" w:eastAsia="zh-CN"/>
        </w:rPr>
        <w:t>甲方</w:t>
      </w:r>
      <w:r>
        <w:rPr>
          <w:rFonts w:hint="eastAsia" w:ascii="宋体" w:hAnsi="宋体"/>
          <w:sz w:val="24"/>
          <w:lang w:eastAsia="zh-CN"/>
        </w:rPr>
        <w:t>在</w:t>
      </w:r>
      <w:r>
        <w:rPr>
          <w:rFonts w:hint="eastAsia" w:ascii="宋体" w:hAnsi="宋体"/>
          <w:sz w:val="24"/>
          <w:lang w:val="en-US" w:eastAsia="zh-CN"/>
        </w:rPr>
        <w:t>30日内无息退还履约保证金。</w:t>
      </w:r>
      <w:r>
        <w:rPr>
          <w:rFonts w:hint="eastAsia" w:ascii="宋体" w:hAnsi="宋体"/>
          <w:sz w:val="24"/>
        </w:rPr>
        <w:t>如因</w:t>
      </w:r>
      <w:r>
        <w:rPr>
          <w:rFonts w:hint="eastAsia" w:ascii="宋体" w:hAnsi="宋体"/>
          <w:sz w:val="24"/>
          <w:lang w:val="en-US" w:eastAsia="zh-CN"/>
        </w:rPr>
        <w:t>乙方</w:t>
      </w:r>
      <w:r>
        <w:rPr>
          <w:rFonts w:hint="eastAsia" w:ascii="宋体" w:hAnsi="宋体"/>
          <w:sz w:val="24"/>
        </w:rPr>
        <w:t>的原因提前中止合同的，履约保证金将不予退回。（履约保证金以支票、汇票、本票或者金融机构等非现金形式提交</w:t>
      </w:r>
      <w:r>
        <w:rPr>
          <w:rFonts w:hint="eastAsia" w:ascii="宋体" w:hAnsi="宋体"/>
          <w:sz w:val="24"/>
          <w:lang w:eastAsia="zh-CN"/>
        </w:rPr>
        <w:t>。</w:t>
      </w:r>
      <w:r>
        <w:rPr>
          <w:rFonts w:hint="eastAsia" w:ascii="宋体" w:hAnsi="宋体"/>
          <w:sz w:val="24"/>
        </w:rPr>
        <w:t>）</w:t>
      </w:r>
    </w:p>
    <w:p>
      <w:pPr>
        <w:numPr>
          <w:ilvl w:val="0"/>
          <w:numId w:val="66"/>
        </w:numPr>
        <w:tabs>
          <w:tab w:val="left" w:pos="567"/>
          <w:tab w:val="clear" w:pos="425"/>
        </w:tabs>
        <w:snapToGrid w:val="0"/>
        <w:spacing w:after="0" w:line="360" w:lineRule="auto"/>
        <w:ind w:left="567" w:hanging="283"/>
        <w:rPr>
          <w:rFonts w:hint="eastAsia" w:ascii="宋体" w:hAnsi="宋体"/>
          <w:sz w:val="24"/>
        </w:rPr>
      </w:pPr>
      <w:r>
        <w:rPr>
          <w:rFonts w:hint="eastAsia" w:ascii="宋体" w:hAnsi="宋体"/>
          <w:sz w:val="24"/>
          <w:lang w:val="en-US" w:eastAsia="zh-CN"/>
        </w:rPr>
        <w:t>乙方</w:t>
      </w:r>
      <w:r>
        <w:rPr>
          <w:rFonts w:hint="eastAsia" w:ascii="宋体" w:hAnsi="宋体" w:cs="宋体"/>
          <w:sz w:val="24"/>
          <w:lang w:eastAsia="zh-TW"/>
        </w:rPr>
        <w:t>违反合同及其附件约定的任何义务，</w:t>
      </w:r>
      <w:r>
        <w:rPr>
          <w:rFonts w:hint="eastAsia" w:ascii="宋体" w:hAnsi="宋体" w:cs="宋体"/>
          <w:sz w:val="24"/>
          <w:lang w:val="en-US" w:eastAsia="zh-CN"/>
        </w:rPr>
        <w:t>甲方</w:t>
      </w:r>
      <w:r>
        <w:rPr>
          <w:rFonts w:hint="eastAsia" w:ascii="宋体" w:hAnsi="宋体" w:cs="宋体"/>
          <w:sz w:val="24"/>
          <w:lang w:eastAsia="zh-TW"/>
        </w:rPr>
        <w:t>有权在履约保证金中直接扣除</w:t>
      </w:r>
      <w:r>
        <w:rPr>
          <w:rFonts w:hint="eastAsia" w:ascii="宋体" w:hAnsi="宋体" w:cs="宋体"/>
          <w:sz w:val="24"/>
          <w:lang w:val="en-US" w:eastAsia="zh-CN"/>
        </w:rPr>
        <w:t>乙方</w:t>
      </w:r>
      <w:r>
        <w:rPr>
          <w:rFonts w:hint="eastAsia" w:ascii="宋体" w:hAnsi="宋体" w:cs="宋体"/>
          <w:sz w:val="24"/>
          <w:lang w:eastAsia="zh-TW"/>
        </w:rPr>
        <w:t>应向</w:t>
      </w:r>
      <w:r>
        <w:rPr>
          <w:rFonts w:hint="eastAsia" w:ascii="宋体" w:hAnsi="宋体" w:cs="宋体"/>
          <w:sz w:val="24"/>
          <w:lang w:val="en-US" w:eastAsia="zh-CN"/>
        </w:rPr>
        <w:t>甲方</w:t>
      </w:r>
      <w:r>
        <w:rPr>
          <w:rFonts w:hint="eastAsia" w:ascii="宋体" w:hAnsi="宋体" w:cs="宋体"/>
          <w:sz w:val="24"/>
          <w:lang w:eastAsia="zh-TW"/>
        </w:rPr>
        <w:t>支付的违约金或损失赔偿额，如有不足的，</w:t>
      </w:r>
      <w:r>
        <w:rPr>
          <w:rFonts w:hint="eastAsia" w:ascii="宋体" w:hAnsi="宋体" w:cs="宋体"/>
          <w:sz w:val="24"/>
          <w:lang w:val="en-US" w:eastAsia="zh-CN"/>
        </w:rPr>
        <w:t>乙方</w:t>
      </w:r>
      <w:r>
        <w:rPr>
          <w:rFonts w:hint="eastAsia" w:ascii="宋体" w:hAnsi="宋体" w:cs="宋体"/>
          <w:sz w:val="24"/>
          <w:lang w:eastAsia="zh-TW"/>
        </w:rPr>
        <w:t>应对超过的部分予以赔偿。</w:t>
      </w:r>
    </w:p>
    <w:p>
      <w:pPr>
        <w:numPr>
          <w:ilvl w:val="0"/>
          <w:numId w:val="64"/>
        </w:numPr>
        <w:tabs>
          <w:tab w:val="left" w:pos="426"/>
          <w:tab w:val="left" w:pos="567"/>
          <w:tab w:val="clear" w:pos="960"/>
        </w:tabs>
        <w:snapToGrid w:val="0"/>
        <w:spacing w:after="0" w:line="360" w:lineRule="auto"/>
        <w:ind w:left="0" w:firstLine="0"/>
        <w:outlineLvl w:val="3"/>
        <w:rPr>
          <w:rFonts w:hint="eastAsia" w:ascii="宋体" w:hAnsi="宋体" w:cs="宋体"/>
          <w:b/>
          <w:sz w:val="24"/>
        </w:rPr>
      </w:pPr>
      <w:r>
        <w:rPr>
          <w:rFonts w:hint="eastAsia" w:ascii="宋体" w:hAnsi="宋体" w:cs="宋体"/>
          <w:b/>
          <w:sz w:val="24"/>
        </w:rPr>
        <w:t>售后服务</w:t>
      </w:r>
    </w:p>
    <w:p>
      <w:pPr>
        <w:numPr>
          <w:ilvl w:val="0"/>
          <w:numId w:val="67"/>
        </w:numPr>
        <w:tabs>
          <w:tab w:val="left" w:pos="567"/>
          <w:tab w:val="clear" w:pos="425"/>
        </w:tabs>
        <w:snapToGrid w:val="0"/>
        <w:spacing w:after="0" w:line="360" w:lineRule="auto"/>
        <w:ind w:left="567" w:hanging="283"/>
        <w:rPr>
          <w:rFonts w:cs="宋体" w:asciiTheme="minorEastAsia" w:hAnsiTheme="minorEastAsia"/>
          <w:sz w:val="24"/>
        </w:rPr>
      </w:pPr>
      <w:r>
        <w:rPr>
          <w:rFonts w:hint="eastAsia" w:cs="宋体" w:asciiTheme="minorEastAsia" w:hAnsiTheme="minorEastAsia"/>
          <w:sz w:val="24"/>
        </w:rPr>
        <w:t>保修期</w:t>
      </w:r>
    </w:p>
    <w:p>
      <w:pPr>
        <w:pStyle w:val="85"/>
        <w:numPr>
          <w:ilvl w:val="0"/>
          <w:numId w:val="68"/>
        </w:numPr>
        <w:tabs>
          <w:tab w:val="left" w:pos="567"/>
        </w:tabs>
        <w:snapToGrid w:val="0"/>
        <w:spacing w:after="0" w:line="360" w:lineRule="auto"/>
        <w:ind w:left="200" w:leftChars="100" w:firstLine="0" w:firstLineChars="0"/>
        <w:rPr>
          <w:rFonts w:cs="宋体" w:asciiTheme="minorEastAsia" w:hAnsiTheme="minorEastAsia"/>
          <w:sz w:val="24"/>
        </w:rPr>
      </w:pPr>
      <w:r>
        <w:rPr>
          <w:rFonts w:hint="eastAsia" w:cs="宋体" w:asciiTheme="minorEastAsia" w:hAnsiTheme="minorEastAsia"/>
          <w:sz w:val="24"/>
        </w:rPr>
        <w:t>质量保修范围：由于材料、工艺等问题而导致的产品功能失效、性能下降等缺陷(属于自然力或战争等不可抗拒力、人为因素等造成的除外)。</w:t>
      </w:r>
    </w:p>
    <w:p>
      <w:pPr>
        <w:pStyle w:val="85"/>
        <w:numPr>
          <w:ilvl w:val="0"/>
          <w:numId w:val="68"/>
        </w:numPr>
        <w:tabs>
          <w:tab w:val="left" w:pos="567"/>
        </w:tabs>
        <w:snapToGrid w:val="0"/>
        <w:spacing w:after="0" w:line="360" w:lineRule="auto"/>
        <w:ind w:left="200" w:leftChars="100" w:firstLine="0" w:firstLineChars="0"/>
        <w:rPr>
          <w:rFonts w:ascii="宋体" w:hAnsi="宋体"/>
          <w:color w:val="auto"/>
          <w:sz w:val="24"/>
          <w:highlight w:val="none"/>
        </w:rPr>
      </w:pPr>
      <w:r>
        <w:rPr>
          <w:rFonts w:hint="eastAsia" w:ascii="宋体" w:hAnsi="宋体" w:cs="仿宋_GB2312"/>
          <w:sz w:val="24"/>
          <w:highlight w:val="none"/>
        </w:rPr>
        <w:t>保修期</w:t>
      </w:r>
      <w:r>
        <w:rPr>
          <w:rFonts w:hint="eastAsia" w:ascii="宋体" w:hAnsi="宋体"/>
          <w:sz w:val="24"/>
          <w:highlight w:val="none"/>
        </w:rPr>
        <w:t>为不少于</w:t>
      </w:r>
      <w:r>
        <w:rPr>
          <w:rFonts w:hint="eastAsia" w:ascii="宋体" w:hAnsi="宋体"/>
          <w:sz w:val="24"/>
          <w:highlight w:val="none"/>
          <w:u w:val="single"/>
          <w:lang w:val="en-US" w:eastAsia="zh-CN"/>
        </w:rPr>
        <w:t xml:space="preserve">  </w:t>
      </w:r>
      <w:r>
        <w:rPr>
          <w:rFonts w:hint="eastAsia" w:ascii="宋体" w:hAnsi="宋体"/>
          <w:sz w:val="24"/>
          <w:highlight w:val="none"/>
        </w:rPr>
        <w:t>年，保修</w:t>
      </w:r>
      <w:r>
        <w:rPr>
          <w:rFonts w:hint="eastAsia" w:ascii="宋体" w:hAnsi="宋体" w:cs="宋体"/>
          <w:color w:val="auto"/>
          <w:sz w:val="24"/>
          <w:highlight w:val="none"/>
        </w:rPr>
        <w:t>期自货物最终验收</w:t>
      </w:r>
      <w:r>
        <w:rPr>
          <w:rFonts w:hint="eastAsia" w:ascii="宋体" w:hAnsi="宋体" w:cs="宋体"/>
          <w:color w:val="auto"/>
          <w:sz w:val="24"/>
          <w:highlight w:val="none"/>
          <w:lang w:eastAsia="zh-CN"/>
        </w:rPr>
        <w:t>之日起算</w:t>
      </w:r>
      <w:r>
        <w:rPr>
          <w:rFonts w:hint="eastAsia" w:ascii="宋体" w:hAnsi="宋体" w:cs="宋体"/>
          <w:color w:val="auto"/>
          <w:sz w:val="24"/>
          <w:highlight w:val="none"/>
        </w:rPr>
        <w:t>。</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包装</w:t>
      </w:r>
      <w:r>
        <w:rPr>
          <w:rFonts w:hint="eastAsia" w:ascii="宋体" w:hAnsi="宋体" w:cs="宋体"/>
          <w:b/>
          <w:sz w:val="24"/>
          <w:lang w:val="en-US" w:eastAsia="zh-CN"/>
        </w:rPr>
        <w:t>和运输</w:t>
      </w:r>
    </w:p>
    <w:p>
      <w:pPr>
        <w:pStyle w:val="85"/>
        <w:numPr>
          <w:ilvl w:val="0"/>
          <w:numId w:val="69"/>
        </w:numPr>
        <w:adjustRightInd/>
        <w:snapToGrid w:val="0"/>
        <w:spacing w:after="0" w:line="360" w:lineRule="auto"/>
        <w:ind w:left="567" w:hanging="567" w:firstLineChars="0"/>
        <w:textAlignment w:val="auto"/>
        <w:rPr>
          <w:sz w:val="24"/>
        </w:rPr>
      </w:pPr>
      <w:r>
        <w:rPr>
          <w:rFonts w:hint="eastAsia"/>
          <w:sz w:val="24"/>
        </w:rPr>
        <w:t>乙方应提供运至交付地点所需要的包装，包装应符合经济、牢固、美观的要求，采取防潮、防晒、防锈、防振及防止其它损坏的必要措施，以防止货物在运转中损坏或变质。</w:t>
      </w:r>
    </w:p>
    <w:p>
      <w:pPr>
        <w:pStyle w:val="85"/>
        <w:numPr>
          <w:ilvl w:val="0"/>
          <w:numId w:val="69"/>
        </w:numPr>
        <w:adjustRightInd/>
        <w:snapToGrid w:val="0"/>
        <w:spacing w:after="0" w:line="360" w:lineRule="auto"/>
        <w:ind w:left="567" w:hanging="567" w:firstLineChars="0"/>
        <w:textAlignment w:val="auto"/>
        <w:rPr>
          <w:sz w:val="24"/>
        </w:rPr>
      </w:pPr>
      <w:r>
        <w:rPr>
          <w:rFonts w:hint="eastAsia"/>
          <w:sz w:val="24"/>
        </w:rPr>
        <w:t>包装必须要符合相关法律、法规的要求，包括与环境、职业健康和安全有关的法律、法规标准。</w:t>
      </w:r>
    </w:p>
    <w:p>
      <w:pPr>
        <w:pStyle w:val="85"/>
        <w:numPr>
          <w:ilvl w:val="0"/>
          <w:numId w:val="69"/>
        </w:numPr>
        <w:adjustRightInd/>
        <w:snapToGrid w:val="0"/>
        <w:spacing w:after="0" w:line="360" w:lineRule="auto"/>
        <w:ind w:left="567" w:hanging="567" w:firstLineChars="0"/>
        <w:textAlignment w:val="auto"/>
        <w:rPr>
          <w:rFonts w:hint="eastAsia" w:ascii="Times New Roman" w:hAnsi="Times New Roman" w:cs="Times New Roman"/>
          <w:sz w:val="24"/>
        </w:rPr>
      </w:pPr>
      <w:r>
        <w:rPr>
          <w:rFonts w:hint="eastAsia"/>
          <w:sz w:val="24"/>
        </w:rPr>
        <w:t>运输包装应根据产品的特点及国家相关标准标注有相应的运输标志。</w:t>
      </w:r>
    </w:p>
    <w:p>
      <w:pPr>
        <w:pStyle w:val="85"/>
        <w:numPr>
          <w:ilvl w:val="0"/>
          <w:numId w:val="69"/>
        </w:numPr>
        <w:adjustRightInd/>
        <w:snapToGrid/>
        <w:spacing w:after="0" w:line="240" w:lineRule="auto"/>
        <w:ind w:left="567" w:hanging="567" w:firstLineChars="0"/>
        <w:textAlignment w:val="auto"/>
        <w:rPr>
          <w:sz w:val="24"/>
        </w:rPr>
      </w:pPr>
      <w:r>
        <w:rPr>
          <w:rFonts w:hint="eastAsia" w:cs="Times New Roman"/>
          <w:sz w:val="24"/>
          <w:lang w:val="en-US" w:eastAsia="zh-CN"/>
        </w:rPr>
        <w:t>乙方</w:t>
      </w:r>
      <w:r>
        <w:rPr>
          <w:rFonts w:hint="eastAsia" w:ascii="Times New Roman" w:hAnsi="Times New Roman" w:cs="Times New Roman"/>
          <w:sz w:val="24"/>
        </w:rPr>
        <w:t>负责将货物运输并卸载到</w:t>
      </w:r>
      <w:r>
        <w:rPr>
          <w:rFonts w:hint="eastAsia" w:cs="Times New Roman"/>
          <w:sz w:val="24"/>
          <w:lang w:eastAsia="zh-CN"/>
        </w:rPr>
        <w:t>甲方</w:t>
      </w:r>
      <w:r>
        <w:rPr>
          <w:rFonts w:hint="eastAsia" w:ascii="Times New Roman" w:hAnsi="Times New Roman" w:cs="Times New Roman"/>
          <w:sz w:val="24"/>
        </w:rPr>
        <w:t>指定地点。</w:t>
      </w:r>
    </w:p>
    <w:p>
      <w:pPr>
        <w:numPr>
          <w:ilvl w:val="0"/>
          <w:numId w:val="64"/>
        </w:numPr>
        <w:tabs>
          <w:tab w:val="left" w:pos="426"/>
          <w:tab w:val="left" w:pos="567"/>
          <w:tab w:val="clear" w:pos="960"/>
        </w:tabs>
        <w:snapToGrid w:val="0"/>
        <w:spacing w:after="0" w:line="360" w:lineRule="auto"/>
        <w:ind w:left="0" w:firstLine="0"/>
        <w:outlineLvl w:val="3"/>
        <w:rPr>
          <w:rFonts w:hint="eastAsia" w:ascii="宋体" w:hAnsi="宋体" w:cs="宋体"/>
          <w:b/>
          <w:sz w:val="24"/>
        </w:rPr>
      </w:pPr>
      <w:r>
        <w:rPr>
          <w:rFonts w:hint="eastAsia" w:ascii="宋体" w:hAnsi="宋体" w:cs="宋体"/>
          <w:b/>
          <w:sz w:val="24"/>
        </w:rPr>
        <w:t>合同设备验收</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hint="eastAsia" w:cs="宋体" w:asciiTheme="minorEastAsia" w:hAnsiTheme="minorEastAsia" w:eastAsiaTheme="minorEastAsia"/>
          <w:kern w:val="2"/>
          <w:sz w:val="24"/>
          <w:szCs w:val="22"/>
        </w:rPr>
        <w:t>全部合同货物到达交货地点</w:t>
      </w:r>
      <w:r>
        <w:rPr>
          <w:rFonts w:hint="eastAsia" w:asciiTheme="minorEastAsia" w:hAnsiTheme="minorEastAsia" w:eastAsiaTheme="minorEastAsia" w:cstheme="minorBidi"/>
          <w:kern w:val="2"/>
          <w:sz w:val="24"/>
        </w:rPr>
        <w:t>且</w:t>
      </w:r>
      <w:r>
        <w:rPr>
          <w:rFonts w:hint="eastAsia" w:asciiTheme="minorEastAsia" w:hAnsiTheme="minorEastAsia" w:eastAsiaTheme="minorEastAsia" w:cstheme="minorBidi"/>
          <w:kern w:val="2"/>
          <w:sz w:val="24"/>
          <w:lang w:val="en-US" w:eastAsia="zh-CN"/>
        </w:rPr>
        <w:t>甲方</w:t>
      </w:r>
      <w:r>
        <w:rPr>
          <w:rFonts w:hint="eastAsia" w:asciiTheme="minorEastAsia" w:hAnsiTheme="minorEastAsia" w:eastAsiaTheme="minorEastAsia" w:cstheme="minorBidi"/>
          <w:kern w:val="2"/>
          <w:sz w:val="24"/>
        </w:rPr>
        <w:t>收到验收申请</w:t>
      </w:r>
      <w:r>
        <w:rPr>
          <w:rFonts w:hint="eastAsia" w:cs="宋体" w:asciiTheme="minorEastAsia" w:hAnsiTheme="minorEastAsia" w:eastAsiaTheme="minorEastAsia"/>
          <w:kern w:val="2"/>
          <w:sz w:val="24"/>
          <w:szCs w:val="22"/>
        </w:rPr>
        <w:t>后</w:t>
      </w:r>
      <w:r>
        <w:rPr>
          <w:rFonts w:hint="eastAsia" w:cs="宋体" w:asciiTheme="minorEastAsia" w:hAnsiTheme="minorEastAsia" w:eastAsiaTheme="minorEastAsia"/>
          <w:kern w:val="2"/>
          <w:sz w:val="24"/>
          <w:szCs w:val="22"/>
          <w:u w:val="single"/>
        </w:rPr>
        <w:t>7日</w:t>
      </w:r>
      <w:r>
        <w:rPr>
          <w:rFonts w:hint="eastAsia" w:cs="宋体" w:asciiTheme="minorEastAsia" w:hAnsiTheme="minorEastAsia" w:eastAsiaTheme="minorEastAsia"/>
          <w:kern w:val="2"/>
          <w:sz w:val="24"/>
          <w:szCs w:val="22"/>
        </w:rPr>
        <w:t>内进行验收。</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cs="宋体" w:asciiTheme="minorEastAsia" w:hAnsiTheme="minorEastAsia"/>
          <w:sz w:val="24"/>
        </w:rPr>
        <w:t>设备验收在</w:t>
      </w:r>
      <w:r>
        <w:rPr>
          <w:rFonts w:hint="eastAsia" w:cs="宋体" w:asciiTheme="minorEastAsia" w:hAnsiTheme="minorEastAsia"/>
          <w:sz w:val="24"/>
          <w:lang w:val="en-US" w:eastAsia="zh-CN"/>
        </w:rPr>
        <w:t>甲方</w:t>
      </w:r>
      <w:r>
        <w:rPr>
          <w:rFonts w:cs="宋体" w:asciiTheme="minorEastAsia" w:hAnsiTheme="minorEastAsia"/>
          <w:sz w:val="24"/>
        </w:rPr>
        <w:t>和</w:t>
      </w:r>
      <w:r>
        <w:rPr>
          <w:rFonts w:hint="eastAsia" w:cs="宋体" w:asciiTheme="minorEastAsia" w:hAnsiTheme="minorEastAsia"/>
          <w:sz w:val="24"/>
          <w:lang w:val="en-US" w:eastAsia="zh-CN"/>
        </w:rPr>
        <w:t>乙方</w:t>
      </w:r>
      <w:r>
        <w:rPr>
          <w:rFonts w:cs="宋体" w:asciiTheme="minorEastAsia" w:hAnsiTheme="minorEastAsia"/>
          <w:sz w:val="24"/>
        </w:rPr>
        <w:t>双方共同参与下按国家有关的规定、规范进行</w:t>
      </w:r>
      <w:r>
        <w:rPr>
          <w:rFonts w:hint="eastAsia" w:cs="宋体" w:asciiTheme="minorEastAsia" w:hAnsiTheme="minorEastAsia"/>
          <w:sz w:val="24"/>
        </w:rPr>
        <w:t>；</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cs="宋体" w:asciiTheme="minorEastAsia" w:hAnsiTheme="minorEastAsia"/>
          <w:sz w:val="24"/>
        </w:rPr>
        <w:t>验收时如发现所交付的设备有短装、次品、损坏或其它不符合本合同规定之情形者，</w:t>
      </w:r>
      <w:r>
        <w:rPr>
          <w:rFonts w:hint="eastAsia" w:cs="宋体" w:asciiTheme="minorEastAsia" w:hAnsiTheme="minorEastAsia"/>
          <w:sz w:val="24"/>
          <w:lang w:val="en-US" w:eastAsia="zh-CN"/>
        </w:rPr>
        <w:t>甲方</w:t>
      </w:r>
      <w:r>
        <w:rPr>
          <w:rFonts w:cs="宋体" w:asciiTheme="minorEastAsia" w:hAnsiTheme="minorEastAsia"/>
          <w:sz w:val="24"/>
        </w:rPr>
        <w:t>应作出详尽的现场记录，或由</w:t>
      </w:r>
      <w:r>
        <w:rPr>
          <w:rFonts w:hint="eastAsia" w:cs="宋体" w:asciiTheme="minorEastAsia" w:hAnsiTheme="minorEastAsia"/>
          <w:sz w:val="24"/>
          <w:lang w:val="en-US" w:eastAsia="zh-CN"/>
        </w:rPr>
        <w:t>甲方</w:t>
      </w:r>
      <w:r>
        <w:rPr>
          <w:rFonts w:cs="宋体" w:asciiTheme="minorEastAsia" w:hAnsiTheme="minorEastAsia"/>
          <w:sz w:val="24"/>
        </w:rPr>
        <w:t>、</w:t>
      </w:r>
      <w:r>
        <w:rPr>
          <w:rFonts w:hint="eastAsia" w:cs="宋体" w:asciiTheme="minorEastAsia" w:hAnsiTheme="minorEastAsia"/>
          <w:sz w:val="24"/>
          <w:lang w:val="en-US" w:eastAsia="zh-CN"/>
        </w:rPr>
        <w:t>乙方</w:t>
      </w:r>
      <w:r>
        <w:rPr>
          <w:rFonts w:cs="宋体" w:asciiTheme="minorEastAsia" w:hAnsiTheme="minorEastAsia"/>
          <w:sz w:val="24"/>
        </w:rPr>
        <w:t>双方签署备忘录。此现场记录或备忘录可用作补充、缺失和更换损坏部件的有效证据。因此产生的有关费用由</w:t>
      </w:r>
      <w:r>
        <w:rPr>
          <w:rFonts w:hint="eastAsia" w:cs="宋体" w:asciiTheme="minorEastAsia" w:hAnsiTheme="minorEastAsia"/>
          <w:sz w:val="24"/>
          <w:lang w:val="en-US" w:eastAsia="zh-CN"/>
        </w:rPr>
        <w:t>乙方</w:t>
      </w:r>
      <w:r>
        <w:rPr>
          <w:rFonts w:cs="宋体" w:asciiTheme="minorEastAsia" w:hAnsiTheme="minorEastAsia"/>
          <w:sz w:val="24"/>
        </w:rPr>
        <w:t>承担</w:t>
      </w:r>
      <w:r>
        <w:rPr>
          <w:rFonts w:hint="eastAsia" w:cs="宋体" w:asciiTheme="minorEastAsia" w:hAnsiTheme="minorEastAsia"/>
          <w:sz w:val="24"/>
        </w:rPr>
        <w:t>；</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cs="宋体" w:asciiTheme="minorEastAsia" w:hAnsiTheme="minorEastAsia"/>
          <w:sz w:val="24"/>
        </w:rPr>
        <w:t>如果合同设备运输和安装过程中因事故造成货物短缺、损坏，</w:t>
      </w:r>
      <w:r>
        <w:rPr>
          <w:rFonts w:hint="eastAsia" w:cs="宋体" w:asciiTheme="minorEastAsia" w:hAnsiTheme="minorEastAsia"/>
          <w:sz w:val="24"/>
          <w:lang w:val="en-US" w:eastAsia="zh-CN"/>
        </w:rPr>
        <w:t>乙方</w:t>
      </w:r>
      <w:r>
        <w:rPr>
          <w:rFonts w:cs="宋体" w:asciiTheme="minorEastAsia" w:hAnsiTheme="minorEastAsia"/>
          <w:sz w:val="24"/>
        </w:rPr>
        <w:t>应及时安排补货、换货，以保证合同设备安装的成功完成。换货的相关费用由</w:t>
      </w:r>
      <w:r>
        <w:rPr>
          <w:rFonts w:hint="eastAsia" w:cs="宋体" w:asciiTheme="minorEastAsia" w:hAnsiTheme="minorEastAsia"/>
          <w:sz w:val="24"/>
          <w:lang w:val="en-US" w:eastAsia="zh-CN"/>
        </w:rPr>
        <w:t>乙方</w:t>
      </w:r>
      <w:r>
        <w:rPr>
          <w:rFonts w:cs="宋体" w:asciiTheme="minorEastAsia" w:hAnsiTheme="minorEastAsia"/>
          <w:sz w:val="24"/>
        </w:rPr>
        <w:t>承担</w:t>
      </w:r>
      <w:r>
        <w:rPr>
          <w:rFonts w:hint="eastAsia" w:cs="宋体" w:asciiTheme="minorEastAsia" w:hAnsiTheme="minorEastAsia"/>
          <w:sz w:val="24"/>
        </w:rPr>
        <w:t>；</w:t>
      </w:r>
    </w:p>
    <w:p>
      <w:pPr>
        <w:numPr>
          <w:ilvl w:val="0"/>
          <w:numId w:val="70"/>
        </w:numPr>
        <w:tabs>
          <w:tab w:val="left" w:pos="567"/>
        </w:tabs>
        <w:snapToGrid w:val="0"/>
        <w:spacing w:after="0" w:line="360" w:lineRule="auto"/>
        <w:ind w:left="567" w:hanging="283"/>
        <w:rPr>
          <w:rFonts w:cs="宋体" w:asciiTheme="minorEastAsia" w:hAnsiTheme="minorEastAsia"/>
          <w:sz w:val="24"/>
        </w:rPr>
      </w:pPr>
      <w:r>
        <w:rPr>
          <w:rFonts w:hint="eastAsia" w:cs="宋体" w:asciiTheme="minorEastAsia" w:hAnsiTheme="minorEastAsia"/>
          <w:sz w:val="24"/>
          <w:lang w:val="en-US" w:eastAsia="zh-CN"/>
        </w:rPr>
        <w:t>乙方</w:t>
      </w:r>
      <w:r>
        <w:rPr>
          <w:rFonts w:cs="宋体" w:asciiTheme="minorEastAsia" w:hAnsiTheme="minorEastAsia"/>
          <w:sz w:val="24"/>
        </w:rPr>
        <w:t>保证合同项下提供的设备不侵犯任何第三方的专利、商标或版权。否则，</w:t>
      </w:r>
      <w:r>
        <w:rPr>
          <w:rFonts w:hint="eastAsia" w:cs="宋体" w:asciiTheme="minorEastAsia" w:hAnsiTheme="minorEastAsia"/>
          <w:sz w:val="24"/>
          <w:lang w:val="en-US" w:eastAsia="zh-CN"/>
        </w:rPr>
        <w:t>乙方</w:t>
      </w:r>
      <w:r>
        <w:rPr>
          <w:rFonts w:cs="宋体" w:asciiTheme="minorEastAsia" w:hAnsiTheme="minorEastAsia"/>
          <w:sz w:val="24"/>
        </w:rPr>
        <w:t>须承担 对第三方的专利或版权的侵权责任并承担因此而发生的所有费用。</w:t>
      </w:r>
    </w:p>
    <w:p>
      <w:pPr>
        <w:numPr>
          <w:ilvl w:val="0"/>
          <w:numId w:val="64"/>
        </w:numPr>
        <w:tabs>
          <w:tab w:val="left" w:pos="426"/>
          <w:tab w:val="left" w:pos="567"/>
          <w:tab w:val="clear" w:pos="960"/>
        </w:tabs>
        <w:snapToGrid w:val="0"/>
        <w:spacing w:after="0" w:line="360" w:lineRule="auto"/>
        <w:ind w:left="0" w:firstLine="0"/>
        <w:outlineLvl w:val="3"/>
        <w:rPr>
          <w:rFonts w:hint="eastAsia" w:ascii="宋体" w:hAnsi="宋体" w:cs="宋体"/>
          <w:b/>
          <w:sz w:val="24"/>
        </w:rPr>
      </w:pPr>
      <w:r>
        <w:rPr>
          <w:rFonts w:hint="eastAsia" w:ascii="宋体" w:hAnsi="宋体" w:cs="宋体"/>
          <w:b/>
          <w:sz w:val="24"/>
        </w:rPr>
        <w:t>交付验收标准依次序对照适用标准</w:t>
      </w:r>
    </w:p>
    <w:p>
      <w:pPr>
        <w:numPr>
          <w:ilvl w:val="0"/>
          <w:numId w:val="71"/>
        </w:numPr>
        <w:tabs>
          <w:tab w:val="clear" w:pos="425"/>
        </w:tabs>
        <w:autoSpaceDE w:val="0"/>
        <w:autoSpaceDN w:val="0"/>
        <w:snapToGrid w:val="0"/>
        <w:spacing w:after="0" w:line="360" w:lineRule="auto"/>
        <w:ind w:left="567" w:hanging="283"/>
        <w:rPr>
          <w:rFonts w:ascii="宋体" w:hAnsi="宋体"/>
          <w:sz w:val="24"/>
        </w:rPr>
      </w:pPr>
      <w:r>
        <w:rPr>
          <w:rFonts w:ascii="宋体" w:hAnsi="宋体"/>
          <w:sz w:val="24"/>
        </w:rPr>
        <w:t>符合中华人民共和国国家安全质量标准、环保标准或行业标准；</w:t>
      </w:r>
    </w:p>
    <w:p>
      <w:pPr>
        <w:numPr>
          <w:ilvl w:val="0"/>
          <w:numId w:val="71"/>
        </w:numPr>
        <w:tabs>
          <w:tab w:val="clear" w:pos="425"/>
        </w:tabs>
        <w:autoSpaceDE w:val="0"/>
        <w:autoSpaceDN w:val="0"/>
        <w:snapToGrid w:val="0"/>
        <w:spacing w:after="0" w:line="360" w:lineRule="auto"/>
        <w:ind w:left="567" w:hanging="283"/>
        <w:rPr>
          <w:rFonts w:ascii="宋体" w:hAnsi="宋体"/>
          <w:sz w:val="24"/>
        </w:rPr>
      </w:pPr>
      <w:r>
        <w:rPr>
          <w:rFonts w:ascii="宋体" w:hAnsi="宋体"/>
          <w:sz w:val="24"/>
        </w:rPr>
        <w:t>符合招标文件和响应承诺中</w:t>
      </w:r>
      <w:r>
        <w:rPr>
          <w:rFonts w:hint="eastAsia" w:ascii="宋体" w:hAnsi="宋体"/>
          <w:sz w:val="24"/>
          <w:lang w:val="en-US" w:eastAsia="zh-CN"/>
        </w:rPr>
        <w:t>甲方</w:t>
      </w:r>
      <w:r>
        <w:rPr>
          <w:rFonts w:ascii="宋体" w:hAnsi="宋体"/>
          <w:sz w:val="24"/>
        </w:rPr>
        <w:t>认可的合理最佳配置、参数及各项要求；</w:t>
      </w:r>
    </w:p>
    <w:p>
      <w:pPr>
        <w:widowControl/>
        <w:numPr>
          <w:ilvl w:val="0"/>
          <w:numId w:val="71"/>
        </w:numPr>
        <w:tabs>
          <w:tab w:val="clear" w:pos="425"/>
        </w:tabs>
        <w:autoSpaceDE w:val="0"/>
        <w:autoSpaceDN w:val="0"/>
        <w:adjustRightInd/>
        <w:snapToGrid w:val="0"/>
        <w:spacing w:after="0" w:line="360" w:lineRule="auto"/>
        <w:ind w:left="567" w:hanging="283"/>
        <w:jc w:val="left"/>
        <w:textAlignment w:val="auto"/>
        <w:outlineLvl w:val="9"/>
        <w:rPr>
          <w:rFonts w:hint="eastAsia"/>
        </w:rPr>
      </w:pPr>
      <w:r>
        <w:rPr>
          <w:rFonts w:ascii="宋体" w:hAnsi="宋体"/>
          <w:sz w:val="24"/>
        </w:rPr>
        <w:t>货物来源国官方标准。</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违约责任与赔偿损失</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乙方交付的货物、工程/提供的服务不符合招标文件、投标文件或本合同规定的，甲方有权拒收，并且乙方须向甲方支付本合同总价5%的违约金。</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乙方未能按本合同规定的交货时间交付货物的/提供服务，从逾期之日起每日按本合同总价</w:t>
      </w:r>
      <w:r>
        <w:rPr>
          <w:rFonts w:hint="eastAsia" w:ascii="宋体" w:hAnsi="宋体" w:cs="宋体"/>
          <w:sz w:val="24"/>
          <w:u w:val="single"/>
        </w:rPr>
        <w:t>3‰</w:t>
      </w:r>
      <w:r>
        <w:rPr>
          <w:rFonts w:hint="eastAsia" w:ascii="宋体" w:hAnsi="宋体" w:cs="宋体"/>
          <w:sz w:val="24"/>
        </w:rPr>
        <w:t>的数额向甲方支付违约金；逾期15天以上（含15天）的，甲方有权终止合同，要求乙方支付违约金，并且给甲方造成的经济损失由乙方承担赔偿责任。</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甲方无正当理由拒收货物/接受服务，到期拒付货物/服务款项的，甲方向乙方偿付本合同总价的5%的违约金。甲方逾期付款，则每日按本合同总价的</w:t>
      </w:r>
      <w:r>
        <w:rPr>
          <w:rFonts w:hint="eastAsia" w:ascii="宋体" w:hAnsi="宋体" w:cs="宋体"/>
          <w:sz w:val="24"/>
          <w:u w:val="single"/>
        </w:rPr>
        <w:t>3‰</w:t>
      </w:r>
      <w:r>
        <w:rPr>
          <w:rFonts w:hint="eastAsia" w:ascii="宋体" w:hAnsi="宋体" w:cs="宋体"/>
          <w:sz w:val="24"/>
        </w:rPr>
        <w:t>向乙方偿付违约金。</w:t>
      </w:r>
    </w:p>
    <w:p>
      <w:pPr>
        <w:numPr>
          <w:ilvl w:val="0"/>
          <w:numId w:val="72"/>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其它违约责任按《中华人民共和国民法典》处理。</w:t>
      </w:r>
    </w:p>
    <w:p>
      <w:pPr>
        <w:numPr>
          <w:ilvl w:val="0"/>
          <w:numId w:val="64"/>
        </w:numPr>
        <w:tabs>
          <w:tab w:val="left" w:pos="426"/>
          <w:tab w:val="left" w:pos="567"/>
          <w:tab w:val="left" w:pos="709"/>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争议的解决</w:t>
      </w:r>
    </w:p>
    <w:p>
      <w:pPr>
        <w:tabs>
          <w:tab w:val="left" w:pos="824"/>
        </w:tabs>
        <w:snapToGrid w:val="0"/>
        <w:spacing w:after="0" w:line="360" w:lineRule="auto"/>
        <w:ind w:left="404" w:leftChars="202"/>
        <w:rPr>
          <w:rFonts w:ascii="宋体" w:hAnsi="宋体" w:cs="宋体"/>
          <w:sz w:val="24"/>
        </w:rPr>
      </w:pPr>
      <w:r>
        <w:rPr>
          <w:rFonts w:hint="eastAsia" w:ascii="宋体" w:hAnsi="宋体" w:cs="宋体"/>
          <w:sz w:val="24"/>
        </w:rPr>
        <w:t>合同执行过程中发生的任何争议，如双方不能通过友好协商解决，甲、乙双方一致同意向甲方所在地人民法院提起诉讼。</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不可抗力</w:t>
      </w:r>
    </w:p>
    <w:p>
      <w:pPr>
        <w:tabs>
          <w:tab w:val="left" w:pos="824"/>
        </w:tabs>
        <w:snapToGrid w:val="0"/>
        <w:spacing w:after="0" w:line="360" w:lineRule="auto"/>
        <w:ind w:left="404" w:leftChars="202"/>
        <w:rPr>
          <w:rFonts w:ascii="宋体" w:hAnsi="宋体" w:cs="宋体"/>
          <w:sz w:val="24"/>
        </w:rPr>
      </w:pPr>
      <w:r>
        <w:rPr>
          <w:rFonts w:hint="eastAsia" w:ascii="宋体" w:hAnsi="宋体" w:cs="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税费</w:t>
      </w:r>
    </w:p>
    <w:p>
      <w:pPr>
        <w:snapToGrid w:val="0"/>
        <w:spacing w:after="0" w:line="360" w:lineRule="auto"/>
        <w:ind w:firstLine="480" w:firstLineChars="200"/>
        <w:rPr>
          <w:rFonts w:ascii="宋体" w:hAnsi="宋体" w:cs="宋体"/>
          <w:sz w:val="24"/>
        </w:rPr>
      </w:pPr>
      <w:r>
        <w:rPr>
          <w:rFonts w:hint="eastAsia" w:ascii="宋体" w:hAnsi="宋体" w:cs="宋体"/>
          <w:sz w:val="24"/>
        </w:rPr>
        <w:t>在中国境内、外发生的与本合同执行有关的一切税费均由乙方负担。</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其它</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本合同所有附件、招标文件、投标文件、中标通知书均为合同的有效组成部分，与本合同具有同等法律效力。</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在执行本合同的过程中，所有经双方签署确认的文件（包括会议纪要、补充协议、往来信函）即成为本合同的有效组成部分。</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 xml:space="preserve">如一方地址、电话、传真号码有变更，应在变更当日内书面通知对方，否则，应承担相应责任。 </w:t>
      </w:r>
    </w:p>
    <w:p>
      <w:pPr>
        <w:numPr>
          <w:ilvl w:val="0"/>
          <w:numId w:val="73"/>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除甲方事先书面同意外，乙方不得部分或全部转让其应履行的合同项下的义务。</w:t>
      </w:r>
    </w:p>
    <w:p>
      <w:pPr>
        <w:numPr>
          <w:ilvl w:val="0"/>
          <w:numId w:val="64"/>
        </w:numPr>
        <w:tabs>
          <w:tab w:val="left" w:pos="426"/>
          <w:tab w:val="left" w:pos="567"/>
          <w:tab w:val="clear" w:pos="960"/>
        </w:tabs>
        <w:snapToGrid w:val="0"/>
        <w:spacing w:after="0" w:line="360" w:lineRule="auto"/>
        <w:ind w:left="0" w:firstLine="0"/>
        <w:outlineLvl w:val="3"/>
        <w:rPr>
          <w:rFonts w:ascii="宋体" w:hAnsi="宋体" w:cs="宋体"/>
          <w:b/>
          <w:sz w:val="24"/>
        </w:rPr>
      </w:pPr>
      <w:r>
        <w:rPr>
          <w:rFonts w:hint="eastAsia" w:ascii="宋体" w:hAnsi="宋体" w:cs="宋体"/>
          <w:b/>
          <w:sz w:val="24"/>
        </w:rPr>
        <w:t>合同生效</w:t>
      </w:r>
    </w:p>
    <w:p>
      <w:pPr>
        <w:numPr>
          <w:ilvl w:val="0"/>
          <w:numId w:val="74"/>
        </w:numPr>
        <w:tabs>
          <w:tab w:val="left" w:pos="567"/>
        </w:tabs>
        <w:autoSpaceDE w:val="0"/>
        <w:autoSpaceDN w:val="0"/>
        <w:snapToGrid w:val="0"/>
        <w:spacing w:after="0" w:line="360" w:lineRule="auto"/>
        <w:rPr>
          <w:rFonts w:ascii="宋体" w:hAnsi="宋体" w:cs="宋体"/>
          <w:sz w:val="24"/>
        </w:rPr>
      </w:pPr>
      <w:r>
        <w:rPr>
          <w:rFonts w:hint="eastAsia" w:ascii="宋体" w:hAnsi="宋体" w:cs="宋体"/>
          <w:sz w:val="24"/>
        </w:rPr>
        <w:t>合同自甲乙双方法人代表或其授权代表签字盖章之日起生效。</w:t>
      </w:r>
    </w:p>
    <w:p>
      <w:pPr>
        <w:numPr>
          <w:ilvl w:val="0"/>
          <w:numId w:val="74"/>
        </w:numPr>
        <w:tabs>
          <w:tab w:val="left" w:pos="567"/>
          <w:tab w:val="clear" w:pos="425"/>
        </w:tabs>
        <w:autoSpaceDE w:val="0"/>
        <w:autoSpaceDN w:val="0"/>
        <w:snapToGrid w:val="0"/>
        <w:spacing w:after="0" w:line="360" w:lineRule="auto"/>
        <w:ind w:left="567" w:hanging="567"/>
        <w:rPr>
          <w:rFonts w:ascii="宋体" w:hAnsi="宋体" w:cs="宋体"/>
          <w:sz w:val="24"/>
        </w:rPr>
      </w:pPr>
      <w:r>
        <w:rPr>
          <w:rFonts w:hint="eastAsia" w:ascii="宋体" w:hAnsi="宋体" w:cs="宋体"/>
          <w:sz w:val="24"/>
        </w:rPr>
        <w:t>合同壹式</w:t>
      </w:r>
      <w:r>
        <w:rPr>
          <w:rFonts w:hint="eastAsia" w:ascii="宋体" w:hAnsi="宋体" w:cs="宋体"/>
          <w:sz w:val="24"/>
          <w:u w:val="single"/>
        </w:rPr>
        <w:t xml:space="preserve">   </w:t>
      </w:r>
      <w:r>
        <w:rPr>
          <w:rFonts w:hint="eastAsia" w:ascii="宋体" w:hAnsi="宋体" w:cs="宋体"/>
          <w:sz w:val="24"/>
        </w:rPr>
        <w:t>份，其中甲乙双方各执</w:t>
      </w:r>
      <w:r>
        <w:rPr>
          <w:rFonts w:hint="eastAsia" w:ascii="宋体" w:hAnsi="宋体" w:cs="宋体"/>
          <w:sz w:val="24"/>
          <w:u w:val="single"/>
        </w:rPr>
        <w:t xml:space="preserve">  </w:t>
      </w:r>
      <w:r>
        <w:rPr>
          <w:rFonts w:hint="eastAsia" w:ascii="宋体" w:hAnsi="宋体" w:cs="宋体"/>
          <w:sz w:val="24"/>
        </w:rPr>
        <w:t>份，采购代理机构执壹份。</w:t>
      </w:r>
    </w:p>
    <w:p>
      <w:pPr>
        <w:autoSpaceDE w:val="0"/>
        <w:autoSpaceDN w:val="0"/>
        <w:snapToGrid w:val="0"/>
        <w:spacing w:after="0" w:line="360" w:lineRule="auto"/>
        <w:rPr>
          <w:rFonts w:ascii="宋体" w:hAnsi="宋体" w:cs="宋体"/>
          <w:sz w:val="24"/>
        </w:rPr>
      </w:pPr>
    </w:p>
    <w:p>
      <w:pPr>
        <w:snapToGrid w:val="0"/>
        <w:spacing w:after="0" w:line="360" w:lineRule="auto"/>
        <w:rPr>
          <w:rFonts w:ascii="宋体" w:hAnsi="宋体" w:cs="宋体"/>
          <w:sz w:val="24"/>
        </w:rPr>
      </w:pPr>
      <w:r>
        <w:rPr>
          <w:rFonts w:hint="eastAsia" w:ascii="宋体" w:hAnsi="宋体" w:cs="宋体"/>
          <w:sz w:val="24"/>
        </w:rPr>
        <w:t>甲方（盖章）：                           乙方（盖章）：</w:t>
      </w:r>
    </w:p>
    <w:p>
      <w:pPr>
        <w:snapToGrid w:val="0"/>
        <w:spacing w:after="0" w:line="360" w:lineRule="auto"/>
        <w:rPr>
          <w:rFonts w:ascii="宋体" w:hAnsi="宋体" w:cs="宋体"/>
          <w:sz w:val="24"/>
        </w:rPr>
      </w:pPr>
      <w:r>
        <w:rPr>
          <w:rFonts w:hint="eastAsia" w:ascii="宋体" w:hAnsi="宋体" w:cs="宋体"/>
          <w:sz w:val="24"/>
        </w:rPr>
        <w:t xml:space="preserve">代表：                                  代表： </w:t>
      </w:r>
    </w:p>
    <w:p>
      <w:pPr>
        <w:snapToGrid w:val="0"/>
        <w:spacing w:after="0" w:line="360" w:lineRule="auto"/>
        <w:rPr>
          <w:rFonts w:ascii="宋体" w:hAnsi="宋体" w:cs="宋体"/>
          <w:sz w:val="24"/>
        </w:rPr>
      </w:pPr>
      <w:r>
        <w:rPr>
          <w:rFonts w:hint="eastAsia" w:ascii="宋体" w:hAnsi="宋体" w:cs="宋体"/>
          <w:sz w:val="24"/>
        </w:rPr>
        <w:t>签定地点：</w:t>
      </w:r>
    </w:p>
    <w:p>
      <w:pPr>
        <w:snapToGrid w:val="0"/>
        <w:spacing w:after="0" w:line="360" w:lineRule="auto"/>
        <w:rPr>
          <w:rFonts w:ascii="宋体" w:hAnsi="宋体" w:cs="宋体"/>
          <w:sz w:val="24"/>
        </w:rPr>
      </w:pPr>
      <w:r>
        <w:rPr>
          <w:rFonts w:hint="eastAsia" w:ascii="宋体" w:hAnsi="宋体" w:cs="宋体"/>
          <w:sz w:val="24"/>
        </w:rPr>
        <w:t xml:space="preserve">签定日期：        年     月    日       签定日期：        年     月     日    </w:t>
      </w:r>
    </w:p>
    <w:p>
      <w:pPr>
        <w:snapToGrid w:val="0"/>
        <w:spacing w:after="0" w:line="360" w:lineRule="auto"/>
        <w:ind w:firstLine="4800" w:firstLineChars="2000"/>
        <w:rPr>
          <w:rFonts w:ascii="宋体" w:hAnsi="宋体" w:cs="宋体"/>
          <w:sz w:val="24"/>
        </w:rPr>
      </w:pPr>
      <w:r>
        <w:rPr>
          <w:rFonts w:hint="eastAsia" w:ascii="宋体" w:hAnsi="宋体" w:cs="宋体"/>
          <w:sz w:val="24"/>
        </w:rPr>
        <w:t>开户名称：</w:t>
      </w:r>
    </w:p>
    <w:p>
      <w:pPr>
        <w:snapToGrid w:val="0"/>
        <w:spacing w:after="0" w:line="360" w:lineRule="auto"/>
        <w:ind w:firstLine="4800" w:firstLineChars="2000"/>
        <w:rPr>
          <w:rFonts w:ascii="宋体" w:hAnsi="宋体" w:cs="宋体"/>
          <w:sz w:val="24"/>
        </w:rPr>
      </w:pPr>
      <w:r>
        <w:rPr>
          <w:rFonts w:hint="eastAsia" w:ascii="宋体" w:hAnsi="宋体" w:cs="宋体"/>
          <w:sz w:val="24"/>
        </w:rPr>
        <w:t>银行账号：</w:t>
      </w:r>
    </w:p>
    <w:p>
      <w:pPr>
        <w:snapToGrid w:val="0"/>
        <w:spacing w:after="0" w:line="360" w:lineRule="auto"/>
        <w:ind w:firstLine="4800" w:firstLineChars="2000"/>
        <w:rPr>
          <w:rFonts w:ascii="宋体" w:hAnsi="宋体"/>
          <w:b/>
        </w:rPr>
      </w:pPr>
      <w:r>
        <w:rPr>
          <w:rFonts w:hint="eastAsia" w:ascii="宋体" w:hAnsi="宋体" w:cs="宋体"/>
          <w:sz w:val="24"/>
        </w:rPr>
        <w:t>开 户 行：</w:t>
      </w:r>
      <w:r>
        <w:rPr>
          <w:rFonts w:ascii="宋体" w:hAnsi="宋体"/>
          <w:b/>
        </w:rPr>
        <w:br w:type="page"/>
      </w:r>
    </w:p>
    <w:p>
      <w:pPr>
        <w:spacing w:before="156" w:beforeLines="50" w:after="0" w:line="360" w:lineRule="auto"/>
        <w:jc w:val="center"/>
        <w:outlineLvl w:val="0"/>
        <w:rPr>
          <w:b/>
          <w:bCs/>
          <w:sz w:val="32"/>
          <w:szCs w:val="32"/>
        </w:rPr>
      </w:pPr>
      <w:bookmarkStart w:id="27" w:name="_Toc153184842"/>
      <w:bookmarkStart w:id="28" w:name="_Toc29171"/>
      <w:r>
        <w:rPr>
          <w:rFonts w:hint="eastAsia"/>
          <w:b/>
          <w:bCs/>
          <w:sz w:val="32"/>
          <w:szCs w:val="32"/>
        </w:rPr>
        <w:t>第六章 投标文件格式</w:t>
      </w:r>
      <w:bookmarkEnd w:id="27"/>
      <w:bookmarkEnd w:id="28"/>
    </w:p>
    <w:p>
      <w:pPr>
        <w:tabs>
          <w:tab w:val="left" w:pos="426"/>
        </w:tabs>
        <w:autoSpaceDE w:val="0"/>
        <w:autoSpaceDN w:val="0"/>
        <w:spacing w:after="0" w:line="360" w:lineRule="auto"/>
        <w:ind w:left="505"/>
        <w:jc w:val="center"/>
        <w:outlineLvl w:val="3"/>
        <w:rPr>
          <w:rFonts w:ascii="黑体" w:hAnsi="黑体" w:eastAsia="黑体"/>
          <w:sz w:val="32"/>
          <w:szCs w:val="32"/>
        </w:rPr>
      </w:pPr>
      <w:r>
        <w:rPr>
          <w:rFonts w:hint="eastAsia" w:ascii="黑体" w:hAnsi="黑体" w:eastAsia="黑体"/>
          <w:sz w:val="32"/>
          <w:szCs w:val="32"/>
        </w:rPr>
        <w:t>投标文件包装封面参考</w:t>
      </w:r>
    </w:p>
    <w:tbl>
      <w:tblPr>
        <w:tblStyle w:val="38"/>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018" w:type="dxa"/>
          </w:tcPr>
          <w:p>
            <w:pPr>
              <w:pStyle w:val="16"/>
              <w:spacing w:after="0" w:line="360" w:lineRule="auto"/>
              <w:ind w:firstLine="482" w:firstLineChars="150"/>
              <w:rPr>
                <w:rFonts w:ascii="仿宋_GB2312" w:eastAsia="仿宋_GB2312"/>
                <w:b/>
                <w:sz w:val="32"/>
              </w:rPr>
            </w:pPr>
          </w:p>
          <w:p>
            <w:pPr>
              <w:pStyle w:val="16"/>
              <w:spacing w:after="0" w:line="360" w:lineRule="auto"/>
              <w:ind w:firstLine="482" w:firstLineChars="150"/>
              <w:rPr>
                <w:rFonts w:ascii="仿宋_GB2312" w:eastAsia="仿宋_GB2312"/>
                <w:b/>
                <w:sz w:val="32"/>
              </w:rPr>
            </w:pPr>
          </w:p>
          <w:p>
            <w:pPr>
              <w:pStyle w:val="16"/>
              <w:spacing w:after="0" w:line="360" w:lineRule="auto"/>
              <w:ind w:firstLine="482" w:firstLineChars="150"/>
              <w:rPr>
                <w:rFonts w:ascii="仿宋_GB2312" w:eastAsia="仿宋_GB2312"/>
                <w:b/>
                <w:sz w:val="32"/>
              </w:rPr>
            </w:pPr>
          </w:p>
          <w:p>
            <w:pPr>
              <w:pStyle w:val="16"/>
              <w:spacing w:after="0" w:line="360" w:lineRule="auto"/>
              <w:jc w:val="center"/>
              <w:rPr>
                <w:rFonts w:ascii="黑体" w:eastAsia="黑体"/>
                <w:b/>
                <w:sz w:val="72"/>
                <w:szCs w:val="72"/>
              </w:rPr>
            </w:pPr>
            <w:r>
              <w:rPr>
                <w:rFonts w:hint="eastAsia" w:ascii="黑体" w:eastAsia="黑体"/>
                <w:b/>
                <w:sz w:val="72"/>
                <w:szCs w:val="72"/>
              </w:rPr>
              <w:t>投 标 文 件</w:t>
            </w:r>
          </w:p>
          <w:p>
            <w:pPr>
              <w:pStyle w:val="16"/>
              <w:spacing w:after="0"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正本</w:t>
            </w:r>
          </w:p>
          <w:p>
            <w:pPr>
              <w:pStyle w:val="16"/>
              <w:spacing w:after="0"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副本</w:t>
            </w:r>
          </w:p>
          <w:p>
            <w:pPr>
              <w:pStyle w:val="16"/>
              <w:spacing w:after="0"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单独密封资料</w:t>
            </w:r>
          </w:p>
          <w:p>
            <w:pPr>
              <w:pStyle w:val="16"/>
              <w:spacing w:after="0" w:line="360" w:lineRule="auto"/>
              <w:ind w:firstLine="2091" w:firstLineChars="651"/>
              <w:rPr>
                <w:rFonts w:ascii="黑体" w:eastAsia="黑体"/>
                <w:b/>
                <w:sz w:val="32"/>
              </w:rPr>
            </w:pPr>
          </w:p>
          <w:p>
            <w:pPr>
              <w:pStyle w:val="16"/>
              <w:spacing w:after="0" w:line="360" w:lineRule="auto"/>
              <w:rPr>
                <w:rFonts w:ascii="仿宋_GB2312" w:eastAsia="仿宋_GB2312"/>
                <w:b/>
                <w:sz w:val="32"/>
              </w:rPr>
            </w:pP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项目编号：CLF0123GZ11QY48</w:t>
            </w: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项目名称：广东省英德监狱购买单警装备项目</w:t>
            </w: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投标人名称：</w:t>
            </w:r>
          </w:p>
          <w:p>
            <w:pPr>
              <w:pStyle w:val="16"/>
              <w:spacing w:after="0" w:line="400" w:lineRule="exact"/>
              <w:ind w:firstLine="896" w:firstLineChars="320"/>
              <w:rPr>
                <w:rFonts w:ascii="黑体" w:hAnsi="黑体" w:eastAsia="黑体"/>
                <w:sz w:val="28"/>
                <w:szCs w:val="28"/>
              </w:rPr>
            </w:pPr>
            <w:r>
              <w:rPr>
                <w:rFonts w:hint="eastAsia" w:ascii="黑体" w:hAnsi="黑体" w:eastAsia="黑体"/>
                <w:sz w:val="28"/>
                <w:szCs w:val="28"/>
              </w:rPr>
              <w:t>投标人地址：</w:t>
            </w:r>
          </w:p>
          <w:p>
            <w:pPr>
              <w:pStyle w:val="16"/>
              <w:spacing w:after="0" w:line="400" w:lineRule="exact"/>
              <w:ind w:firstLine="1028" w:firstLineChars="320"/>
              <w:rPr>
                <w:rFonts w:ascii="仿宋_GB2312" w:eastAsia="仿宋_GB2312"/>
                <w:b/>
                <w:sz w:val="32"/>
              </w:rPr>
            </w:pPr>
          </w:p>
        </w:tc>
      </w:tr>
    </w:tbl>
    <w:p>
      <w:pPr>
        <w:tabs>
          <w:tab w:val="left" w:pos="426"/>
        </w:tabs>
        <w:autoSpaceDE w:val="0"/>
        <w:autoSpaceDN w:val="0"/>
        <w:spacing w:after="0" w:line="360" w:lineRule="auto"/>
        <w:ind w:left="505"/>
        <w:jc w:val="center"/>
        <w:outlineLvl w:val="3"/>
        <w:rPr>
          <w:rFonts w:ascii="黑体" w:hAnsi="黑体" w:eastAsia="黑体"/>
          <w:sz w:val="32"/>
          <w:szCs w:val="32"/>
        </w:rPr>
      </w:pPr>
      <w:r>
        <w:rPr>
          <w:rFonts w:ascii="黑体"/>
          <w:bCs/>
          <w:sz w:val="28"/>
        </w:rPr>
        <w:br w:type="page"/>
      </w:r>
      <w:r>
        <w:rPr>
          <w:rFonts w:hint="eastAsia" w:ascii="黑体" w:hAnsi="黑体" w:eastAsia="黑体"/>
          <w:sz w:val="32"/>
          <w:szCs w:val="32"/>
        </w:rPr>
        <w:t>投标文件目录表</w:t>
      </w:r>
    </w:p>
    <w:p>
      <w:pPr>
        <w:pStyle w:val="85"/>
        <w:numPr>
          <w:ilvl w:val="0"/>
          <w:numId w:val="75"/>
        </w:numPr>
        <w:snapToGrid w:val="0"/>
        <w:spacing w:after="0" w:line="360" w:lineRule="auto"/>
        <w:ind w:firstLineChars="0"/>
        <w:rPr>
          <w:rFonts w:ascii="宋体" w:hAnsi="宋体"/>
          <w:b/>
          <w:sz w:val="24"/>
        </w:rPr>
      </w:pPr>
      <w:r>
        <w:rPr>
          <w:rFonts w:hint="eastAsia" w:ascii="宋体" w:hAnsi="宋体"/>
          <w:b/>
          <w:sz w:val="24"/>
        </w:rPr>
        <w:t>相关说明：</w:t>
      </w:r>
    </w:p>
    <w:p>
      <w:pPr>
        <w:pStyle w:val="85"/>
        <w:numPr>
          <w:ilvl w:val="0"/>
          <w:numId w:val="76"/>
        </w:numPr>
        <w:snapToGrid w:val="0"/>
        <w:spacing w:after="0" w:line="360" w:lineRule="auto"/>
        <w:ind w:firstLineChars="0"/>
        <w:rPr>
          <w:rFonts w:ascii="宋体" w:hAnsi="宋体"/>
          <w:sz w:val="24"/>
        </w:rPr>
      </w:pPr>
      <w:r>
        <w:rPr>
          <w:rFonts w:hint="eastAsia" w:ascii="宋体" w:hAnsi="宋体"/>
          <w:sz w:val="24"/>
        </w:rPr>
        <w:t>投标文件包括但不限于以下组成内容，请按顺序制作。</w:t>
      </w:r>
    </w:p>
    <w:p>
      <w:pPr>
        <w:pStyle w:val="85"/>
        <w:numPr>
          <w:ilvl w:val="0"/>
          <w:numId w:val="76"/>
        </w:numPr>
        <w:snapToGrid w:val="0"/>
        <w:spacing w:after="0" w:line="360" w:lineRule="auto"/>
        <w:ind w:firstLineChars="0"/>
        <w:rPr>
          <w:rFonts w:ascii="宋体" w:hAnsi="宋体"/>
          <w:sz w:val="24"/>
        </w:rPr>
      </w:pPr>
      <w:r>
        <w:rPr>
          <w:rFonts w:hint="eastAsia" w:ascii="宋体" w:hAnsi="宋体"/>
          <w:sz w:val="24"/>
        </w:rPr>
        <w:t>投标人编制投标文件中的项目编号为CLF0123GZ11QY48。</w:t>
      </w:r>
    </w:p>
    <w:p>
      <w:pPr>
        <w:pStyle w:val="85"/>
        <w:widowControl/>
        <w:numPr>
          <w:ilvl w:val="0"/>
          <w:numId w:val="76"/>
        </w:numPr>
        <w:spacing w:after="0" w:line="360" w:lineRule="auto"/>
        <w:ind w:firstLineChars="0"/>
        <w:jc w:val="left"/>
        <w:rPr>
          <w:rFonts w:ascii="宋体" w:hAnsi="宋体"/>
          <w:sz w:val="24"/>
        </w:rPr>
      </w:pPr>
      <w:r>
        <w:rPr>
          <w:rFonts w:hint="eastAsia" w:ascii="宋体" w:hAnsi="宋体"/>
          <w:sz w:val="24"/>
        </w:rPr>
        <w:t>投标人按照《资格性审查表》的评审内容的要求如实提供证明材料</w:t>
      </w:r>
      <w:r>
        <w:rPr>
          <w:rFonts w:hint="eastAsia" w:ascii="宋体" w:hAnsi="宋体"/>
          <w:bCs/>
          <w:sz w:val="24"/>
        </w:rPr>
        <w:t>并应加盖投标人公章</w:t>
      </w:r>
      <w:r>
        <w:rPr>
          <w:rFonts w:hint="eastAsia" w:ascii="宋体" w:hAnsi="宋体"/>
          <w:sz w:val="24"/>
        </w:rPr>
        <w:t>。</w:t>
      </w:r>
      <w:r>
        <w:rPr>
          <w:rFonts w:hint="eastAsia" w:ascii="宋体" w:cs="宋体"/>
          <w:sz w:val="24"/>
        </w:rPr>
        <w:t>未通过资格性审查的投标人，为无效投标，不进入符合性审查。</w:t>
      </w:r>
    </w:p>
    <w:p>
      <w:pPr>
        <w:pStyle w:val="85"/>
        <w:widowControl/>
        <w:numPr>
          <w:ilvl w:val="0"/>
          <w:numId w:val="76"/>
        </w:numPr>
        <w:spacing w:after="0" w:line="360" w:lineRule="auto"/>
        <w:ind w:firstLineChars="0"/>
        <w:jc w:val="left"/>
        <w:rPr>
          <w:rFonts w:ascii="宋体" w:cs="宋体"/>
          <w:strike/>
          <w:sz w:val="24"/>
        </w:rPr>
      </w:pPr>
      <w:r>
        <w:rPr>
          <w:rFonts w:hint="eastAsia" w:ascii="宋体" w:cs="宋体"/>
          <w:sz w:val="24"/>
        </w:rPr>
        <w:t>投标人按照《符合性审查表》的评审内容的要求如实提供证明材料</w:t>
      </w:r>
      <w:r>
        <w:rPr>
          <w:rFonts w:hint="eastAsia" w:ascii="宋体" w:hAnsi="宋体"/>
          <w:bCs/>
          <w:sz w:val="24"/>
        </w:rPr>
        <w:t>并应加盖投标人公章</w:t>
      </w:r>
      <w:r>
        <w:rPr>
          <w:rFonts w:hint="eastAsia" w:ascii="宋体" w:cs="宋体"/>
          <w:sz w:val="24"/>
        </w:rPr>
        <w:t>。未通过符合性审查的投标人，为无效投标，不进入详细评审。</w:t>
      </w:r>
    </w:p>
    <w:p>
      <w:pPr>
        <w:pStyle w:val="85"/>
        <w:numPr>
          <w:ilvl w:val="0"/>
          <w:numId w:val="76"/>
        </w:numPr>
        <w:tabs>
          <w:tab w:val="left" w:pos="6405"/>
        </w:tabs>
        <w:snapToGrid w:val="0"/>
        <w:spacing w:after="0" w:line="360" w:lineRule="auto"/>
        <w:ind w:firstLineChars="0"/>
        <w:rPr>
          <w:rFonts w:ascii="宋体" w:hAnsi="宋体"/>
          <w:sz w:val="24"/>
        </w:rPr>
      </w:pPr>
      <w:r>
        <w:rPr>
          <w:rFonts w:hint="eastAsia" w:ascii="宋体" w:hAnsi="宋体"/>
          <w:sz w:val="24"/>
        </w:rPr>
        <w:t>投标人根据第三章评标方法和标准的《综合评分表》要求提交相关各类证明材料，并</w:t>
      </w:r>
      <w:r>
        <w:rPr>
          <w:rFonts w:hint="eastAsia" w:ascii="宋体" w:hAnsi="宋体"/>
          <w:bCs/>
          <w:sz w:val="24"/>
        </w:rPr>
        <w:t>加盖投标人公章。</w:t>
      </w:r>
    </w:p>
    <w:p>
      <w:pPr>
        <w:widowControl/>
        <w:spacing w:after="0" w:line="360" w:lineRule="auto"/>
        <w:jc w:val="left"/>
        <w:rPr>
          <w:rFonts w:ascii="宋体" w:cs="宋体"/>
          <w:strike/>
          <w:sz w:val="24"/>
        </w:rPr>
      </w:pPr>
    </w:p>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价格评审自查表</w:t>
      </w:r>
    </w:p>
    <w:p>
      <w:pPr>
        <w:snapToGrid w:val="0"/>
        <w:spacing w:after="0" w:line="360" w:lineRule="auto"/>
        <w:rPr>
          <w:rFonts w:ascii="宋体" w:hAnsi="宋体"/>
          <w:sz w:val="24"/>
        </w:rPr>
      </w:pPr>
      <w:r>
        <w:rPr>
          <w:rFonts w:hint="eastAsia" w:ascii="宋体" w:hAnsi="宋体"/>
          <w:sz w:val="24"/>
        </w:rPr>
        <w:t>项目名称：广东省英德监狱购买单警装备项目</w:t>
      </w:r>
    </w:p>
    <w:p>
      <w:pPr>
        <w:snapToGrid w:val="0"/>
        <w:spacing w:after="0" w:line="360" w:lineRule="auto"/>
        <w:rPr>
          <w:rFonts w:ascii="宋体" w:hAnsi="宋体"/>
          <w:sz w:val="24"/>
        </w:rPr>
      </w:pPr>
      <w:r>
        <w:rPr>
          <w:rFonts w:hint="eastAsia" w:ascii="宋体" w:hAnsi="宋体"/>
          <w:sz w:val="24"/>
        </w:rPr>
        <w:t>项目编号：CLF0123GZ11QY48</w:t>
      </w:r>
    </w:p>
    <w:tbl>
      <w:tblPr>
        <w:tblStyle w:val="38"/>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5087"/>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33" w:type="dxa"/>
            <w:tcBorders>
              <w:top w:val="single" w:color="auto" w:sz="12" w:space="0"/>
              <w:left w:val="single" w:color="auto" w:sz="12" w:space="0"/>
              <w:bottom w:val="single" w:color="auto" w:sz="4" w:space="0"/>
              <w:right w:val="single" w:color="auto" w:sz="4" w:space="0"/>
            </w:tcBorders>
            <w:vAlign w:val="center"/>
          </w:tcPr>
          <w:p>
            <w:pPr>
              <w:snapToGrid w:val="0"/>
              <w:spacing w:after="0"/>
              <w:jc w:val="center"/>
              <w:rPr>
                <w:rFonts w:ascii="宋体" w:hAnsi="宋体"/>
                <w:b/>
                <w:sz w:val="24"/>
              </w:rPr>
            </w:pPr>
            <w:r>
              <w:rPr>
                <w:rFonts w:hint="eastAsia" w:ascii="宋体" w:hAnsi="宋体"/>
                <w:b/>
                <w:sz w:val="24"/>
              </w:rPr>
              <w:t>序号</w:t>
            </w:r>
          </w:p>
        </w:tc>
        <w:tc>
          <w:tcPr>
            <w:tcW w:w="5087" w:type="dxa"/>
            <w:tcBorders>
              <w:top w:val="single" w:color="auto" w:sz="12" w:space="0"/>
              <w:left w:val="single" w:color="auto" w:sz="4" w:space="0"/>
              <w:bottom w:val="single" w:color="auto" w:sz="4" w:space="0"/>
              <w:right w:val="single" w:color="auto" w:sz="4" w:space="0"/>
            </w:tcBorders>
            <w:vAlign w:val="center"/>
          </w:tcPr>
          <w:p>
            <w:pPr>
              <w:snapToGrid w:val="0"/>
              <w:spacing w:after="0"/>
              <w:jc w:val="center"/>
              <w:rPr>
                <w:rFonts w:ascii="宋体" w:hAnsi="宋体"/>
                <w:b/>
                <w:sz w:val="24"/>
              </w:rPr>
            </w:pPr>
            <w:r>
              <w:rPr>
                <w:rFonts w:hint="eastAsia" w:ascii="宋体" w:hAnsi="宋体"/>
                <w:b/>
                <w:sz w:val="24"/>
              </w:rPr>
              <w:t>评审分项</w:t>
            </w:r>
          </w:p>
        </w:tc>
        <w:tc>
          <w:tcPr>
            <w:tcW w:w="2625" w:type="dxa"/>
            <w:tcBorders>
              <w:top w:val="single" w:color="auto" w:sz="12" w:space="0"/>
              <w:left w:val="single" w:color="auto" w:sz="4" w:space="0"/>
              <w:bottom w:val="single" w:color="auto" w:sz="4" w:space="0"/>
              <w:right w:val="single" w:color="auto" w:sz="12" w:space="0"/>
            </w:tcBorders>
            <w:vAlign w:val="center"/>
          </w:tcPr>
          <w:p>
            <w:pPr>
              <w:snapToGrid w:val="0"/>
              <w:spacing w:after="0"/>
              <w:jc w:val="center"/>
              <w:rPr>
                <w:rFonts w:ascii="宋体" w:hAnsi="宋体"/>
                <w:b/>
                <w:sz w:val="24"/>
              </w:rPr>
            </w:pPr>
            <w:r>
              <w:rPr>
                <w:rFonts w:hint="eastAsia" w:ascii="宋体" w:hAnsi="宋体"/>
                <w:b/>
                <w:sz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33" w:type="dxa"/>
            <w:tcBorders>
              <w:top w:val="single" w:color="auto" w:sz="4" w:space="0"/>
              <w:left w:val="single" w:color="auto" w:sz="12" w:space="0"/>
              <w:bottom w:val="single" w:color="auto" w:sz="4" w:space="0"/>
              <w:right w:val="single" w:color="auto" w:sz="4" w:space="0"/>
            </w:tcBorders>
            <w:vAlign w:val="center"/>
          </w:tcPr>
          <w:p>
            <w:pPr>
              <w:numPr>
                <w:ilvl w:val="0"/>
                <w:numId w:val="78"/>
              </w:numPr>
              <w:snapToGrid w:val="0"/>
              <w:spacing w:after="0"/>
              <w:rPr>
                <w:rFonts w:ascii="宋体" w:hAnsi="宋体"/>
                <w:sz w:val="24"/>
              </w:rPr>
            </w:pPr>
          </w:p>
        </w:tc>
        <w:tc>
          <w:tcPr>
            <w:tcW w:w="5087"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宋体" w:hAnsi="宋体"/>
                <w:sz w:val="24"/>
              </w:rPr>
            </w:pPr>
            <w:r>
              <w:rPr>
                <w:rFonts w:hint="eastAsia" w:hAnsi="宋体" w:cs="Courier New"/>
                <w:sz w:val="24"/>
              </w:rPr>
              <w:t>开标一览表(报价表)</w:t>
            </w:r>
          </w:p>
        </w:tc>
        <w:tc>
          <w:tcPr>
            <w:tcW w:w="2625" w:type="dxa"/>
            <w:tcBorders>
              <w:top w:val="single" w:color="auto" w:sz="4" w:space="0"/>
              <w:left w:val="single" w:color="auto" w:sz="4" w:space="0"/>
              <w:bottom w:val="single" w:color="auto" w:sz="4" w:space="0"/>
              <w:right w:val="single" w:color="auto" w:sz="12" w:space="0"/>
            </w:tcBorders>
            <w:vAlign w:val="center"/>
          </w:tcPr>
          <w:p>
            <w:pPr>
              <w:snapToGrid w:val="0"/>
              <w:spacing w:after="0"/>
              <w:jc w:val="center"/>
              <w:rPr>
                <w:rFonts w:ascii="宋体" w:hAnsi="宋体"/>
                <w:sz w:val="24"/>
              </w:rPr>
            </w:pPr>
            <w:r>
              <w:rPr>
                <w:rFonts w:hint="eastAsia" w:asciiTheme="minorEastAsia" w:hAnsiTheme="minorEastAsia" w:eastAsiaTheme="minorEastAsia"/>
                <w:sz w:val="24"/>
              </w:rPr>
              <w:t>第（ ）页</w:t>
            </w:r>
          </w:p>
        </w:tc>
      </w:tr>
    </w:tbl>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资格性自查表</w:t>
      </w:r>
    </w:p>
    <w:tbl>
      <w:tblPr>
        <w:tblStyle w:val="38"/>
        <w:tblW w:w="96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1020"/>
        <w:gridCol w:w="4114"/>
        <w:gridCol w:w="1096"/>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49" w:hRule="atLeast"/>
        </w:trPr>
        <w:tc>
          <w:tcPr>
            <w:tcW w:w="1020" w:type="dxa"/>
          </w:tcPr>
          <w:p>
            <w:pPr>
              <w:snapToGrid w:val="0"/>
              <w:spacing w:after="0" w:line="264" w:lineRule="auto"/>
              <w:jc w:val="center"/>
              <w:rPr>
                <w:rStyle w:val="41"/>
                <w:rFonts w:asciiTheme="majorEastAsia" w:hAnsiTheme="majorEastAsia" w:eastAsiaTheme="majorEastAsia"/>
                <w:sz w:val="24"/>
              </w:rPr>
            </w:pPr>
            <w:r>
              <w:rPr>
                <w:rFonts w:hint="eastAsia" w:asciiTheme="majorEastAsia" w:hAnsiTheme="majorEastAsia" w:eastAsiaTheme="majorEastAsia"/>
                <w:b/>
                <w:sz w:val="24"/>
              </w:rPr>
              <w:t>序号</w:t>
            </w:r>
          </w:p>
        </w:tc>
        <w:tc>
          <w:tcPr>
            <w:tcW w:w="4114" w:type="dxa"/>
            <w:vAlign w:val="center"/>
          </w:tcPr>
          <w:p>
            <w:pPr>
              <w:snapToGrid w:val="0"/>
              <w:spacing w:after="0" w:line="264" w:lineRule="auto"/>
              <w:jc w:val="center"/>
              <w:rPr>
                <w:rFonts w:cs="宋体" w:asciiTheme="majorEastAsia" w:hAnsiTheme="majorEastAsia" w:eastAsiaTheme="majorEastAsia"/>
                <w:sz w:val="24"/>
              </w:rPr>
            </w:pPr>
            <w:r>
              <w:rPr>
                <w:rStyle w:val="41"/>
                <w:rFonts w:hint="eastAsia" w:asciiTheme="majorEastAsia" w:hAnsiTheme="majorEastAsia" w:eastAsiaTheme="majorEastAsia"/>
                <w:sz w:val="24"/>
              </w:rPr>
              <w:t>招标文件要求</w:t>
            </w:r>
          </w:p>
        </w:tc>
        <w:tc>
          <w:tcPr>
            <w:tcW w:w="1096" w:type="dxa"/>
            <w:vAlign w:val="center"/>
          </w:tcPr>
          <w:p>
            <w:pPr>
              <w:snapToGrid w:val="0"/>
              <w:spacing w:after="0" w:line="264" w:lineRule="auto"/>
              <w:jc w:val="center"/>
              <w:rPr>
                <w:rFonts w:cs="宋体" w:asciiTheme="majorEastAsia" w:hAnsiTheme="majorEastAsia" w:eastAsiaTheme="majorEastAsia"/>
                <w:sz w:val="24"/>
              </w:rPr>
            </w:pPr>
            <w:r>
              <w:rPr>
                <w:rStyle w:val="41"/>
                <w:rFonts w:hint="eastAsia" w:asciiTheme="majorEastAsia" w:hAnsiTheme="majorEastAsia" w:eastAsiaTheme="majorEastAsia"/>
                <w:sz w:val="24"/>
              </w:rPr>
              <w:t>自查结论</w:t>
            </w:r>
          </w:p>
        </w:tc>
        <w:tc>
          <w:tcPr>
            <w:tcW w:w="3420" w:type="dxa"/>
            <w:vAlign w:val="center"/>
          </w:tcPr>
          <w:p>
            <w:pPr>
              <w:snapToGrid w:val="0"/>
              <w:spacing w:after="0" w:line="264" w:lineRule="auto"/>
              <w:jc w:val="center"/>
              <w:rPr>
                <w:rFonts w:cs="宋体" w:asciiTheme="majorEastAsia" w:hAnsiTheme="majorEastAsia" w:eastAsiaTheme="majorEastAsia"/>
                <w:sz w:val="24"/>
              </w:rPr>
            </w:pPr>
            <w:r>
              <w:rPr>
                <w:rFonts w:hint="eastAsia" w:asciiTheme="majorEastAsia" w:hAnsiTheme="majorEastAsia" w:eastAsiaTheme="majorEastAsia"/>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49" w:hRule="atLeast"/>
        </w:trPr>
        <w:tc>
          <w:tcPr>
            <w:tcW w:w="1020" w:type="dxa"/>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(一)</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具备《中华人民共和国政府采购法》第二十二条规定的条件;</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1.</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2.</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提供2022年度财务状况报告或2023年以来任意1个月的财务状况报告复印件，或银行出具的资信证明材料复印件；</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45"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3.</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提供2023年以来任意1个月缴纳税收的凭据证明材料复印件；如依法免税的，应提供相关材料；</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45"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4.</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提供2023年以来任意1个月缴纳社会保障资金的凭据证明材料复印件；如依法不需要缴纳社会保障资金的，应提供相关材料；</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5.</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提供履行合同所必需的设备和专业技术能力的证明材料；（提供《投标人资格声明函》）；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6.</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提供参加采购活动前3年内在经营活动中没有重大违法记录的书面声明；（提供《投标人资格声明函》）。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7.</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法律、行政法规规定的其他条件。（提供《投标人资格声明函》）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（二）</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落实政府采购政策需满足的资格要求：</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1.</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本</w:t>
            </w:r>
            <w:r>
              <w:rPr>
                <w:rFonts w:hint="eastAsia" w:asciiTheme="minorEastAsia" w:hAnsiTheme="minorEastAsia" w:eastAsiaTheme="minorEastAsia"/>
                <w:bCs/>
                <w:sz w:val="24"/>
                <w:lang w:val="en-US" w:eastAsia="zh-CN"/>
              </w:rPr>
              <w:t>项目</w:t>
            </w:r>
            <w:r>
              <w:rPr>
                <w:rFonts w:hint="eastAsia" w:asciiTheme="minorEastAsia" w:hAnsiTheme="minorEastAsia" w:eastAsiaTheme="minorEastAsia"/>
                <w:bCs/>
                <w:sz w:val="24"/>
              </w:rPr>
              <w:t>专门面向中小企业采购,供应商提供货物的制造商应为中小微企业、监狱企业、残疾人福利性单位。（提供《中小企业声明函》或属于监狱企业的证明材料或《残疾人福利性单位声明函》）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1"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(三)</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本项目的特定资格要求：无</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(四)</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为采购项目提供整体设计、规范编制或者项目管理、监理、检测等服务的供应商，不得再参加该采购项目同一合同项下的其他采购活动。（提供《投标人资格声明函》）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(五)</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单位负责人为同一人或者存在直接控股、管理关系的不同供应商，不得参加同一合同项下的采购活动。（提供《投标人资格声明函》）</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18" w:hRule="atLeast"/>
        </w:trPr>
        <w:tc>
          <w:tcPr>
            <w:tcW w:w="1020" w:type="dxa"/>
            <w:vAlign w:val="center"/>
          </w:tcPr>
          <w:p>
            <w:pPr>
              <w:pStyle w:val="85"/>
              <w:snapToGrid w:val="0"/>
              <w:spacing w:after="0" w:line="264" w:lineRule="auto"/>
              <w:ind w:firstLine="0" w:firstLineChars="0"/>
              <w:rPr>
                <w:rFonts w:asciiTheme="majorEastAsia" w:hAnsiTheme="majorEastAsia" w:eastAsiaTheme="majorEastAsia"/>
                <w:bCs/>
                <w:sz w:val="24"/>
              </w:rPr>
            </w:pPr>
            <w:r>
              <w:rPr>
                <w:rFonts w:asciiTheme="majorEastAsia" w:hAnsiTheme="majorEastAsia" w:eastAsiaTheme="majorEastAsia"/>
                <w:bCs/>
                <w:sz w:val="24"/>
              </w:rPr>
              <w:t>(六)</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投标人未被列入“信用中国”网站(www.creditchina.gov.cn)以下任何记录名单之一：①失信被执行人；②重大税收违法失信主体；③政府采购严重违法失信行为。同时，不处于中国政府采购网(www.ccgp.gov.cn)“政府采购严重违法失信行为信息记录”中的禁止参加政府采购活动期间。（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③投标人为分公司或联合体有成员为分公司的，同时对该分公司所属总公司（总所）进行信用记录查询，该分公司所属总公司（总所）存在不良信用记录的，视同供应商（联合体）存在不良信用记录。）</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1、由采购人、采购代理机构于投标截止日在“信用中国”网站（www.creditchina.gov.cn）及中国政府采购网(www.ccgp.gov.cn)查询结果为准，如在上述网站查询结果均显示没有相关记录，视为不存在上述不良信用记录。</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2、采购代理机构同时对信用信息查询记录和证据截图或下载存档；</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3、投标人为分公司的，同时对该分公司所属总公司（总所）进行信用记录查询，该分公司所属总公司（总所）存在不良信用记录的，视同供应商存在不良信用记录。</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4、如相关失信记录已失效，投标人必须提供相关证明资料。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left="420" w:hanging="420" w:firstLineChars="0"/>
              <w:jc w:val="center"/>
              <w:rPr>
                <w:rFonts w:asciiTheme="majorEastAsia" w:hAnsiTheme="majorEastAsia" w:eastAsiaTheme="majorEastAsia"/>
                <w:bCs/>
                <w:sz w:val="24"/>
              </w:rPr>
            </w:pPr>
            <w:r>
              <w:rPr>
                <w:rFonts w:asciiTheme="majorEastAsia" w:hAnsiTheme="majorEastAsia" w:eastAsiaTheme="majorEastAsia"/>
                <w:bCs/>
                <w:sz w:val="24"/>
              </w:rPr>
              <w:t>(七)</w:t>
            </w:r>
          </w:p>
        </w:tc>
        <w:tc>
          <w:tcPr>
            <w:tcW w:w="4114" w:type="dxa"/>
            <w:vAlign w:val="center"/>
          </w:tcPr>
          <w:p>
            <w:pPr>
              <w:snapToGrid w:val="0"/>
              <w:spacing w:after="0" w:line="264" w:lineRule="auto"/>
              <w:jc w:val="left"/>
              <w:rPr>
                <w:rFonts w:asciiTheme="majorEastAsia" w:hAnsiTheme="majorEastAsia" w:eastAsiaTheme="majorEastAsia"/>
                <w:b/>
                <w:sz w:val="24"/>
              </w:rPr>
            </w:pPr>
            <w:r>
              <w:rPr>
                <w:rFonts w:hint="eastAsia" w:asciiTheme="minorEastAsia" w:hAnsiTheme="minorEastAsia" w:eastAsiaTheme="minorEastAsia"/>
                <w:bCs/>
                <w:sz w:val="24"/>
              </w:rPr>
              <w:t>成功购买本招标文件的供应商。</w:t>
            </w:r>
          </w:p>
        </w:tc>
        <w:tc>
          <w:tcPr>
            <w:tcW w:w="1096"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□通过</w:t>
            </w:r>
          </w:p>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□不通过</w:t>
            </w:r>
          </w:p>
        </w:tc>
        <w:tc>
          <w:tcPr>
            <w:tcW w:w="3420" w:type="dxa"/>
            <w:vAlign w:val="center"/>
          </w:tcPr>
          <w:p>
            <w:pPr>
              <w:snapToGrid w:val="0"/>
              <w:spacing w:after="0" w:line="264" w:lineRule="auto"/>
              <w:jc w:val="left"/>
              <w:rPr>
                <w:rFonts w:asciiTheme="minorEastAsia" w:hAnsiTheme="minorEastAsia" w:eastAsiaTheme="minorEastAsia"/>
                <w:bCs/>
                <w:sz w:val="24"/>
              </w:rPr>
            </w:pPr>
            <w:r>
              <w:rPr>
                <w:rFonts w:hint="eastAsia" w:asciiTheme="minorEastAsia" w:hAnsiTheme="minorEastAsia" w:eastAsiaTheme="minorEastAsia"/>
                <w:bCs/>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left="420" w:hanging="420" w:firstLineChars="0"/>
              <w:jc w:val="center"/>
              <w:rPr>
                <w:rFonts w:asciiTheme="majorEastAsia" w:hAnsiTheme="majorEastAsia" w:eastAsiaTheme="majorEastAsia"/>
                <w:bCs/>
                <w:sz w:val="24"/>
              </w:rPr>
            </w:pPr>
            <w:r>
              <w:rPr>
                <w:rFonts w:asciiTheme="majorEastAsia" w:hAnsiTheme="majorEastAsia" w:eastAsiaTheme="majorEastAsia"/>
                <w:bCs/>
                <w:sz w:val="24"/>
              </w:rPr>
              <w:t>(</w:t>
            </w:r>
            <w:r>
              <w:rPr>
                <w:rFonts w:hint="eastAsia" w:asciiTheme="majorEastAsia" w:hAnsiTheme="majorEastAsia" w:eastAsiaTheme="majorEastAsia"/>
                <w:bCs/>
                <w:sz w:val="24"/>
              </w:rPr>
              <w:t>八</w:t>
            </w:r>
            <w:r>
              <w:rPr>
                <w:rFonts w:asciiTheme="majorEastAsia" w:hAnsiTheme="majorEastAsia" w:eastAsiaTheme="majorEastAsia"/>
                <w:bCs/>
                <w:sz w:val="24"/>
              </w:rPr>
              <w:t xml:space="preserve">) </w:t>
            </w:r>
          </w:p>
        </w:tc>
        <w:tc>
          <w:tcPr>
            <w:tcW w:w="4114" w:type="dxa"/>
            <w:vAlign w:val="center"/>
          </w:tcPr>
          <w:p>
            <w:pPr>
              <w:snapToGrid w:val="0"/>
              <w:spacing w:after="0" w:line="264" w:lineRule="auto"/>
              <w:rPr>
                <w:rFonts w:asciiTheme="minorEastAsia" w:hAnsiTheme="minorEastAsia" w:eastAsiaTheme="minorEastAsia"/>
                <w:bCs/>
                <w:sz w:val="24"/>
              </w:rPr>
            </w:pPr>
            <w:r>
              <w:rPr>
                <w:rFonts w:hint="eastAsia" w:cs="宋体" w:asciiTheme="minorEastAsia" w:hAnsiTheme="minorEastAsia" w:eastAsiaTheme="minorEastAsia"/>
                <w:sz w:val="24"/>
              </w:rPr>
              <w:t>投标人资格声明函已提交并符合招标文件要求的；</w:t>
            </w:r>
          </w:p>
        </w:tc>
        <w:tc>
          <w:tcPr>
            <w:tcW w:w="1096" w:type="dxa"/>
            <w:vAlign w:val="center"/>
          </w:tcPr>
          <w:p>
            <w:pPr>
              <w:snapToGrid w:val="0"/>
              <w:spacing w:after="0"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snapToGrid w:val="0"/>
              <w:spacing w:after="0"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3420" w:type="dxa"/>
            <w:vAlign w:val="center"/>
          </w:tcPr>
          <w:p>
            <w:pPr>
              <w:snapToGrid w:val="0"/>
              <w:spacing w:after="0"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63" w:hRule="atLeast"/>
        </w:trPr>
        <w:tc>
          <w:tcPr>
            <w:tcW w:w="1020" w:type="dxa"/>
            <w:vAlign w:val="center"/>
          </w:tcPr>
          <w:p>
            <w:pPr>
              <w:pStyle w:val="85"/>
              <w:snapToGrid w:val="0"/>
              <w:spacing w:after="0" w:line="264" w:lineRule="auto"/>
              <w:ind w:left="420" w:hanging="420" w:firstLineChars="0"/>
              <w:jc w:val="center"/>
              <w:rPr>
                <w:rFonts w:asciiTheme="majorEastAsia" w:hAnsiTheme="majorEastAsia" w:eastAsiaTheme="majorEastAsia"/>
                <w:bCs/>
                <w:sz w:val="24"/>
              </w:rPr>
            </w:pPr>
            <w:r>
              <w:rPr>
                <w:rFonts w:asciiTheme="majorEastAsia" w:hAnsiTheme="majorEastAsia" w:eastAsiaTheme="majorEastAsia"/>
                <w:bCs/>
                <w:sz w:val="24"/>
              </w:rPr>
              <w:t>(</w:t>
            </w:r>
            <w:r>
              <w:rPr>
                <w:rFonts w:hint="eastAsia" w:asciiTheme="majorEastAsia" w:hAnsiTheme="majorEastAsia" w:eastAsiaTheme="majorEastAsia"/>
                <w:bCs/>
                <w:sz w:val="24"/>
              </w:rPr>
              <w:t>九</w:t>
            </w:r>
            <w:r>
              <w:rPr>
                <w:rFonts w:asciiTheme="majorEastAsia" w:hAnsiTheme="majorEastAsia" w:eastAsiaTheme="majorEastAsia"/>
                <w:bCs/>
                <w:sz w:val="24"/>
              </w:rPr>
              <w:t xml:space="preserve">) </w:t>
            </w:r>
          </w:p>
        </w:tc>
        <w:tc>
          <w:tcPr>
            <w:tcW w:w="4114" w:type="dxa"/>
            <w:vAlign w:val="center"/>
          </w:tcPr>
          <w:p>
            <w:pPr>
              <w:snapToGrid w:val="0"/>
              <w:spacing w:after="0" w:line="264" w:lineRule="auto"/>
              <w:rPr>
                <w:rFonts w:asciiTheme="majorEastAsia" w:hAnsiTheme="majorEastAsia" w:eastAsiaTheme="majorEastAsia"/>
                <w:sz w:val="24"/>
              </w:rPr>
            </w:pPr>
            <w:r>
              <w:rPr>
                <w:rFonts w:hint="eastAsia" w:cs="宋体" w:asciiTheme="majorEastAsia" w:hAnsiTheme="majorEastAsia" w:eastAsiaTheme="majorEastAsia"/>
                <w:sz w:val="24"/>
              </w:rPr>
              <w:t>投标供应商如果有名称变更的，应提供由行政主管部门出具的变更证明文件。</w:t>
            </w:r>
          </w:p>
        </w:tc>
        <w:tc>
          <w:tcPr>
            <w:tcW w:w="1096" w:type="dxa"/>
            <w:vAlign w:val="center"/>
          </w:tcPr>
          <w:p>
            <w:pPr>
              <w:snapToGrid w:val="0"/>
              <w:spacing w:after="0"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通过</w:t>
            </w:r>
          </w:p>
          <w:p>
            <w:pPr>
              <w:snapToGrid w:val="0"/>
              <w:spacing w:after="0"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p>
            <w:pPr>
              <w:snapToGrid w:val="0"/>
              <w:spacing w:after="0"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不适用</w:t>
            </w:r>
          </w:p>
        </w:tc>
        <w:tc>
          <w:tcPr>
            <w:tcW w:w="3420" w:type="dxa"/>
            <w:vAlign w:val="center"/>
          </w:tcPr>
          <w:p>
            <w:pPr>
              <w:snapToGrid w:val="0"/>
              <w:spacing w:after="0"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bl>
    <w:p>
      <w:pPr>
        <w:spacing w:after="0"/>
      </w:pPr>
    </w:p>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符合性自查表</w:t>
      </w:r>
    </w:p>
    <w:tbl>
      <w:tblPr>
        <w:tblStyle w:val="38"/>
        <w:tblW w:w="96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84"/>
        <w:gridCol w:w="5671"/>
        <w:gridCol w:w="1485"/>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81" w:hRule="atLeast"/>
        </w:trPr>
        <w:tc>
          <w:tcPr>
            <w:tcW w:w="884" w:type="dxa"/>
          </w:tcPr>
          <w:p>
            <w:pPr>
              <w:snapToGrid w:val="0"/>
              <w:spacing w:after="0" w:line="264" w:lineRule="auto"/>
              <w:jc w:val="center"/>
              <w:rPr>
                <w:rStyle w:val="41"/>
                <w:rFonts w:asciiTheme="minorEastAsia" w:hAnsiTheme="minorEastAsia" w:eastAsiaTheme="minorEastAsia"/>
                <w:sz w:val="24"/>
              </w:rPr>
            </w:pPr>
            <w:r>
              <w:rPr>
                <w:rFonts w:hint="eastAsia" w:asciiTheme="minorEastAsia" w:hAnsiTheme="minorEastAsia" w:eastAsiaTheme="minorEastAsia"/>
                <w:b/>
                <w:sz w:val="24"/>
              </w:rPr>
              <w:t>序号</w:t>
            </w:r>
          </w:p>
        </w:tc>
        <w:tc>
          <w:tcPr>
            <w:tcW w:w="5671" w:type="dxa"/>
            <w:vAlign w:val="center"/>
          </w:tcPr>
          <w:p>
            <w:pPr>
              <w:snapToGrid w:val="0"/>
              <w:spacing w:after="0" w:line="264" w:lineRule="auto"/>
              <w:jc w:val="center"/>
              <w:rPr>
                <w:rFonts w:cs="宋体" w:asciiTheme="minorEastAsia" w:hAnsiTheme="minorEastAsia" w:eastAsiaTheme="minorEastAsia"/>
                <w:sz w:val="24"/>
              </w:rPr>
            </w:pPr>
            <w:r>
              <w:rPr>
                <w:rStyle w:val="41"/>
                <w:rFonts w:hint="eastAsia" w:asciiTheme="minorEastAsia" w:hAnsiTheme="minorEastAsia" w:eastAsiaTheme="minorEastAsia"/>
                <w:sz w:val="24"/>
              </w:rPr>
              <w:t>招标文件要求</w:t>
            </w:r>
          </w:p>
        </w:tc>
        <w:tc>
          <w:tcPr>
            <w:tcW w:w="1485" w:type="dxa"/>
            <w:vAlign w:val="center"/>
          </w:tcPr>
          <w:p>
            <w:pPr>
              <w:snapToGrid w:val="0"/>
              <w:spacing w:after="0" w:line="264" w:lineRule="auto"/>
              <w:jc w:val="center"/>
              <w:rPr>
                <w:rFonts w:cs="宋体" w:asciiTheme="minorEastAsia" w:hAnsiTheme="minorEastAsia" w:eastAsiaTheme="minorEastAsia"/>
                <w:sz w:val="24"/>
              </w:rPr>
            </w:pPr>
            <w:r>
              <w:rPr>
                <w:rStyle w:val="41"/>
                <w:rFonts w:hint="eastAsia" w:asciiTheme="minorEastAsia" w:hAnsiTheme="minorEastAsia" w:eastAsiaTheme="minorEastAsia"/>
                <w:sz w:val="24"/>
              </w:rPr>
              <w:t>自查结论</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81"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napToGrid w:val="0"/>
              <w:spacing w:after="0" w:line="264" w:lineRule="auto"/>
              <w:jc w:val="left"/>
              <w:rPr>
                <w:rStyle w:val="41"/>
                <w:rFonts w:asciiTheme="minorEastAsia" w:hAnsiTheme="minorEastAsia" w:eastAsiaTheme="minorEastAsia"/>
                <w:sz w:val="24"/>
              </w:rPr>
            </w:pPr>
            <w:r>
              <w:rPr>
                <w:rFonts w:hint="eastAsia" w:cs="宋体" w:asciiTheme="minorEastAsia" w:hAnsiTheme="minorEastAsia" w:eastAsiaTheme="minorEastAsia"/>
                <w:sz w:val="24"/>
              </w:rPr>
              <w:t>按照招标文件规定要求签署、盖章且投标文件有法定代表人签字或盖个人名章（或签字人有法定代表人有效授权书）的；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40" w:hRule="atLeast"/>
        </w:trPr>
        <w:tc>
          <w:tcPr>
            <w:tcW w:w="884" w:type="dxa"/>
            <w:vAlign w:val="center"/>
          </w:tcPr>
          <w:p>
            <w:pPr>
              <w:snapToGrid w:val="0"/>
              <w:spacing w:after="0" w:line="264"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5671" w:type="dxa"/>
            <w:vAlign w:val="center"/>
          </w:tcPr>
          <w:p>
            <w:pPr>
              <w:snapToGrid w:val="0"/>
              <w:spacing w:after="0" w:line="264" w:lineRule="auto"/>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法定代表人授权委托书；</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59" w:hRule="atLeast"/>
        </w:trPr>
        <w:tc>
          <w:tcPr>
            <w:tcW w:w="884" w:type="dxa"/>
            <w:vAlign w:val="center"/>
          </w:tcPr>
          <w:p>
            <w:pPr>
              <w:snapToGrid w:val="0"/>
              <w:spacing w:after="0" w:line="264"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5671" w:type="dxa"/>
            <w:vAlign w:val="center"/>
          </w:tcPr>
          <w:p>
            <w:pPr>
              <w:snapToGrid w:val="0"/>
              <w:spacing w:after="0" w:line="264"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法定代表人证明书；</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napToGrid w:val="0"/>
              <w:spacing w:after="0" w:line="264"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投标函已提交并符合招标文件要求的</w:t>
            </w:r>
            <w:r>
              <w:rPr>
                <w:rFonts w:hint="eastAsia" w:ascii="宋体" w:hAnsi="宋体" w:cs="宋体"/>
                <w:sz w:val="24"/>
              </w:rPr>
              <w:t>，且</w:t>
            </w:r>
            <w:r>
              <w:rPr>
                <w:rFonts w:hint="eastAsia" w:ascii="宋体" w:hAnsi="宋体"/>
                <w:sz w:val="24"/>
              </w:rPr>
              <w:t>投标有效期不少于招标文件中载明的投标有效期；</w:t>
            </w:r>
          </w:p>
        </w:tc>
        <w:tc>
          <w:tcPr>
            <w:tcW w:w="1485" w:type="dxa"/>
            <w:vAlign w:val="center"/>
          </w:tcPr>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 xml:space="preserve">□通过 </w:t>
            </w:r>
          </w:p>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tabs>
                <w:tab w:val="left" w:pos="612"/>
              </w:tabs>
              <w:spacing w:after="0"/>
              <w:rPr>
                <w:rFonts w:cs="宋体" w:asciiTheme="minorEastAsia" w:hAnsiTheme="minorEastAsia" w:eastAsiaTheme="minorEastAsia"/>
                <w:sz w:val="24"/>
              </w:rPr>
            </w:pPr>
            <w:r>
              <w:rPr>
                <w:rFonts w:hint="eastAsia" w:ascii="宋体" w:hAnsi="宋体" w:cs="宋体"/>
                <w:sz w:val="24"/>
              </w:rPr>
              <w:t>投标报价按照招标文件要求进行报价，没有删除品种、缺项、漏项（数量不符合将被视为漏项）的；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 xml:space="preserve">□通过 </w:t>
            </w:r>
          </w:p>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1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单价投标报价均未超过对应采购</w:t>
            </w:r>
            <w:r>
              <w:rPr>
                <w:rFonts w:hint="eastAsia" w:cs="宋体" w:asciiTheme="minorEastAsia" w:hAnsiTheme="minorEastAsia" w:eastAsiaTheme="minorEastAsia"/>
                <w:sz w:val="24"/>
                <w:lang w:val="en-US" w:eastAsia="zh-CN"/>
              </w:rPr>
              <w:t>标的</w:t>
            </w:r>
            <w:r>
              <w:rPr>
                <w:rFonts w:hint="eastAsia" w:cs="宋体" w:asciiTheme="minorEastAsia" w:hAnsiTheme="minorEastAsia" w:eastAsiaTheme="minorEastAsia"/>
                <w:sz w:val="24"/>
              </w:rPr>
              <w:t>最高单价限价的；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73"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ind w:left="1"/>
              <w:rPr>
                <w:rFonts w:cs="宋体" w:asciiTheme="minorEastAsia" w:hAnsiTheme="minorEastAsia" w:eastAsiaTheme="minorEastAsia"/>
                <w:sz w:val="24"/>
              </w:rPr>
            </w:pPr>
            <w:r>
              <w:rPr>
                <w:rFonts w:hint="eastAsia" w:ascii="宋体" w:hAnsi="宋体" w:cs="宋体"/>
                <w:sz w:val="24"/>
              </w:rPr>
              <w:t>投标文件未出现选择性报价或有附加条件报价的情形；</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10"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rPr>
                <w:rFonts w:ascii="宋体"/>
                <w:b/>
                <w:bCs/>
                <w:i/>
                <w:sz w:val="24"/>
                <w:shd w:val="pct10" w:color="auto" w:fill="FFFFFF"/>
              </w:rPr>
            </w:pPr>
            <w:r>
              <w:rPr>
                <w:rFonts w:hint="eastAsia" w:ascii="宋体" w:hAnsi="宋体" w:cs="宋体"/>
                <w:sz w:val="24"/>
              </w:rPr>
              <w:t>投标文件没有招标文件中规定的其它无效投标条款的；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8" w:hRule="atLeast"/>
        </w:trPr>
        <w:tc>
          <w:tcPr>
            <w:tcW w:w="884" w:type="dxa"/>
          </w:tcPr>
          <w:p>
            <w:pPr>
              <w:pStyle w:val="85"/>
              <w:numPr>
                <w:ilvl w:val="0"/>
                <w:numId w:val="79"/>
              </w:numPr>
              <w:snapToGrid w:val="0"/>
              <w:spacing w:after="0" w:line="264" w:lineRule="auto"/>
              <w:ind w:firstLineChars="0"/>
              <w:rPr>
                <w:rFonts w:cs="宋体" w:asciiTheme="minorEastAsia" w:hAnsiTheme="minorEastAsia" w:eastAsiaTheme="minorEastAsia"/>
                <w:sz w:val="24"/>
              </w:rPr>
            </w:pPr>
          </w:p>
        </w:tc>
        <w:tc>
          <w:tcPr>
            <w:tcW w:w="5671" w:type="dxa"/>
            <w:vAlign w:val="center"/>
          </w:tcPr>
          <w:p>
            <w:pPr>
              <w:spacing w:after="0"/>
              <w:rPr>
                <w:rFonts w:cs="宋体" w:asciiTheme="minorEastAsia" w:hAnsiTheme="minorEastAsia" w:eastAsiaTheme="minorEastAsia"/>
                <w:sz w:val="24"/>
              </w:rPr>
            </w:pPr>
            <w:r>
              <w:rPr>
                <w:rFonts w:hint="eastAsia" w:ascii="宋体" w:hAnsi="宋体" w:cs="宋体"/>
                <w:sz w:val="24"/>
              </w:rPr>
              <w:t>按有关法律、法规、规章不属于投标无效的。</w:t>
            </w:r>
          </w:p>
        </w:tc>
        <w:tc>
          <w:tcPr>
            <w:tcW w:w="1485" w:type="dxa"/>
            <w:vAlign w:val="center"/>
          </w:tcPr>
          <w:p>
            <w:pPr>
              <w:snapToGrid w:val="0"/>
              <w:spacing w:after="0"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snapToGrid w:val="0"/>
              <w:spacing w:after="0"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610" w:type="dxa"/>
            <w:vAlign w:val="center"/>
          </w:tcPr>
          <w:p>
            <w:pPr>
              <w:snapToGrid w:val="0"/>
              <w:spacing w:after="0"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w:t>
            </w:r>
          </w:p>
        </w:tc>
      </w:tr>
    </w:tbl>
    <w:p>
      <w:pPr>
        <w:pStyle w:val="85"/>
        <w:numPr>
          <w:ilvl w:val="0"/>
          <w:numId w:val="77"/>
        </w:numPr>
        <w:snapToGrid w:val="0"/>
        <w:spacing w:after="0" w:line="360" w:lineRule="auto"/>
        <w:ind w:firstLineChars="0"/>
        <w:jc w:val="center"/>
        <w:rPr>
          <w:rFonts w:ascii="宋体" w:hAnsi="宋体"/>
          <w:b/>
          <w:sz w:val="30"/>
          <w:szCs w:val="30"/>
        </w:rPr>
      </w:pPr>
      <w:r>
        <w:rPr>
          <w:rFonts w:hint="eastAsia" w:ascii="宋体" w:hAnsi="宋体"/>
          <w:b/>
          <w:sz w:val="30"/>
          <w:szCs w:val="30"/>
        </w:rPr>
        <w:t>技术、商务评审自查表</w:t>
      </w:r>
    </w:p>
    <w:tbl>
      <w:tblPr>
        <w:tblStyle w:val="38"/>
        <w:tblW w:w="93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3063"/>
        <w:gridCol w:w="2380"/>
        <w:gridCol w:w="3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snapToGrid w:val="0"/>
              <w:spacing w:after="0" w:line="264" w:lineRule="auto"/>
              <w:jc w:val="center"/>
              <w:rPr>
                <w:rFonts w:ascii="宋体" w:hAnsi="宋体"/>
                <w:b/>
                <w:sz w:val="24"/>
              </w:rPr>
            </w:pPr>
            <w:r>
              <w:rPr>
                <w:rFonts w:hint="eastAsia" w:ascii="宋体" w:hAnsi="宋体"/>
                <w:b/>
                <w:sz w:val="24"/>
              </w:rPr>
              <w:t>序号</w:t>
            </w:r>
          </w:p>
        </w:tc>
        <w:tc>
          <w:tcPr>
            <w:tcW w:w="3063" w:type="dxa"/>
            <w:vAlign w:val="center"/>
          </w:tcPr>
          <w:p>
            <w:pPr>
              <w:snapToGrid w:val="0"/>
              <w:spacing w:after="0" w:line="264" w:lineRule="auto"/>
              <w:jc w:val="center"/>
              <w:rPr>
                <w:rFonts w:ascii="宋体" w:hAnsi="宋体"/>
                <w:b/>
                <w:sz w:val="24"/>
              </w:rPr>
            </w:pPr>
            <w:r>
              <w:rPr>
                <w:rFonts w:hint="eastAsia" w:ascii="宋体" w:hAnsi="宋体" w:cs="宋体"/>
                <w:b/>
                <w:sz w:val="24"/>
              </w:rPr>
              <w:t>评审因素</w:t>
            </w:r>
          </w:p>
        </w:tc>
        <w:tc>
          <w:tcPr>
            <w:tcW w:w="2380" w:type="dxa"/>
            <w:vAlign w:val="center"/>
          </w:tcPr>
          <w:p>
            <w:pPr>
              <w:snapToGrid w:val="0"/>
              <w:spacing w:after="0" w:line="264" w:lineRule="auto"/>
              <w:jc w:val="center"/>
              <w:rPr>
                <w:rFonts w:ascii="宋体" w:hAnsi="宋体"/>
                <w:b/>
                <w:sz w:val="24"/>
              </w:rPr>
            </w:pPr>
            <w:r>
              <w:rPr>
                <w:rFonts w:hint="eastAsia" w:ascii="宋体" w:hAnsi="宋体"/>
                <w:b/>
                <w:sz w:val="24"/>
              </w:rPr>
              <w:t>提交内容</w:t>
            </w:r>
          </w:p>
        </w:tc>
        <w:tc>
          <w:tcPr>
            <w:tcW w:w="3131" w:type="dxa"/>
            <w:vAlign w:val="center"/>
          </w:tcPr>
          <w:p>
            <w:pPr>
              <w:snapToGrid w:val="0"/>
              <w:spacing w:after="0" w:line="264" w:lineRule="auto"/>
              <w:jc w:val="center"/>
              <w:rPr>
                <w:rFonts w:ascii="宋体" w:hAnsi="宋体"/>
                <w:b/>
                <w:sz w:val="24"/>
              </w:rPr>
            </w:pPr>
            <w:r>
              <w:rPr>
                <w:rFonts w:hint="eastAsia" w:ascii="宋体" w:hAnsi="宋体"/>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ascii="宋体" w:hAnsi="宋体" w:cs="宋体"/>
                <w:sz w:val="24"/>
              </w:rPr>
            </w:pPr>
            <w:r>
              <w:rPr>
                <w:rFonts w:hint="eastAsia" w:ascii="宋体" w:hAnsi="宋体" w:cs="宋体"/>
                <w:sz w:val="24"/>
              </w:rPr>
              <w:t>重要技术参数的响应情况</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hAnsi="宋体"/>
                <w:bCs/>
                <w:sz w:val="24"/>
              </w:rPr>
            </w:pPr>
            <w:r>
              <w:rPr>
                <w:rFonts w:hint="eastAsia" w:ascii="宋体" w:hAnsi="宋体" w:cs="宋体"/>
                <w:sz w:val="24"/>
              </w:rPr>
              <w:t>一般技术参数的响应情况</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hAnsi="宋体"/>
                <w:bCs/>
                <w:sz w:val="24"/>
              </w:rPr>
            </w:pPr>
            <w:r>
              <w:rPr>
                <w:rFonts w:hint="eastAsia" w:ascii="宋体" w:hAnsi="宋体" w:cs="宋体"/>
                <w:bCs/>
                <w:sz w:val="24"/>
              </w:rPr>
              <w:t>项目实施方案</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hAnsi="宋体"/>
                <w:bCs/>
                <w:sz w:val="24"/>
              </w:rPr>
            </w:pPr>
            <w:r>
              <w:rPr>
                <w:rFonts w:hint="eastAsia" w:ascii="宋体" w:hAnsi="宋体" w:cs="宋体"/>
                <w:sz w:val="24"/>
              </w:rPr>
              <w:t>质保期承诺</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ascii="宋体" w:hAnsi="宋体"/>
                <w:sz w:val="24"/>
              </w:rPr>
            </w:pPr>
            <w:r>
              <w:rPr>
                <w:rFonts w:hint="eastAsia" w:cs="宋体" w:asciiTheme="minorEastAsia" w:hAnsiTheme="minorEastAsia" w:eastAsiaTheme="minorEastAsia"/>
                <w:sz w:val="24"/>
              </w:rPr>
              <w:t>202</w:t>
            </w:r>
            <w:r>
              <w:rPr>
                <w:rFonts w:cs="宋体" w:asciiTheme="minorEastAsia" w:hAnsiTheme="minorEastAsia" w:eastAsiaTheme="minorEastAsia"/>
                <w:sz w:val="24"/>
              </w:rPr>
              <w:t>1</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1月1日</w:t>
            </w:r>
            <w:r>
              <w:rPr>
                <w:rFonts w:hint="eastAsia" w:cs="宋体" w:asciiTheme="minorEastAsia" w:hAnsiTheme="minorEastAsia" w:eastAsiaTheme="minorEastAsia"/>
                <w:sz w:val="24"/>
              </w:rPr>
              <w:t>至今同类业绩经验</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0"/>
              </w:numPr>
              <w:snapToGrid w:val="0"/>
              <w:spacing w:after="0" w:line="264" w:lineRule="auto"/>
              <w:rPr>
                <w:rFonts w:ascii="宋体" w:hAnsi="宋体"/>
                <w:sz w:val="24"/>
              </w:rPr>
            </w:pPr>
          </w:p>
        </w:tc>
        <w:tc>
          <w:tcPr>
            <w:tcW w:w="3063" w:type="dxa"/>
            <w:vAlign w:val="center"/>
          </w:tcPr>
          <w:p>
            <w:pPr>
              <w:snapToGrid w:val="0"/>
              <w:spacing w:after="0" w:line="264" w:lineRule="auto"/>
              <w:jc w:val="left"/>
              <w:rPr>
                <w:rFonts w:ascii="宋体" w:hAnsi="宋体"/>
                <w:sz w:val="24"/>
              </w:rPr>
            </w:pPr>
            <w:r>
              <w:rPr>
                <w:rFonts w:hint="eastAsia" w:ascii="宋体" w:hAnsi="宋体" w:cs="宋体"/>
                <w:kern w:val="2"/>
                <w:sz w:val="24"/>
              </w:rPr>
              <w:t>企业管理体系认证</w:t>
            </w:r>
          </w:p>
        </w:tc>
        <w:tc>
          <w:tcPr>
            <w:tcW w:w="2380" w:type="dxa"/>
            <w:vAlign w:val="center"/>
          </w:tcPr>
          <w:p>
            <w:pPr>
              <w:snapToGrid w:val="0"/>
              <w:spacing w:after="0" w:line="264" w:lineRule="auto"/>
              <w:jc w:val="left"/>
              <w:rPr>
                <w:rFonts w:ascii="宋体" w:hAnsi="宋体"/>
                <w:sz w:val="24"/>
              </w:rPr>
            </w:pP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324" w:type="dxa"/>
            <w:gridSpan w:val="4"/>
            <w:vAlign w:val="center"/>
          </w:tcPr>
          <w:p>
            <w:pPr>
              <w:snapToGrid w:val="0"/>
              <w:spacing w:after="0" w:line="264" w:lineRule="auto"/>
              <w:jc w:val="center"/>
              <w:rPr>
                <w:rFonts w:ascii="宋体" w:hAnsi="宋体"/>
                <w:b/>
                <w:szCs w:val="21"/>
              </w:rPr>
            </w:pPr>
            <w:r>
              <w:rPr>
                <w:rFonts w:hint="eastAsia" w:ascii="宋体" w:hAnsi="宋体"/>
                <w:b/>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公章对投标专用章授权说明（如有）</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default" w:hAnsi="宋体" w:eastAsia="宋体" w:cs="Courier New"/>
                <w:sz w:val="24"/>
                <w:lang w:val="en-US" w:eastAsia="zh-CN"/>
              </w:rPr>
            </w:pPr>
            <w:r>
              <w:rPr>
                <w:rFonts w:hint="eastAsia" w:hAnsi="宋体" w:cs="Courier New"/>
                <w:sz w:val="24"/>
                <w:lang w:val="en-US" w:eastAsia="zh-CN"/>
              </w:rPr>
              <w:t>采购需求条款响应一览表</w:t>
            </w:r>
          </w:p>
        </w:tc>
        <w:tc>
          <w:tcPr>
            <w:tcW w:w="3131" w:type="dxa"/>
            <w:vAlign w:val="center"/>
          </w:tcPr>
          <w:p>
            <w:pPr>
              <w:snapToGrid w:val="0"/>
              <w:spacing w:after="0" w:line="264"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default" w:hAnsi="宋体" w:eastAsia="宋体" w:cs="Courier New"/>
                <w:sz w:val="24"/>
                <w:lang w:val="en-US" w:eastAsia="zh-CN"/>
              </w:rPr>
            </w:pPr>
            <w:r>
              <w:rPr>
                <w:rFonts w:hint="eastAsia" w:hAnsi="宋体" w:cs="Courier New"/>
                <w:sz w:val="24"/>
                <w:lang w:val="en-US" w:eastAsia="zh-CN"/>
              </w:rPr>
              <w:t>项目经理及管理技术人员一览表</w:t>
            </w:r>
          </w:p>
        </w:tc>
        <w:tc>
          <w:tcPr>
            <w:tcW w:w="3131" w:type="dxa"/>
            <w:vAlign w:val="center"/>
          </w:tcPr>
          <w:p>
            <w:pPr>
              <w:snapToGrid w:val="0"/>
              <w:spacing w:after="0" w:line="264"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投标人证书一览表</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default" w:hAnsi="宋体" w:eastAsia="宋体" w:cs="Courier New"/>
                <w:sz w:val="24"/>
                <w:lang w:val="en-US" w:eastAsia="zh-CN"/>
              </w:rPr>
            </w:pPr>
            <w:r>
              <w:rPr>
                <w:rFonts w:hint="eastAsia" w:hAnsi="宋体" w:cs="Courier New"/>
                <w:sz w:val="24"/>
                <w:lang w:val="en-US" w:eastAsia="zh-CN"/>
              </w:rPr>
              <w:t>合同条款响应一览表</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int="eastAsia" w:hAnsi="宋体" w:cs="Courier New"/>
                <w:sz w:val="24"/>
              </w:rPr>
            </w:pPr>
            <w:r>
              <w:rPr>
                <w:rFonts w:hint="eastAsia" w:hAnsi="宋体" w:cs="Courier New"/>
                <w:sz w:val="24"/>
              </w:rPr>
              <w:t>售后服务情况表</w:t>
            </w:r>
          </w:p>
        </w:tc>
        <w:tc>
          <w:tcPr>
            <w:tcW w:w="3131" w:type="dxa"/>
            <w:vAlign w:val="center"/>
          </w:tcPr>
          <w:p>
            <w:pPr>
              <w:snapToGrid w:val="0"/>
              <w:spacing w:after="0" w:line="264"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主要股东或出资人信息</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1"/>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hAnsi="宋体" w:cs="Courier New"/>
                <w:sz w:val="24"/>
              </w:rPr>
            </w:pPr>
            <w:r>
              <w:rPr>
                <w:rFonts w:hint="eastAsia" w:hAnsi="宋体" w:cs="Courier New"/>
                <w:sz w:val="24"/>
              </w:rPr>
              <w:t>采购代理服务费承诺书</w:t>
            </w: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324" w:type="dxa"/>
            <w:gridSpan w:val="4"/>
            <w:vAlign w:val="center"/>
          </w:tcPr>
          <w:p>
            <w:pPr>
              <w:snapToGrid w:val="0"/>
              <w:spacing w:after="0" w:line="264" w:lineRule="auto"/>
              <w:jc w:val="center"/>
              <w:rPr>
                <w:rFonts w:ascii="宋体" w:hAnsi="宋体"/>
                <w:b/>
                <w:sz w:val="30"/>
                <w:szCs w:val="30"/>
              </w:rPr>
            </w:pPr>
            <w:r>
              <w:rPr>
                <w:rFonts w:hint="eastAsia" w:ascii="宋体" w:hAnsi="宋体"/>
                <w:b/>
                <w:sz w:val="30"/>
                <w:szCs w:val="30"/>
              </w:rPr>
              <w:t>单独密封资料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2"/>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ascii="宋体" w:hAnsi="宋体"/>
                <w:sz w:val="24"/>
              </w:rPr>
            </w:pPr>
            <w:r>
              <w:rPr>
                <w:rFonts w:hint="eastAsia" w:asciiTheme="minorEastAsia" w:hAnsiTheme="minorEastAsia" w:eastAsiaTheme="minorEastAsia"/>
                <w:sz w:val="24"/>
              </w:rPr>
              <w:t>开票资料说明函</w:t>
            </w: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2"/>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ascii="宋体" w:hAnsi="宋体"/>
                <w:sz w:val="24"/>
              </w:rPr>
            </w:pPr>
            <w:r>
              <w:rPr>
                <w:rFonts w:hint="eastAsia" w:asciiTheme="minorEastAsia" w:hAnsiTheme="minorEastAsia" w:eastAsiaTheme="minorEastAsia"/>
                <w:sz w:val="24"/>
              </w:rPr>
              <w:t>电子介质</w:t>
            </w:r>
          </w:p>
        </w:tc>
        <w:tc>
          <w:tcPr>
            <w:tcW w:w="3131" w:type="dxa"/>
            <w:vAlign w:val="center"/>
          </w:tcPr>
          <w:p>
            <w:pPr>
              <w:snapToGrid w:val="0"/>
              <w:spacing w:after="0" w:line="264" w:lineRule="auto"/>
              <w:jc w:val="center"/>
              <w:rPr>
                <w:rFonts w:ascii="宋体" w:hAnsi="宋体"/>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0" w:type="dxa"/>
            <w:vAlign w:val="center"/>
          </w:tcPr>
          <w:p>
            <w:pPr>
              <w:numPr>
                <w:ilvl w:val="0"/>
                <w:numId w:val="82"/>
              </w:numPr>
              <w:snapToGrid w:val="0"/>
              <w:spacing w:after="0" w:line="264" w:lineRule="auto"/>
              <w:rPr>
                <w:rFonts w:ascii="宋体" w:hAnsi="宋体"/>
                <w:sz w:val="24"/>
              </w:rPr>
            </w:pPr>
          </w:p>
        </w:tc>
        <w:tc>
          <w:tcPr>
            <w:tcW w:w="5443" w:type="dxa"/>
            <w:gridSpan w:val="2"/>
            <w:vAlign w:val="center"/>
          </w:tcPr>
          <w:p>
            <w:pPr>
              <w:snapToGrid w:val="0"/>
              <w:spacing w:after="0" w:line="264" w:lineRule="auto"/>
              <w:rPr>
                <w:rFonts w:asciiTheme="minorEastAsia" w:hAnsiTheme="minorEastAsia" w:eastAsiaTheme="minorEastAsia"/>
                <w:sz w:val="24"/>
              </w:rPr>
            </w:pPr>
            <w:r>
              <w:rPr>
                <w:rFonts w:hint="eastAsia" w:asciiTheme="minorEastAsia" w:hAnsiTheme="minorEastAsia" w:eastAsiaTheme="minorEastAsia"/>
                <w:sz w:val="24"/>
              </w:rPr>
              <w:t>营业执照复印件（或事业单位法人证书或社会团体法人登记证书等）</w:t>
            </w:r>
            <w:r>
              <w:rPr>
                <w:rFonts w:hint="eastAsia" w:asciiTheme="minorEastAsia" w:hAnsiTheme="minorEastAsia" w:eastAsiaTheme="minorEastAsia"/>
                <w:bCs/>
                <w:sz w:val="24"/>
              </w:rPr>
              <w:t>复印件</w:t>
            </w:r>
          </w:p>
        </w:tc>
        <w:tc>
          <w:tcPr>
            <w:tcW w:w="3131" w:type="dxa"/>
            <w:vAlign w:val="center"/>
          </w:tcPr>
          <w:p>
            <w:pPr>
              <w:snapToGrid w:val="0"/>
              <w:spacing w:after="0" w:line="264"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r>
    </w:tbl>
    <w:p>
      <w:pPr>
        <w:widowControl/>
        <w:spacing w:after="0"/>
        <w:jc w:val="left"/>
        <w:rPr>
          <w:rFonts w:ascii="黑体" w:hAnsi="黑体" w:eastAsia="黑体"/>
          <w:sz w:val="32"/>
          <w:szCs w:val="32"/>
        </w:rPr>
        <w:sectPr>
          <w:pgSz w:w="11906" w:h="16838"/>
          <w:pgMar w:top="1134" w:right="1134" w:bottom="1134" w:left="1134" w:header="851" w:footer="992" w:gutter="284"/>
          <w:cols w:space="720" w:num="1"/>
          <w:docGrid w:type="lines" w:linePitch="312" w:charSpace="0"/>
        </w:sect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开标一览表(报价表)</w:t>
      </w:r>
    </w:p>
    <w:p>
      <w:pPr>
        <w:tabs>
          <w:tab w:val="left" w:pos="7740"/>
        </w:tabs>
        <w:snapToGrid w:val="0"/>
        <w:spacing w:after="0" w:line="360" w:lineRule="auto"/>
        <w:rPr>
          <w:rFonts w:ascii="宋体" w:hAnsi="宋体"/>
          <w:sz w:val="24"/>
        </w:rPr>
      </w:pPr>
      <w:r>
        <w:rPr>
          <w:rFonts w:hint="eastAsia" w:ascii="宋体" w:hAnsi="宋体"/>
          <w:sz w:val="24"/>
        </w:rPr>
        <w:t xml:space="preserve">项目名称：广东省英德监狱购买单警装备项目 </w:t>
      </w:r>
      <w:r>
        <w:rPr>
          <w:rFonts w:ascii="宋体" w:hAnsi="宋体"/>
          <w:sz w:val="24"/>
        </w:rPr>
        <w:t xml:space="preserve">               </w:t>
      </w:r>
    </w:p>
    <w:tbl>
      <w:tblPr>
        <w:tblStyle w:val="38"/>
        <w:tblW w:w="139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657"/>
        <w:gridCol w:w="582"/>
        <w:gridCol w:w="691"/>
        <w:gridCol w:w="195"/>
        <w:gridCol w:w="432"/>
        <w:gridCol w:w="1187"/>
        <w:gridCol w:w="858"/>
        <w:gridCol w:w="2059"/>
        <w:gridCol w:w="850"/>
        <w:gridCol w:w="850"/>
        <w:gridCol w:w="1702"/>
        <w:gridCol w:w="1593"/>
        <w:gridCol w:w="7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45"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序号</w:t>
            </w:r>
          </w:p>
        </w:tc>
        <w:tc>
          <w:tcPr>
            <w:tcW w:w="1657"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产品</w:t>
            </w:r>
            <w:r>
              <w:rPr>
                <w:rFonts w:ascii="宋体" w:hAnsi="宋体"/>
                <w:b/>
                <w:bCs/>
                <w:sz w:val="24"/>
              </w:rPr>
              <w:t>名称</w:t>
            </w:r>
          </w:p>
        </w:tc>
        <w:tc>
          <w:tcPr>
            <w:tcW w:w="582"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品牌</w:t>
            </w:r>
          </w:p>
        </w:tc>
        <w:tc>
          <w:tcPr>
            <w:tcW w:w="691"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ascii="宋体" w:hAnsi="宋体"/>
                <w:b/>
                <w:bCs/>
                <w:sz w:val="24"/>
              </w:rPr>
              <w:t>规格</w:t>
            </w:r>
          </w:p>
        </w:tc>
        <w:tc>
          <w:tcPr>
            <w:tcW w:w="627" w:type="dxa"/>
            <w:gridSpan w:val="2"/>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ascii="宋体" w:hAnsi="宋体"/>
                <w:b/>
                <w:bCs/>
                <w:sz w:val="24"/>
              </w:rPr>
              <w:t>型号</w:t>
            </w:r>
          </w:p>
        </w:tc>
        <w:tc>
          <w:tcPr>
            <w:tcW w:w="1187"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制造商</w:t>
            </w:r>
          </w:p>
          <w:p>
            <w:pPr>
              <w:widowControl/>
              <w:snapToGrid w:val="0"/>
              <w:spacing w:after="0" w:line="240" w:lineRule="auto"/>
              <w:jc w:val="center"/>
              <w:rPr>
                <w:rFonts w:ascii="宋体" w:hAnsi="宋体"/>
                <w:b/>
                <w:bCs/>
                <w:sz w:val="24"/>
              </w:rPr>
            </w:pPr>
            <w:r>
              <w:rPr>
                <w:rFonts w:hint="eastAsia" w:ascii="宋体" w:hAnsi="宋体"/>
                <w:b/>
                <w:bCs/>
                <w:sz w:val="24"/>
              </w:rPr>
              <w:t>(生产者</w:t>
            </w:r>
            <w:r>
              <w:rPr>
                <w:rFonts w:ascii="宋体" w:hAnsi="宋体"/>
                <w:b/>
                <w:bCs/>
                <w:sz w:val="24"/>
              </w:rPr>
              <w:t>）</w:t>
            </w:r>
          </w:p>
        </w:tc>
        <w:tc>
          <w:tcPr>
            <w:tcW w:w="858"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ascii="宋体" w:hAnsi="宋体"/>
                <w:b/>
                <w:bCs/>
                <w:sz w:val="24"/>
              </w:rPr>
              <w:t>原产地</w:t>
            </w:r>
          </w:p>
        </w:tc>
        <w:tc>
          <w:tcPr>
            <w:tcW w:w="2059" w:type="dxa"/>
            <w:tcBorders>
              <w:top w:val="single" w:color="auto" w:sz="12" w:space="0"/>
              <w:bottom w:val="double" w:color="auto" w:sz="4" w:space="0"/>
            </w:tcBorders>
            <w:shd w:val="clear" w:color="auto" w:fill="EEECE1"/>
            <w:vAlign w:val="center"/>
          </w:tcPr>
          <w:p>
            <w:pPr>
              <w:pStyle w:val="85"/>
              <w:snapToGrid w:val="0"/>
              <w:spacing w:after="0" w:line="240" w:lineRule="auto"/>
              <w:ind w:firstLine="0" w:firstLineChars="0"/>
              <w:jc w:val="center"/>
              <w:rPr>
                <w:rFonts w:ascii="宋体"/>
                <w:b/>
                <w:bCs/>
                <w:sz w:val="24"/>
              </w:rPr>
            </w:pPr>
            <w:r>
              <w:rPr>
                <w:rFonts w:hint="eastAsia" w:ascii="宋体"/>
                <w:b/>
                <w:bCs/>
                <w:sz w:val="24"/>
              </w:rPr>
              <w:t>单价最高限价</w:t>
            </w:r>
          </w:p>
          <w:p>
            <w:pPr>
              <w:widowControl/>
              <w:snapToGrid w:val="0"/>
              <w:spacing w:after="0" w:line="240" w:lineRule="auto"/>
              <w:jc w:val="center"/>
              <w:rPr>
                <w:rFonts w:ascii="宋体" w:hAnsi="宋体"/>
                <w:b/>
                <w:bCs/>
                <w:sz w:val="24"/>
              </w:rPr>
            </w:pPr>
            <w:r>
              <w:rPr>
                <w:rFonts w:hint="eastAsia" w:ascii="宋体"/>
                <w:b/>
                <w:bCs/>
                <w:sz w:val="24"/>
              </w:rPr>
              <w:t>（人民币 元）</w:t>
            </w:r>
          </w:p>
        </w:tc>
        <w:tc>
          <w:tcPr>
            <w:tcW w:w="850"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单位</w:t>
            </w:r>
          </w:p>
        </w:tc>
        <w:tc>
          <w:tcPr>
            <w:tcW w:w="850"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数量</w:t>
            </w:r>
          </w:p>
        </w:tc>
        <w:tc>
          <w:tcPr>
            <w:tcW w:w="1702" w:type="dxa"/>
            <w:tcBorders>
              <w:top w:val="single" w:color="auto" w:sz="12" w:space="0"/>
              <w:bottom w:val="double" w:color="auto" w:sz="4" w:space="0"/>
            </w:tcBorders>
            <w:shd w:val="clear" w:color="auto" w:fill="EEECE1"/>
            <w:vAlign w:val="center"/>
          </w:tcPr>
          <w:p>
            <w:pPr>
              <w:widowControl/>
              <w:snapToGrid w:val="0"/>
              <w:spacing w:after="0" w:line="240" w:lineRule="auto"/>
              <w:jc w:val="center"/>
              <w:rPr>
                <w:rFonts w:ascii="宋体" w:hAnsi="宋体"/>
                <w:b/>
                <w:bCs/>
                <w:sz w:val="24"/>
              </w:rPr>
            </w:pPr>
            <w:r>
              <w:rPr>
                <w:rFonts w:hint="eastAsia" w:ascii="宋体" w:hAnsi="宋体"/>
                <w:b/>
                <w:bCs/>
                <w:sz w:val="24"/>
              </w:rPr>
              <w:t>投标</w:t>
            </w:r>
            <w:r>
              <w:rPr>
                <w:rFonts w:ascii="宋体" w:hAnsi="宋体"/>
                <w:b/>
                <w:bCs/>
                <w:sz w:val="24"/>
              </w:rPr>
              <w:t>单价</w:t>
            </w:r>
          </w:p>
          <w:p>
            <w:pPr>
              <w:widowControl/>
              <w:snapToGrid w:val="0"/>
              <w:spacing w:after="0" w:line="240" w:lineRule="auto"/>
              <w:jc w:val="center"/>
              <w:rPr>
                <w:rFonts w:ascii="宋体" w:hAnsi="宋体"/>
                <w:b/>
                <w:bCs/>
                <w:sz w:val="24"/>
              </w:rPr>
            </w:pPr>
            <w:r>
              <w:rPr>
                <w:rFonts w:hint="eastAsia" w:ascii="宋体" w:hAnsi="宋体"/>
                <w:b/>
                <w:bCs/>
                <w:sz w:val="24"/>
              </w:rPr>
              <w:t xml:space="preserve">(人民币 </w:t>
            </w:r>
            <w:r>
              <w:rPr>
                <w:rFonts w:ascii="宋体" w:hAnsi="宋体"/>
                <w:b/>
                <w:bCs/>
                <w:sz w:val="24"/>
              </w:rPr>
              <w:t>元</w:t>
            </w:r>
            <w:r>
              <w:rPr>
                <w:rFonts w:hint="eastAsia" w:ascii="宋体" w:hAnsi="宋体"/>
                <w:b/>
                <w:bCs/>
                <w:sz w:val="24"/>
              </w:rPr>
              <w:t>)</w:t>
            </w:r>
          </w:p>
        </w:tc>
        <w:tc>
          <w:tcPr>
            <w:tcW w:w="1593" w:type="dxa"/>
            <w:tcBorders>
              <w:top w:val="single" w:color="auto" w:sz="12" w:space="0"/>
              <w:bottom w:val="double" w:color="auto" w:sz="4" w:space="0"/>
            </w:tcBorders>
            <w:shd w:val="clear" w:color="auto" w:fill="EEECE1"/>
            <w:vAlign w:val="center"/>
          </w:tcPr>
          <w:p>
            <w:pPr>
              <w:snapToGrid w:val="0"/>
              <w:spacing w:after="0" w:line="240" w:lineRule="auto"/>
              <w:jc w:val="center"/>
              <w:rPr>
                <w:rFonts w:ascii="宋体" w:hAnsi="宋体"/>
                <w:b/>
                <w:bCs/>
                <w:sz w:val="24"/>
              </w:rPr>
            </w:pPr>
            <w:r>
              <w:rPr>
                <w:rFonts w:hint="eastAsia" w:ascii="宋体" w:hAnsi="宋体"/>
                <w:b/>
                <w:bCs/>
                <w:sz w:val="24"/>
              </w:rPr>
              <w:t>投标小计</w:t>
            </w:r>
          </w:p>
          <w:p>
            <w:pPr>
              <w:pStyle w:val="4"/>
              <w:spacing w:after="0" w:line="240" w:lineRule="auto"/>
              <w:jc w:val="center"/>
              <w:rPr>
                <w:rFonts w:ascii="宋体" w:eastAsia="宋体"/>
                <w:sz w:val="24"/>
              </w:rPr>
            </w:pPr>
            <w:bookmarkStart w:id="29" w:name="_Toc153184843"/>
            <w:bookmarkStart w:id="30" w:name="_Toc11820"/>
            <w:r>
              <w:rPr>
                <w:rFonts w:hint="eastAsia" w:ascii="宋体" w:eastAsia="宋体"/>
                <w:sz w:val="24"/>
              </w:rPr>
              <w:t xml:space="preserve">(人民币 </w:t>
            </w:r>
            <w:r>
              <w:rPr>
                <w:rFonts w:ascii="宋体" w:eastAsia="宋体"/>
                <w:sz w:val="24"/>
              </w:rPr>
              <w:t>元</w:t>
            </w:r>
            <w:r>
              <w:rPr>
                <w:rFonts w:hint="eastAsia" w:ascii="宋体" w:eastAsia="宋体"/>
                <w:sz w:val="24"/>
              </w:rPr>
              <w:t>)</w:t>
            </w:r>
            <w:bookmarkEnd w:id="29"/>
            <w:bookmarkEnd w:id="30"/>
          </w:p>
        </w:tc>
        <w:tc>
          <w:tcPr>
            <w:tcW w:w="727" w:type="dxa"/>
            <w:tcBorders>
              <w:top w:val="single" w:color="auto" w:sz="12" w:space="0"/>
              <w:bottom w:val="double" w:color="auto" w:sz="4" w:space="0"/>
            </w:tcBorders>
            <w:shd w:val="clear" w:color="auto" w:fill="EEECE1"/>
            <w:vAlign w:val="center"/>
          </w:tcPr>
          <w:p>
            <w:pPr>
              <w:snapToGrid w:val="0"/>
              <w:spacing w:after="0" w:line="240" w:lineRule="auto"/>
              <w:jc w:val="center"/>
              <w:rPr>
                <w:rFonts w:ascii="宋体" w:hAnsi="宋体"/>
                <w:b/>
                <w:bCs/>
                <w:sz w:val="24"/>
              </w:rPr>
            </w:pPr>
            <w:r>
              <w:rPr>
                <w:rFonts w:ascii="宋体" w:hAnsi="宋体"/>
                <w:b/>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rFonts w:ascii="宋体" w:hAnsi="宋体"/>
                <w:sz w:val="24"/>
              </w:rPr>
            </w:pPr>
            <w:r>
              <w:rPr>
                <w:rFonts w:hint="eastAsia" w:ascii="宋体" w:hAnsi="宋体"/>
                <w:sz w:val="24"/>
              </w:rPr>
              <w:t>1</w:t>
            </w:r>
          </w:p>
        </w:tc>
        <w:tc>
          <w:tcPr>
            <w:tcW w:w="1657" w:type="dxa"/>
            <w:vAlign w:val="center"/>
          </w:tcPr>
          <w:p>
            <w:pPr>
              <w:spacing w:after="0"/>
              <w:jc w:val="center"/>
              <w:rPr>
                <w:sz w:val="24"/>
              </w:rPr>
            </w:pPr>
            <w:r>
              <w:rPr>
                <w:rFonts w:hint="eastAsia" w:ascii="宋体" w:hAnsi="宋体" w:cs="仿宋_GB2312"/>
                <w:sz w:val="24"/>
                <w:lang w:bidi="ar"/>
              </w:rPr>
              <w:t>多功能腰带</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390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rFonts w:asciiTheme="majorEastAsia" w:hAnsiTheme="majorEastAsia" w:eastAsiaTheme="majorEastAsia"/>
                <w:sz w:val="24"/>
              </w:rPr>
            </w:pPr>
            <w:r>
              <w:rPr>
                <w:rFonts w:hint="eastAsia" w:ascii="宋体" w:hAnsi="宋体" w:cs="仿宋_GB2312"/>
                <w:sz w:val="24"/>
                <w:lang w:bidi="ar"/>
              </w:rPr>
              <w:t>800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rFonts w:ascii="宋体" w:hAnsi="宋体"/>
                <w:sz w:val="24"/>
              </w:rPr>
            </w:pPr>
            <w:r>
              <w:rPr>
                <w:rFonts w:hint="eastAsia" w:ascii="宋体" w:hAnsi="宋体"/>
                <w:sz w:val="24"/>
              </w:rPr>
              <w:t>2</w:t>
            </w:r>
          </w:p>
        </w:tc>
        <w:tc>
          <w:tcPr>
            <w:tcW w:w="1657" w:type="dxa"/>
            <w:vAlign w:val="center"/>
          </w:tcPr>
          <w:p>
            <w:pPr>
              <w:spacing w:after="0"/>
              <w:jc w:val="center"/>
              <w:rPr>
                <w:sz w:val="24"/>
              </w:rPr>
            </w:pPr>
            <w:r>
              <w:rPr>
                <w:rFonts w:hint="eastAsia" w:ascii="宋体" w:hAnsi="宋体" w:cs="仿宋_GB2312"/>
                <w:sz w:val="24"/>
                <w:lang w:bidi="ar"/>
              </w:rPr>
              <w:t>手铐</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70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3</w:t>
            </w:r>
          </w:p>
        </w:tc>
        <w:tc>
          <w:tcPr>
            <w:tcW w:w="1657" w:type="dxa"/>
            <w:vAlign w:val="center"/>
          </w:tcPr>
          <w:p>
            <w:pPr>
              <w:spacing w:after="0"/>
              <w:jc w:val="center"/>
              <w:rPr>
                <w:sz w:val="24"/>
              </w:rPr>
            </w:pPr>
            <w:r>
              <w:rPr>
                <w:rFonts w:hint="eastAsia" w:ascii="宋体" w:hAnsi="宋体" w:cs="仿宋_GB2312"/>
                <w:sz w:val="24"/>
                <w:lang w:bidi="ar"/>
              </w:rPr>
              <w:t>电警棍</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100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4</w:t>
            </w:r>
          </w:p>
        </w:tc>
        <w:tc>
          <w:tcPr>
            <w:tcW w:w="1657" w:type="dxa"/>
            <w:vAlign w:val="center"/>
          </w:tcPr>
          <w:p>
            <w:pPr>
              <w:spacing w:after="0"/>
              <w:jc w:val="center"/>
              <w:rPr>
                <w:sz w:val="24"/>
              </w:rPr>
            </w:pPr>
            <w:r>
              <w:rPr>
                <w:rFonts w:hint="eastAsia" w:ascii="宋体" w:hAnsi="宋体" w:cs="仿宋_GB2312"/>
                <w:sz w:val="24"/>
                <w:lang w:bidi="ar"/>
              </w:rPr>
              <w:t>自卫催泪喷雾器</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120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900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5</w:t>
            </w:r>
          </w:p>
        </w:tc>
        <w:tc>
          <w:tcPr>
            <w:tcW w:w="1657" w:type="dxa"/>
            <w:vAlign w:val="center"/>
          </w:tcPr>
          <w:p>
            <w:pPr>
              <w:spacing w:after="0"/>
              <w:jc w:val="center"/>
              <w:rPr>
                <w:sz w:val="24"/>
              </w:rPr>
            </w:pPr>
            <w:r>
              <w:rPr>
                <w:rFonts w:hint="eastAsia" w:ascii="宋体" w:hAnsi="宋体" w:cs="仿宋_GB2312"/>
                <w:sz w:val="24"/>
                <w:lang w:bidi="ar"/>
              </w:rPr>
              <w:t>警哨</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950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6</w:t>
            </w:r>
          </w:p>
        </w:tc>
        <w:tc>
          <w:tcPr>
            <w:tcW w:w="1657" w:type="dxa"/>
            <w:vAlign w:val="center"/>
          </w:tcPr>
          <w:p>
            <w:pPr>
              <w:spacing w:after="0"/>
              <w:jc w:val="center"/>
              <w:rPr>
                <w:sz w:val="24"/>
              </w:rPr>
            </w:pPr>
            <w:r>
              <w:rPr>
                <w:rFonts w:hint="eastAsia" w:ascii="宋体" w:hAnsi="宋体" w:cs="仿宋_GB2312"/>
                <w:sz w:val="24"/>
                <w:lang w:bidi="ar"/>
              </w:rPr>
              <w:t>强光手电</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150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50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7</w:t>
            </w:r>
          </w:p>
        </w:tc>
        <w:tc>
          <w:tcPr>
            <w:tcW w:w="1657" w:type="dxa"/>
            <w:vAlign w:val="center"/>
          </w:tcPr>
          <w:p>
            <w:pPr>
              <w:spacing w:after="0"/>
              <w:jc w:val="center"/>
              <w:rPr>
                <w:sz w:val="24"/>
              </w:rPr>
            </w:pPr>
            <w:r>
              <w:rPr>
                <w:rFonts w:hint="eastAsia" w:ascii="宋体" w:hAnsi="宋体" w:cs="仿宋_GB2312"/>
                <w:sz w:val="24"/>
                <w:lang w:bidi="ar"/>
              </w:rPr>
              <w:t>战术背心</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220</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12</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5" w:type="dxa"/>
            <w:vAlign w:val="center"/>
          </w:tcPr>
          <w:p>
            <w:pPr>
              <w:spacing w:after="0"/>
              <w:jc w:val="center"/>
              <w:rPr>
                <w:sz w:val="24"/>
              </w:rPr>
            </w:pPr>
            <w:r>
              <w:rPr>
                <w:rFonts w:hint="eastAsia"/>
                <w:sz w:val="24"/>
              </w:rPr>
              <w:t>8</w:t>
            </w:r>
          </w:p>
        </w:tc>
        <w:tc>
          <w:tcPr>
            <w:tcW w:w="1657" w:type="dxa"/>
            <w:vAlign w:val="center"/>
          </w:tcPr>
          <w:p>
            <w:pPr>
              <w:spacing w:after="0"/>
              <w:jc w:val="center"/>
              <w:rPr>
                <w:sz w:val="24"/>
              </w:rPr>
            </w:pPr>
            <w:r>
              <w:rPr>
                <w:rFonts w:hint="eastAsia" w:ascii="宋体" w:hAnsi="宋体" w:cs="仿宋_GB2312"/>
                <w:sz w:val="24"/>
                <w:lang w:bidi="ar"/>
              </w:rPr>
              <w:t>伸缩警棍</w:t>
            </w:r>
          </w:p>
        </w:tc>
        <w:tc>
          <w:tcPr>
            <w:tcW w:w="582" w:type="dxa"/>
            <w:vAlign w:val="center"/>
          </w:tcPr>
          <w:p>
            <w:pPr>
              <w:spacing w:after="0"/>
              <w:jc w:val="center"/>
              <w:rPr>
                <w:sz w:val="24"/>
              </w:rPr>
            </w:pPr>
          </w:p>
        </w:tc>
        <w:tc>
          <w:tcPr>
            <w:tcW w:w="691" w:type="dxa"/>
            <w:vAlign w:val="center"/>
          </w:tcPr>
          <w:p>
            <w:pPr>
              <w:spacing w:after="0"/>
              <w:jc w:val="center"/>
              <w:rPr>
                <w:sz w:val="24"/>
              </w:rPr>
            </w:pPr>
          </w:p>
        </w:tc>
        <w:tc>
          <w:tcPr>
            <w:tcW w:w="627" w:type="dxa"/>
            <w:gridSpan w:val="2"/>
          </w:tcPr>
          <w:p>
            <w:pPr>
              <w:spacing w:after="0"/>
              <w:jc w:val="center"/>
              <w:rPr>
                <w:sz w:val="24"/>
              </w:rPr>
            </w:pPr>
          </w:p>
        </w:tc>
        <w:tc>
          <w:tcPr>
            <w:tcW w:w="1187" w:type="dxa"/>
          </w:tcPr>
          <w:p>
            <w:pPr>
              <w:spacing w:after="0"/>
              <w:jc w:val="center"/>
              <w:rPr>
                <w:sz w:val="24"/>
              </w:rPr>
            </w:pPr>
          </w:p>
        </w:tc>
        <w:tc>
          <w:tcPr>
            <w:tcW w:w="858" w:type="dxa"/>
            <w:vAlign w:val="center"/>
          </w:tcPr>
          <w:p>
            <w:pPr>
              <w:spacing w:after="0"/>
              <w:jc w:val="center"/>
              <w:rPr>
                <w:sz w:val="24"/>
              </w:rPr>
            </w:pPr>
          </w:p>
        </w:tc>
        <w:tc>
          <w:tcPr>
            <w:tcW w:w="2059" w:type="dxa"/>
            <w:vAlign w:val="center"/>
          </w:tcPr>
          <w:p>
            <w:pPr>
              <w:spacing w:after="0"/>
              <w:jc w:val="center"/>
              <w:rPr>
                <w:rFonts w:ascii="宋体" w:hAnsi="宋体" w:cs="仿宋_GB2312"/>
                <w:sz w:val="24"/>
                <w:lang w:bidi="ar"/>
              </w:rPr>
            </w:pPr>
            <w:r>
              <w:rPr>
                <w:rFonts w:hint="eastAsia" w:ascii="宋体" w:hAnsi="宋体" w:cs="仿宋_GB2312"/>
                <w:sz w:val="24"/>
                <w:lang w:bidi="ar"/>
              </w:rPr>
              <w:t>155</w:t>
            </w:r>
            <w:r>
              <w:rPr>
                <w:rFonts w:ascii="宋体" w:hAnsi="宋体" w:cs="仿宋_GB2312"/>
                <w:sz w:val="24"/>
                <w:lang w:bidi="ar"/>
              </w:rPr>
              <w:t>.00</w:t>
            </w:r>
          </w:p>
        </w:tc>
        <w:tc>
          <w:tcPr>
            <w:tcW w:w="850" w:type="dxa"/>
          </w:tcPr>
          <w:p>
            <w:pPr>
              <w:spacing w:after="0"/>
              <w:jc w:val="center"/>
              <w:rPr>
                <w:rFonts w:ascii="宋体" w:hAnsi="宋体" w:cs="仿宋_GB2312"/>
                <w:sz w:val="24"/>
                <w:lang w:bidi="ar"/>
              </w:rPr>
            </w:pPr>
            <w:r>
              <w:rPr>
                <w:rFonts w:hint="eastAsia" w:ascii="宋体" w:hAnsi="宋体" w:cs="仿宋_GB2312"/>
                <w:sz w:val="24"/>
                <w:lang w:bidi="ar"/>
              </w:rPr>
              <w:t>套</w:t>
            </w:r>
          </w:p>
        </w:tc>
        <w:tc>
          <w:tcPr>
            <w:tcW w:w="850" w:type="dxa"/>
            <w:vAlign w:val="center"/>
          </w:tcPr>
          <w:p>
            <w:pPr>
              <w:spacing w:after="0"/>
              <w:jc w:val="center"/>
              <w:rPr>
                <w:sz w:val="24"/>
              </w:rPr>
            </w:pPr>
            <w:r>
              <w:rPr>
                <w:rFonts w:hint="eastAsia" w:ascii="宋体" w:hAnsi="宋体" w:cs="仿宋_GB2312"/>
                <w:sz w:val="24"/>
                <w:lang w:bidi="ar"/>
              </w:rPr>
              <w:t>30</w:t>
            </w:r>
          </w:p>
        </w:tc>
        <w:tc>
          <w:tcPr>
            <w:tcW w:w="1702" w:type="dxa"/>
            <w:vAlign w:val="center"/>
          </w:tcPr>
          <w:p>
            <w:pPr>
              <w:spacing w:after="0"/>
              <w:jc w:val="center"/>
              <w:rPr>
                <w:sz w:val="24"/>
              </w:rPr>
            </w:pPr>
          </w:p>
        </w:tc>
        <w:tc>
          <w:tcPr>
            <w:tcW w:w="1593" w:type="dxa"/>
          </w:tcPr>
          <w:p>
            <w:pPr>
              <w:spacing w:after="0"/>
              <w:jc w:val="center"/>
              <w:rPr>
                <w:sz w:val="24"/>
              </w:rPr>
            </w:pPr>
          </w:p>
        </w:tc>
        <w:tc>
          <w:tcPr>
            <w:tcW w:w="727" w:type="dxa"/>
            <w:vAlign w:val="center"/>
          </w:tcPr>
          <w:p>
            <w:pPr>
              <w:spacing w:after="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670" w:type="dxa"/>
            <w:gridSpan w:val="5"/>
            <w:vAlign w:val="center"/>
          </w:tcPr>
          <w:p>
            <w:pPr>
              <w:snapToGrid w:val="0"/>
              <w:spacing w:after="0"/>
              <w:rPr>
                <w:rFonts w:ascii="宋体"/>
                <w:bCs/>
                <w:sz w:val="24"/>
              </w:rPr>
            </w:pPr>
            <w:r>
              <w:rPr>
                <w:rFonts w:hint="eastAsia" w:ascii="宋体" w:hAnsi="宋体"/>
                <w:b/>
                <w:sz w:val="24"/>
              </w:rPr>
              <w:t>投标总计=所有投标小计之和</w:t>
            </w:r>
          </w:p>
        </w:tc>
        <w:tc>
          <w:tcPr>
            <w:tcW w:w="10258" w:type="dxa"/>
            <w:gridSpan w:val="9"/>
          </w:tcPr>
          <w:p>
            <w:pPr>
              <w:snapToGrid w:val="0"/>
              <w:spacing w:after="0"/>
              <w:rPr>
                <w:rFonts w:ascii="宋体"/>
                <w:bCs/>
                <w:sz w:val="24"/>
                <w:u w:val="single"/>
              </w:rPr>
            </w:pPr>
            <w:r>
              <w:rPr>
                <w:rFonts w:hint="eastAsia" w:ascii="宋体"/>
                <w:bCs/>
                <w:sz w:val="24"/>
              </w:rPr>
              <w:t>小写：RMB</w:t>
            </w:r>
          </w:p>
          <w:p>
            <w:pPr>
              <w:spacing w:after="0"/>
              <w:rPr>
                <w:rFonts w:ascii="宋体"/>
                <w:bCs/>
                <w:sz w:val="24"/>
              </w:rPr>
            </w:pPr>
            <w:r>
              <w:rPr>
                <w:rFonts w:hint="eastAsia" w:ascii="宋体"/>
                <w:bCs/>
                <w:sz w:val="24"/>
              </w:rPr>
              <w:t>大写：</w:t>
            </w:r>
          </w:p>
        </w:tc>
      </w:tr>
    </w:tbl>
    <w:p>
      <w:pPr>
        <w:tabs>
          <w:tab w:val="left" w:pos="7740"/>
        </w:tabs>
        <w:snapToGrid w:val="0"/>
        <w:spacing w:after="0" w:line="360" w:lineRule="auto"/>
        <w:jc w:val="center"/>
        <w:rPr>
          <w:rFonts w:ascii="宋体" w:hAnsi="宋体"/>
          <w:b/>
          <w:sz w:val="24"/>
        </w:rPr>
      </w:pPr>
    </w:p>
    <w:p>
      <w:pPr>
        <w:snapToGrid w:val="0"/>
        <w:spacing w:after="0" w:line="360" w:lineRule="auto"/>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napToGrid w:val="0"/>
        <w:spacing w:after="0" w:line="360" w:lineRule="auto"/>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napToGrid w:val="0"/>
        <w:spacing w:after="0" w:line="360" w:lineRule="auto"/>
        <w:rPr>
          <w:spacing w:val="4"/>
          <w:sz w:val="24"/>
        </w:rPr>
      </w:pPr>
      <w:r>
        <w:rPr>
          <w:rFonts w:hint="eastAsia"/>
          <w:spacing w:val="4"/>
          <w:sz w:val="24"/>
        </w:rPr>
        <w:t>日期：</w:t>
      </w:r>
    </w:p>
    <w:p>
      <w:pPr>
        <w:tabs>
          <w:tab w:val="left" w:pos="360"/>
        </w:tabs>
        <w:snapToGrid w:val="0"/>
        <w:spacing w:after="0" w:line="360" w:lineRule="auto"/>
        <w:rPr>
          <w:spacing w:val="4"/>
          <w:sz w:val="24"/>
        </w:rPr>
      </w:pPr>
    </w:p>
    <w:p>
      <w:pPr>
        <w:tabs>
          <w:tab w:val="left" w:pos="360"/>
        </w:tabs>
        <w:snapToGrid w:val="0"/>
        <w:spacing w:after="0" w:line="360" w:lineRule="auto"/>
        <w:rPr>
          <w:b/>
          <w:spacing w:val="4"/>
          <w:sz w:val="24"/>
        </w:rPr>
      </w:pPr>
      <w:r>
        <w:rPr>
          <w:rFonts w:hint="eastAsia"/>
          <w:b/>
          <w:spacing w:val="4"/>
          <w:sz w:val="24"/>
        </w:rPr>
        <w:t>说明：</w:t>
      </w:r>
    </w:p>
    <w:p>
      <w:pPr>
        <w:pStyle w:val="85"/>
        <w:numPr>
          <w:ilvl w:val="0"/>
          <w:numId w:val="83"/>
        </w:numPr>
        <w:tabs>
          <w:tab w:val="left" w:pos="360"/>
        </w:tabs>
        <w:snapToGrid w:val="0"/>
        <w:spacing w:after="0" w:line="360" w:lineRule="auto"/>
        <w:ind w:firstLineChars="0"/>
        <w:rPr>
          <w:spacing w:val="4"/>
          <w:sz w:val="24"/>
        </w:rPr>
      </w:pPr>
      <w:r>
        <w:rPr>
          <w:rFonts w:hint="eastAsia"/>
          <w:spacing w:val="4"/>
          <w:sz w:val="24"/>
        </w:rPr>
        <w:t>中文大写金额用汉字，如壹、贰、叁、肆、伍、陆、柒、捌、玖、拾、佰、仟、万、亿、元、角、分、零、整（正）等。</w:t>
      </w:r>
    </w:p>
    <w:p>
      <w:pPr>
        <w:pStyle w:val="85"/>
        <w:numPr>
          <w:ilvl w:val="0"/>
          <w:numId w:val="83"/>
        </w:numPr>
        <w:tabs>
          <w:tab w:val="left" w:pos="360"/>
        </w:tabs>
        <w:snapToGrid w:val="0"/>
        <w:spacing w:after="0" w:line="360" w:lineRule="auto"/>
        <w:ind w:left="284" w:hanging="284" w:firstLineChars="0"/>
        <w:rPr>
          <w:spacing w:val="4"/>
          <w:sz w:val="24"/>
        </w:rPr>
      </w:pPr>
      <w:r>
        <w:rPr>
          <w:rFonts w:hint="eastAsia"/>
          <w:spacing w:val="4"/>
          <w:sz w:val="24"/>
        </w:rPr>
        <w:t>除招标文件另有规定外，投标文件内不得含有任何对本报价进行价格折扣的说明或资料，否则为无效投标。</w:t>
      </w:r>
    </w:p>
    <w:p>
      <w:pPr>
        <w:pStyle w:val="85"/>
        <w:widowControl/>
        <w:numPr>
          <w:ilvl w:val="0"/>
          <w:numId w:val="83"/>
        </w:numPr>
        <w:tabs>
          <w:tab w:val="left" w:pos="360"/>
        </w:tabs>
        <w:snapToGrid w:val="0"/>
        <w:spacing w:after="0" w:line="360" w:lineRule="auto"/>
        <w:ind w:left="284" w:hanging="284" w:firstLineChars="0"/>
        <w:jc w:val="left"/>
        <w:rPr>
          <w:rFonts w:ascii="宋体" w:hAnsi="宋体"/>
          <w:b/>
          <w:sz w:val="24"/>
        </w:rPr>
      </w:pPr>
      <w:r>
        <w:rPr>
          <w:rFonts w:hint="eastAsia"/>
          <w:spacing w:val="4"/>
          <w:sz w:val="24"/>
        </w:rPr>
        <w:t>投标报价的小数点后保留</w:t>
      </w:r>
      <w:r>
        <w:rPr>
          <w:rFonts w:hint="eastAsia" w:asciiTheme="majorEastAsia" w:hAnsiTheme="majorEastAsia" w:eastAsiaTheme="majorEastAsia"/>
          <w:spacing w:val="4"/>
          <w:sz w:val="24"/>
        </w:rPr>
        <w:t>3</w:t>
      </w:r>
      <w:r>
        <w:rPr>
          <w:rFonts w:hint="eastAsia"/>
          <w:spacing w:val="4"/>
          <w:sz w:val="24"/>
        </w:rPr>
        <w:t>位有效数。</w:t>
      </w:r>
    </w:p>
    <w:p>
      <w:pPr>
        <w:numPr>
          <w:ilvl w:val="-1"/>
          <w:numId w:val="0"/>
        </w:numPr>
        <w:tabs>
          <w:tab w:val="left" w:pos="360"/>
        </w:tabs>
        <w:snapToGrid w:val="0"/>
        <w:spacing w:line="360" w:lineRule="auto"/>
        <w:ind w:left="0" w:firstLine="0"/>
        <w:rPr>
          <w:rFonts w:hint="eastAsia"/>
          <w:b/>
          <w:bCs/>
          <w:spacing w:val="4"/>
          <w:sz w:val="24"/>
        </w:rPr>
      </w:pPr>
      <w:r>
        <w:rPr>
          <w:rFonts w:hint="eastAsia"/>
          <w:spacing w:val="4"/>
          <w:sz w:val="24"/>
          <w:lang w:val="en-US" w:eastAsia="zh-CN"/>
        </w:rPr>
        <w:t>4.</w:t>
      </w:r>
      <w:r>
        <w:rPr>
          <w:rFonts w:hint="eastAsia"/>
          <w:b/>
          <w:bCs/>
          <w:spacing w:val="4"/>
          <w:sz w:val="24"/>
        </w:rPr>
        <w:t>开标时，只唱读“</w:t>
      </w:r>
      <w:r>
        <w:rPr>
          <w:rFonts w:hint="eastAsia"/>
          <w:b/>
          <w:bCs/>
          <w:spacing w:val="4"/>
          <w:sz w:val="24"/>
          <w:lang w:val="en-US" w:eastAsia="zh-CN"/>
        </w:rPr>
        <w:t>投标</w:t>
      </w:r>
      <w:r>
        <w:rPr>
          <w:rFonts w:hint="eastAsia"/>
          <w:b/>
          <w:bCs/>
          <w:spacing w:val="4"/>
          <w:sz w:val="24"/>
        </w:rPr>
        <w:t>总计”，“总计”仅作为本项目的评标价，用于价格分计算，</w:t>
      </w:r>
      <w:r>
        <w:rPr>
          <w:rFonts w:hint="eastAsia"/>
          <w:b/>
          <w:bCs/>
          <w:spacing w:val="4"/>
          <w:sz w:val="24"/>
          <w:lang w:val="en-US" w:eastAsia="zh-CN"/>
        </w:rPr>
        <w:t>投标</w:t>
      </w:r>
      <w:r>
        <w:rPr>
          <w:rFonts w:hint="eastAsia"/>
          <w:b/>
          <w:bCs/>
          <w:spacing w:val="4"/>
          <w:sz w:val="24"/>
        </w:rPr>
        <w:t>总计=</w:t>
      </w:r>
      <w:r>
        <w:rPr>
          <w:rFonts w:hint="eastAsia"/>
          <w:b/>
          <w:bCs/>
          <w:spacing w:val="4"/>
          <w:sz w:val="24"/>
          <w:lang w:val="en-US" w:eastAsia="zh-CN"/>
        </w:rPr>
        <w:t>所有投标小计</w:t>
      </w:r>
      <w:r>
        <w:rPr>
          <w:rFonts w:hint="eastAsia"/>
          <w:b/>
          <w:bCs/>
          <w:spacing w:val="4"/>
          <w:sz w:val="24"/>
        </w:rPr>
        <w:t>之和。</w:t>
      </w:r>
    </w:p>
    <w:p>
      <w:pPr>
        <w:spacing w:after="0"/>
        <w:rPr>
          <w:rFonts w:hint="default" w:eastAsia="宋体"/>
          <w:spacing w:val="4"/>
          <w:sz w:val="24"/>
          <w:lang w:val="en-US" w:eastAsia="zh-CN"/>
        </w:rPr>
        <w:sectPr>
          <w:pgSz w:w="16838" w:h="11906" w:orient="landscape"/>
          <w:pgMar w:top="1134" w:right="1440" w:bottom="1287" w:left="1440" w:header="851" w:footer="992" w:gutter="0"/>
          <w:cols w:space="720" w:num="1"/>
          <w:docGrid w:type="lines" w:linePitch="312" w:charSpace="0"/>
        </w:sectPr>
      </w:pPr>
    </w:p>
    <w:p>
      <w:pPr>
        <w:spacing w:after="0"/>
        <w:rPr>
          <w:rFonts w:ascii="宋体" w:hAnsi="宋体"/>
          <w:b/>
          <w:sz w:val="24"/>
        </w:r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中小企业声明函（如有）</w:t>
      </w:r>
    </w:p>
    <w:p>
      <w:pPr>
        <w:snapToGrid w:val="0"/>
        <w:spacing w:after="0" w:line="360" w:lineRule="auto"/>
        <w:rPr>
          <w:rFonts w:ascii="宋体" w:hAnsi="宋体"/>
          <w:sz w:val="24"/>
        </w:rPr>
      </w:pPr>
    </w:p>
    <w:p>
      <w:pPr>
        <w:snapToGrid w:val="0"/>
        <w:spacing w:after="0" w:line="360" w:lineRule="auto"/>
        <w:jc w:val="center"/>
        <w:rPr>
          <w:rFonts w:ascii="宋体" w:hAnsi="宋体"/>
          <w:sz w:val="24"/>
        </w:rPr>
      </w:pPr>
      <w:r>
        <w:rPr>
          <w:rFonts w:hint="eastAsia" w:ascii="宋体" w:hAnsi="宋体"/>
          <w:sz w:val="24"/>
        </w:rPr>
        <w:t>中小企业声明函（货物）</w:t>
      </w:r>
    </w:p>
    <w:p>
      <w:pPr>
        <w:snapToGrid w:val="0"/>
        <w:spacing w:after="0" w:line="360" w:lineRule="auto"/>
        <w:ind w:firstLine="424" w:firstLineChars="177"/>
        <w:rPr>
          <w:rFonts w:ascii="宋体" w:hAnsi="宋体"/>
          <w:sz w:val="24"/>
        </w:rPr>
      </w:pPr>
      <w:r>
        <w:rPr>
          <w:rFonts w:hint="eastAsia" w:ascii="宋体" w:hAnsi="宋体"/>
          <w:sz w:val="24"/>
        </w:rPr>
        <w:t>本公司（联合体）郑重声明，根据《政府采购促进中小企业发展管理办法》（财库﹝</w:t>
      </w:r>
      <w:r>
        <w:rPr>
          <w:rFonts w:ascii="宋体" w:hAnsi="宋体"/>
          <w:sz w:val="24"/>
        </w:rPr>
        <w:t>2020﹞46 号）的规定，本公司</w:t>
      </w:r>
      <w:r>
        <w:rPr>
          <w:rFonts w:hint="eastAsia" w:ascii="宋体" w:hAnsi="宋体"/>
          <w:sz w:val="24"/>
        </w:rPr>
        <w:t>（联合体）参加</w:t>
      </w:r>
      <w:r>
        <w:rPr>
          <w:rFonts w:hint="eastAsia" w:ascii="宋体" w:hAnsi="宋体"/>
          <w:sz w:val="24"/>
          <w:u w:val="single"/>
        </w:rPr>
        <w:t xml:space="preserve">  </w:t>
      </w:r>
      <w:r>
        <w:rPr>
          <w:rFonts w:ascii="宋体" w:hAnsi="宋体"/>
          <w:sz w:val="24"/>
          <w:u w:val="single"/>
        </w:rPr>
        <w:t>广东省英德监狱</w:t>
      </w:r>
      <w:r>
        <w:rPr>
          <w:rFonts w:hint="eastAsia" w:ascii="宋体" w:hAnsi="宋体"/>
          <w:sz w:val="24"/>
          <w:u w:val="single"/>
        </w:rPr>
        <w:t xml:space="preserve">  </w:t>
      </w:r>
      <w:r>
        <w:rPr>
          <w:rFonts w:ascii="宋体" w:hAnsi="宋体"/>
          <w:sz w:val="24"/>
        </w:rPr>
        <w:t>的</w:t>
      </w:r>
      <w:r>
        <w:rPr>
          <w:rFonts w:hint="eastAsia" w:ascii="宋体" w:hAnsi="宋体"/>
          <w:sz w:val="24"/>
          <w:u w:val="single"/>
        </w:rPr>
        <w:t xml:space="preserve">  </w:t>
      </w:r>
      <w:r>
        <w:rPr>
          <w:rFonts w:ascii="宋体" w:hAnsi="宋体"/>
          <w:sz w:val="24"/>
          <w:u w:val="single"/>
        </w:rPr>
        <w:t>广东省英德监狱购买单警装备项目</w:t>
      </w:r>
      <w:r>
        <w:rPr>
          <w:rFonts w:hint="eastAsia" w:ascii="宋体" w:hAnsi="宋体"/>
          <w:sz w:val="24"/>
          <w:u w:val="single"/>
        </w:rPr>
        <w:t xml:space="preserve">  </w:t>
      </w:r>
      <w:r>
        <w:rPr>
          <w:rFonts w:ascii="宋体" w:hAnsi="宋体"/>
          <w:sz w:val="24"/>
        </w:rPr>
        <w:t>采购活动，提</w:t>
      </w:r>
      <w:r>
        <w:rPr>
          <w:rFonts w:hint="eastAsia" w:ascii="宋体" w:hAnsi="宋体"/>
          <w:sz w:val="24"/>
        </w:rPr>
        <w:t>供的货物全部由符合政策要求的中小企业制造。相关企业（含联合体中的中小企业、签订分包意向协议的中小企业）的具体情况如下：</w:t>
      </w:r>
    </w:p>
    <w:p>
      <w:pPr>
        <w:snapToGrid w:val="0"/>
        <w:spacing w:after="0" w:line="360" w:lineRule="auto"/>
        <w:ind w:firstLine="424" w:firstLineChars="177"/>
        <w:rPr>
          <w:rFonts w:ascii="宋体" w:hAnsi="宋体"/>
          <w:sz w:val="24"/>
        </w:rPr>
      </w:pPr>
      <w:r>
        <w:rPr>
          <w:rFonts w:ascii="宋体" w:hAnsi="宋体"/>
          <w:sz w:val="24"/>
        </w:rPr>
        <w:t>1.</w:t>
      </w:r>
      <w:r>
        <w:rPr>
          <w:rFonts w:hint="eastAsia" w:ascii="宋体" w:hAnsi="宋体"/>
          <w:sz w:val="24"/>
          <w:u w:val="single"/>
        </w:rPr>
        <w:t>多功能腰带</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w:t>
      </w:r>
      <w:r>
        <w:rPr>
          <w:rFonts w:hint="eastAsia" w:ascii="宋体" w:hAnsi="宋体"/>
          <w:sz w:val="24"/>
        </w:rPr>
        <w:t>入为</w:t>
      </w:r>
      <w:r>
        <w:rPr>
          <w:rFonts w:ascii="宋体" w:hAnsi="宋体"/>
          <w:sz w:val="24"/>
          <w:u w:val="single"/>
        </w:rPr>
        <w:t xml:space="preserve">     </w:t>
      </w:r>
      <w:r>
        <w:rPr>
          <w:rFonts w:ascii="宋体" w:hAnsi="宋体"/>
          <w:sz w:val="24"/>
        </w:rPr>
        <w:t>万元，资产总额为</w:t>
      </w:r>
      <w:r>
        <w:rPr>
          <w:rFonts w:hint="eastAsia" w:ascii="宋体" w:hAnsi="宋体"/>
          <w:sz w:val="24"/>
          <w:u w:val="single"/>
        </w:rPr>
        <w:t xml:space="preserve"> </w:t>
      </w:r>
      <w:r>
        <w:rPr>
          <w:rFonts w:ascii="宋体" w:hAnsi="宋体"/>
          <w:sz w:val="24"/>
          <w:u w:val="single"/>
        </w:rPr>
        <w:t xml:space="preserve">     </w:t>
      </w:r>
      <w:r>
        <w:rPr>
          <w:rFonts w:ascii="宋体" w:hAnsi="宋体"/>
          <w:sz w:val="24"/>
        </w:rPr>
        <w:t>万元，属于</w:t>
      </w:r>
      <w:r>
        <w:rPr>
          <w:rFonts w:ascii="宋体" w:hAnsi="宋体"/>
          <w:sz w:val="24"/>
          <w:u w:val="single"/>
        </w:rPr>
        <w:t>（中型企业、小</w:t>
      </w:r>
      <w:r>
        <w:rPr>
          <w:rFonts w:hint="eastAsia" w:ascii="宋体" w:hAnsi="宋体"/>
          <w:sz w:val="24"/>
          <w:u w:val="single"/>
        </w:rPr>
        <w:t>型企业、微型企业）</w:t>
      </w:r>
      <w:r>
        <w:rPr>
          <w:rFonts w:ascii="宋体" w:hAnsi="宋体"/>
          <w:sz w:val="24"/>
        </w:rPr>
        <w:t>；</w:t>
      </w:r>
    </w:p>
    <w:p>
      <w:pPr>
        <w:snapToGrid w:val="0"/>
        <w:spacing w:after="0" w:line="360" w:lineRule="auto"/>
        <w:ind w:firstLine="424" w:firstLineChars="177"/>
        <w:rPr>
          <w:rFonts w:ascii="宋体" w:hAnsi="宋体"/>
          <w:sz w:val="24"/>
        </w:rPr>
      </w:pPr>
      <w:r>
        <w:rPr>
          <w:rFonts w:ascii="宋体" w:hAnsi="宋体"/>
          <w:sz w:val="24"/>
        </w:rPr>
        <w:t>2.</w:t>
      </w:r>
      <w:r>
        <w:rPr>
          <w:rFonts w:hint="eastAsia" w:ascii="宋体" w:hAnsi="宋体"/>
          <w:sz w:val="24"/>
          <w:u w:val="single"/>
        </w:rPr>
        <w:t>手铐</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3</w:t>
      </w:r>
      <w:r>
        <w:rPr>
          <w:rFonts w:ascii="宋体" w:hAnsi="宋体"/>
          <w:sz w:val="24"/>
        </w:rPr>
        <w:t>.</w:t>
      </w:r>
      <w:r>
        <w:rPr>
          <w:rFonts w:hint="eastAsia" w:ascii="宋体" w:hAnsi="宋体"/>
          <w:sz w:val="24"/>
          <w:u w:val="single"/>
        </w:rPr>
        <w:t>电警棍</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4</w:t>
      </w:r>
      <w:r>
        <w:rPr>
          <w:rFonts w:ascii="宋体" w:hAnsi="宋体"/>
          <w:sz w:val="24"/>
        </w:rPr>
        <w:t>.</w:t>
      </w:r>
      <w:r>
        <w:rPr>
          <w:rFonts w:hint="eastAsia" w:ascii="宋体" w:hAnsi="宋体"/>
          <w:sz w:val="24"/>
          <w:u w:val="single"/>
        </w:rPr>
        <w:t>自卫催泪喷雾器</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5</w:t>
      </w:r>
      <w:r>
        <w:rPr>
          <w:rFonts w:ascii="宋体" w:hAnsi="宋体"/>
          <w:sz w:val="24"/>
        </w:rPr>
        <w:t>.</w:t>
      </w:r>
      <w:r>
        <w:rPr>
          <w:rFonts w:hint="eastAsia" w:ascii="宋体" w:hAnsi="宋体"/>
          <w:sz w:val="24"/>
          <w:u w:val="single"/>
        </w:rPr>
        <w:t>警哨</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强光手电</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7</w:t>
      </w:r>
      <w:r>
        <w:rPr>
          <w:rFonts w:ascii="宋体" w:hAnsi="宋体"/>
          <w:sz w:val="24"/>
        </w:rPr>
        <w:t>.</w:t>
      </w:r>
      <w:r>
        <w:rPr>
          <w:rFonts w:hint="eastAsia" w:ascii="宋体" w:hAnsi="宋体"/>
          <w:sz w:val="24"/>
          <w:u w:val="single"/>
        </w:rPr>
        <w:t>战术背心</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8</w:t>
      </w:r>
      <w:r>
        <w:rPr>
          <w:rFonts w:ascii="宋体" w:hAnsi="宋体"/>
          <w:sz w:val="24"/>
        </w:rPr>
        <w:t>.</w:t>
      </w:r>
      <w:r>
        <w:rPr>
          <w:rFonts w:hint="eastAsia" w:ascii="宋体" w:hAnsi="宋体"/>
          <w:sz w:val="24"/>
          <w:u w:val="single"/>
        </w:rPr>
        <w:t>伸缩警棍</w:t>
      </w:r>
      <w:r>
        <w:rPr>
          <w:rFonts w:ascii="宋体" w:hAnsi="宋体"/>
          <w:sz w:val="24"/>
        </w:rPr>
        <w:t>，属于</w:t>
      </w:r>
      <w:r>
        <w:rPr>
          <w:rFonts w:hint="eastAsia" w:ascii="宋体" w:hAnsi="宋体"/>
          <w:sz w:val="24"/>
          <w:u w:val="single"/>
        </w:rPr>
        <w:t>工业</w:t>
      </w:r>
      <w:r>
        <w:rPr>
          <w:rFonts w:hint="eastAsia" w:ascii="宋体" w:hAnsi="宋体"/>
          <w:sz w:val="24"/>
        </w:rPr>
        <w:t>行业</w:t>
      </w:r>
      <w:r>
        <w:rPr>
          <w:rFonts w:ascii="宋体" w:hAnsi="宋体"/>
          <w:sz w:val="24"/>
        </w:rPr>
        <w:t>；制造商为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w:t>
      </w:r>
      <w:r>
        <w:rPr>
          <w:rFonts w:hint="eastAsia" w:ascii="宋体" w:hAnsi="宋体"/>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（中型企业、小型</w:t>
      </w:r>
      <w:r>
        <w:rPr>
          <w:rFonts w:hint="eastAsia" w:ascii="宋体" w:hAnsi="宋体"/>
          <w:sz w:val="24"/>
          <w:u w:val="single"/>
        </w:rPr>
        <w:t>企业、微型企业）</w:t>
      </w:r>
      <w:r>
        <w:rPr>
          <w:rFonts w:ascii="宋体" w:hAnsi="宋体"/>
          <w:sz w:val="24"/>
        </w:rPr>
        <w:t>；</w:t>
      </w:r>
    </w:p>
    <w:p>
      <w:pPr>
        <w:snapToGrid w:val="0"/>
        <w:spacing w:after="0" w:line="360" w:lineRule="auto"/>
        <w:ind w:firstLine="424" w:firstLineChars="177"/>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napToGrid w:val="0"/>
        <w:spacing w:after="0" w:line="360" w:lineRule="auto"/>
        <w:ind w:firstLine="424" w:firstLineChars="177"/>
        <w:rPr>
          <w:rFonts w:ascii="宋体" w:hAnsi="宋体"/>
          <w:sz w:val="24"/>
        </w:rPr>
      </w:pPr>
      <w:r>
        <w:rPr>
          <w:rFonts w:hint="eastAsia" w:ascii="宋体" w:hAnsi="宋体"/>
          <w:sz w:val="24"/>
        </w:rPr>
        <w:t>本企业对上述声明内容的真实性负责。如有虚假，将依法承担相应责任。</w:t>
      </w:r>
    </w:p>
    <w:p>
      <w:pPr>
        <w:snapToGrid w:val="0"/>
        <w:spacing w:after="0" w:line="360" w:lineRule="auto"/>
        <w:ind w:left="4320" w:leftChars="2160"/>
        <w:rPr>
          <w:rFonts w:ascii="宋体" w:hAnsi="宋体"/>
          <w:sz w:val="24"/>
        </w:rPr>
      </w:pPr>
      <w:r>
        <w:rPr>
          <w:rFonts w:hint="eastAsia" w:ascii="宋体" w:hAnsi="宋体"/>
          <w:sz w:val="24"/>
        </w:rPr>
        <w:t>企业名称（盖章）：</w:t>
      </w:r>
    </w:p>
    <w:p>
      <w:pPr>
        <w:snapToGrid w:val="0"/>
        <w:spacing w:after="0" w:line="360" w:lineRule="auto"/>
        <w:ind w:left="4320" w:leftChars="2160"/>
        <w:rPr>
          <w:rFonts w:ascii="宋体" w:hAnsi="宋体"/>
          <w:sz w:val="24"/>
        </w:rPr>
      </w:pPr>
      <w:r>
        <w:rPr>
          <w:rFonts w:hint="eastAsia" w:ascii="宋体" w:hAnsi="宋体"/>
          <w:sz w:val="24"/>
        </w:rPr>
        <w:t>日</w:t>
      </w:r>
      <w:r>
        <w:rPr>
          <w:rFonts w:ascii="宋体" w:hAnsi="宋体"/>
          <w:sz w:val="24"/>
        </w:rPr>
        <w:t xml:space="preserve"> 期：</w:t>
      </w:r>
    </w:p>
    <w:p>
      <w:pPr>
        <w:snapToGrid w:val="0"/>
        <w:spacing w:after="0" w:line="360" w:lineRule="auto"/>
        <w:rPr>
          <w:rFonts w:ascii="宋体" w:hAnsi="宋体"/>
          <w:sz w:val="24"/>
        </w:rPr>
      </w:pPr>
    </w:p>
    <w:p>
      <w:pPr>
        <w:snapToGrid w:val="0"/>
        <w:spacing w:after="0" w:line="360" w:lineRule="auto"/>
        <w:rPr>
          <w:rFonts w:ascii="宋体" w:hAnsi="宋体"/>
          <w:sz w:val="24"/>
        </w:rPr>
      </w:pPr>
      <w:r>
        <w:rPr>
          <w:rFonts w:hint="eastAsia" w:ascii="宋体" w:hAnsi="宋体"/>
          <w:sz w:val="24"/>
        </w:rPr>
        <w:t>备注：</w:t>
      </w:r>
    </w:p>
    <w:p>
      <w:pPr>
        <w:snapToGrid w:val="0"/>
        <w:spacing w:after="0" w:line="360" w:lineRule="auto"/>
        <w:rPr>
          <w:rFonts w:ascii="宋体" w:hAnsi="宋体" w:cs="宋体"/>
          <w:sz w:val="24"/>
        </w:rPr>
      </w:pPr>
      <w:r>
        <w:rPr>
          <w:rFonts w:hint="eastAsia" w:ascii="宋体" w:hAnsi="宋体" w:cs="宋体"/>
          <w:sz w:val="24"/>
          <w:lang w:bidi="ar"/>
        </w:rPr>
        <w:t>1、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snapToGrid w:val="0"/>
        <w:spacing w:after="0" w:line="360" w:lineRule="auto"/>
        <w:rPr>
          <w:rFonts w:ascii="宋体" w:hAnsi="宋体" w:cs="宋体"/>
          <w:sz w:val="24"/>
        </w:rPr>
      </w:pPr>
      <w:r>
        <w:rPr>
          <w:rFonts w:hint="eastAsia" w:ascii="宋体" w:hAnsi="宋体" w:cs="宋体"/>
          <w:sz w:val="24"/>
          <w:lang w:bidi="ar"/>
        </w:rPr>
        <w:t>2、供应商应当根据采购文件中明确的采购标的所属行业，作为填写本声明函相应采购标的所属行业及判断所投货物制造商是否属于中小企业的依据。</w:t>
      </w:r>
    </w:p>
    <w:p>
      <w:pPr>
        <w:snapToGrid w:val="0"/>
        <w:spacing w:after="0" w:line="360" w:lineRule="auto"/>
        <w:rPr>
          <w:rFonts w:ascii="宋体" w:hAnsi="宋体" w:cs="宋体"/>
          <w:sz w:val="24"/>
        </w:rPr>
      </w:pPr>
      <w:r>
        <w:rPr>
          <w:rFonts w:hint="eastAsia" w:ascii="宋体" w:hAnsi="宋体" w:cs="宋体"/>
          <w:sz w:val="24"/>
          <w:lang w:bidi="ar"/>
        </w:rPr>
        <w:t>3、投标人可根据《关于印发中小企业划型标准规定的通知》（工信部联企业〔2011〕300号）判断制造商属于大型、中型、小型还是微型企业。</w:t>
      </w:r>
    </w:p>
    <w:p>
      <w:pPr>
        <w:snapToGrid w:val="0"/>
        <w:spacing w:after="0" w:line="360" w:lineRule="auto"/>
        <w:rPr>
          <w:rFonts w:ascii="宋体" w:hAnsi="宋体" w:cs="宋体"/>
          <w:sz w:val="24"/>
        </w:rPr>
      </w:pPr>
      <w:r>
        <w:rPr>
          <w:rFonts w:hint="eastAsia" w:ascii="宋体" w:hAnsi="宋体" w:cs="宋体"/>
          <w:sz w:val="24"/>
          <w:lang w:bidi="ar"/>
        </w:rPr>
        <w:t>4、为方便投标人对《中小企业声明函》格式的填写能有进一步的理解，以下为填写的举例及说明：</w:t>
      </w:r>
    </w:p>
    <w:p>
      <w:pPr>
        <w:snapToGrid w:val="0"/>
        <w:spacing w:after="0" w:line="360" w:lineRule="auto"/>
        <w:ind w:firstLine="480" w:firstLineChars="200"/>
        <w:rPr>
          <w:rFonts w:ascii="宋体" w:hAnsi="宋体" w:cs="宋体"/>
          <w:sz w:val="24"/>
        </w:rPr>
      </w:pPr>
      <w:r>
        <w:rPr>
          <w:rFonts w:hint="eastAsia" w:ascii="宋体" w:hAnsi="宋体" w:cs="宋体"/>
          <w:sz w:val="24"/>
          <w:lang w:bidi="ar"/>
        </w:rPr>
        <w:t xml:space="preserve">如某采购项目的采购标的为“血压计”，采购需求中明确“血压计”的行业为“工业”，投标人所投“血压计”制造商为“A公司”，根据上述信息，投标人对中小企业声明函的填写举例如下： </w:t>
      </w:r>
    </w:p>
    <w:p>
      <w:pPr>
        <w:snapToGrid w:val="0"/>
        <w:spacing w:after="0" w:line="360" w:lineRule="auto"/>
        <w:rPr>
          <w:rFonts w:ascii="宋体" w:hAnsi="宋体" w:cs="宋体"/>
          <w:sz w:val="24"/>
        </w:rPr>
      </w:pPr>
      <w:r>
        <w:rPr>
          <w:rFonts w:hint="eastAsia" w:ascii="宋体" w:hAnsi="宋体" w:cs="宋体"/>
          <w:sz w:val="24"/>
          <w:lang w:bidi="ar"/>
        </w:rPr>
        <w:t>（1）“</w:t>
      </w:r>
      <w:r>
        <w:rPr>
          <w:rFonts w:hint="eastAsia" w:ascii="宋体" w:hAnsi="宋体" w:cs="宋体"/>
          <w:sz w:val="24"/>
          <w:u w:val="single"/>
          <w:lang w:bidi="ar"/>
        </w:rPr>
        <w:t>（标的名称）</w:t>
      </w:r>
      <w:r>
        <w:rPr>
          <w:rFonts w:hint="eastAsia" w:ascii="宋体" w:hAnsi="宋体" w:cs="宋体"/>
          <w:sz w:val="24"/>
          <w:lang w:bidi="ar"/>
        </w:rPr>
        <w:t>”填写为：</w:t>
      </w:r>
      <w:r>
        <w:rPr>
          <w:rFonts w:hint="eastAsia" w:ascii="宋体" w:hAnsi="宋体" w:cs="宋体"/>
          <w:b/>
          <w:bCs/>
          <w:sz w:val="24"/>
          <w:u w:val="single"/>
          <w:lang w:bidi="ar"/>
        </w:rPr>
        <w:t>“血压计”</w:t>
      </w:r>
      <w:r>
        <w:rPr>
          <w:rFonts w:hint="eastAsia" w:ascii="宋体" w:hAnsi="宋体" w:cs="宋体"/>
          <w:sz w:val="24"/>
          <w:lang w:bidi="ar"/>
        </w:rPr>
        <w:t xml:space="preserve">； </w:t>
      </w:r>
    </w:p>
    <w:p>
      <w:pPr>
        <w:snapToGrid w:val="0"/>
        <w:spacing w:after="0" w:line="360" w:lineRule="auto"/>
        <w:rPr>
          <w:rFonts w:ascii="宋体" w:hAnsi="宋体" w:cs="宋体"/>
          <w:sz w:val="24"/>
        </w:rPr>
      </w:pPr>
      <w:r>
        <w:rPr>
          <w:rFonts w:hint="eastAsia" w:ascii="宋体" w:hAnsi="宋体" w:cs="宋体"/>
          <w:sz w:val="24"/>
          <w:lang w:bidi="ar"/>
        </w:rPr>
        <w:t>（2）“</w:t>
      </w:r>
      <w:r>
        <w:rPr>
          <w:rFonts w:hint="eastAsia" w:ascii="宋体" w:hAnsi="宋体" w:cs="宋体"/>
          <w:sz w:val="24"/>
          <w:u w:val="single"/>
          <w:lang w:bidi="ar"/>
        </w:rPr>
        <w:t>（采购文件中明确的所属行业）</w:t>
      </w:r>
      <w:r>
        <w:rPr>
          <w:rFonts w:hint="eastAsia" w:ascii="宋体" w:hAnsi="宋体" w:cs="宋体"/>
          <w:sz w:val="24"/>
          <w:lang w:bidi="ar"/>
        </w:rPr>
        <w:t>”填写为：</w:t>
      </w:r>
      <w:r>
        <w:rPr>
          <w:rFonts w:hint="eastAsia" w:ascii="宋体" w:hAnsi="宋体" w:cs="宋体"/>
          <w:b/>
          <w:bCs/>
          <w:sz w:val="24"/>
          <w:u w:val="single"/>
          <w:lang w:bidi="ar"/>
        </w:rPr>
        <w:t>“工业”</w:t>
      </w:r>
      <w:r>
        <w:rPr>
          <w:rFonts w:hint="eastAsia" w:ascii="宋体" w:hAnsi="宋体" w:cs="宋体"/>
          <w:sz w:val="24"/>
          <w:lang w:bidi="ar"/>
        </w:rPr>
        <w:t>；</w:t>
      </w:r>
    </w:p>
    <w:p>
      <w:pPr>
        <w:snapToGrid w:val="0"/>
        <w:spacing w:after="0" w:line="360" w:lineRule="auto"/>
        <w:rPr>
          <w:rFonts w:ascii="宋体" w:hAnsi="宋体" w:cs="宋体"/>
          <w:sz w:val="24"/>
        </w:rPr>
      </w:pPr>
      <w:r>
        <w:rPr>
          <w:rFonts w:hint="eastAsia" w:ascii="宋体" w:hAnsi="宋体" w:cs="宋体"/>
          <w:sz w:val="24"/>
          <w:lang w:bidi="ar"/>
        </w:rPr>
        <w:t>（3）“</w:t>
      </w:r>
      <w:r>
        <w:rPr>
          <w:rFonts w:hint="eastAsia" w:ascii="宋体" w:hAnsi="宋体" w:cs="宋体"/>
          <w:sz w:val="24"/>
          <w:u w:val="single"/>
          <w:lang w:bidi="ar"/>
        </w:rPr>
        <w:t>（企业名称）</w:t>
      </w:r>
      <w:r>
        <w:rPr>
          <w:rFonts w:hint="eastAsia" w:ascii="宋体" w:hAnsi="宋体" w:cs="宋体"/>
          <w:sz w:val="24"/>
          <w:lang w:bidi="ar"/>
        </w:rPr>
        <w:t>”填写为：</w:t>
      </w:r>
      <w:r>
        <w:rPr>
          <w:rFonts w:hint="eastAsia" w:ascii="宋体" w:hAnsi="宋体" w:cs="宋体"/>
          <w:b/>
          <w:bCs/>
          <w:sz w:val="24"/>
          <w:u w:val="single"/>
          <w:lang w:bidi="ar"/>
        </w:rPr>
        <w:t>“ A公司”</w:t>
      </w:r>
      <w:r>
        <w:rPr>
          <w:rFonts w:hint="eastAsia" w:ascii="宋体" w:hAnsi="宋体" w:cs="宋体"/>
          <w:sz w:val="24"/>
          <w:lang w:bidi="ar"/>
        </w:rPr>
        <w:t>；</w:t>
      </w:r>
    </w:p>
    <w:p>
      <w:pPr>
        <w:snapToGrid w:val="0"/>
        <w:spacing w:after="0" w:line="360" w:lineRule="auto"/>
        <w:rPr>
          <w:rFonts w:ascii="宋体" w:hAnsi="宋体" w:cs="宋体"/>
          <w:sz w:val="24"/>
        </w:rPr>
      </w:pPr>
      <w:r>
        <w:rPr>
          <w:rFonts w:hint="eastAsia" w:ascii="宋体" w:hAnsi="宋体" w:cs="宋体"/>
          <w:sz w:val="24"/>
          <w:lang w:bidi="ar"/>
        </w:rPr>
        <w:t>（4）“</w:t>
      </w:r>
      <w:r>
        <w:rPr>
          <w:rFonts w:hint="eastAsia" w:ascii="宋体" w:hAnsi="宋体" w:cs="宋体"/>
          <w:sz w:val="24"/>
          <w:u w:val="single"/>
          <w:lang w:bidi="ar"/>
        </w:rPr>
        <w:t>从业人员</w:t>
      </w:r>
      <w:r>
        <w:rPr>
          <w:rFonts w:hint="eastAsia" w:ascii="宋体" w:hAnsi="宋体" w:cs="宋体"/>
          <w:sz w:val="24"/>
          <w:lang w:bidi="ar"/>
        </w:rPr>
        <w:t>、</w:t>
      </w:r>
      <w:r>
        <w:rPr>
          <w:rFonts w:hint="eastAsia" w:ascii="宋体" w:hAnsi="宋体" w:cs="宋体"/>
          <w:sz w:val="24"/>
          <w:u w:val="single"/>
          <w:lang w:bidi="ar"/>
        </w:rPr>
        <w:t>营业收入</w:t>
      </w:r>
      <w:r>
        <w:rPr>
          <w:rFonts w:hint="eastAsia" w:ascii="宋体" w:hAnsi="宋体" w:cs="宋体"/>
          <w:sz w:val="24"/>
          <w:lang w:bidi="ar"/>
        </w:rPr>
        <w:t>、</w:t>
      </w:r>
      <w:r>
        <w:rPr>
          <w:rFonts w:hint="eastAsia" w:ascii="宋体" w:hAnsi="宋体" w:cs="宋体"/>
          <w:sz w:val="24"/>
          <w:u w:val="single"/>
          <w:lang w:bidi="ar"/>
        </w:rPr>
        <w:t>资产总额</w:t>
      </w:r>
      <w:r>
        <w:rPr>
          <w:rFonts w:hint="eastAsia" w:ascii="宋体" w:hAnsi="宋体" w:cs="宋体"/>
          <w:sz w:val="24"/>
          <w:lang w:bidi="ar"/>
        </w:rPr>
        <w:t>”均填写</w:t>
      </w:r>
      <w:r>
        <w:rPr>
          <w:rFonts w:hint="eastAsia" w:ascii="宋体" w:hAnsi="宋体" w:cs="宋体"/>
          <w:b/>
          <w:bCs/>
          <w:sz w:val="24"/>
          <w:lang w:bidi="ar"/>
        </w:rPr>
        <w:t>所投血压计制造商A公司的上一年度数据</w:t>
      </w:r>
      <w:r>
        <w:rPr>
          <w:rFonts w:hint="eastAsia" w:ascii="宋体" w:hAnsi="宋体" w:cs="宋体"/>
          <w:sz w:val="24"/>
          <w:lang w:bidi="ar"/>
        </w:rPr>
        <w:t xml:space="preserve">，如无上一年度数据的新成立企业可不填报。 </w:t>
      </w:r>
    </w:p>
    <w:p>
      <w:pPr>
        <w:snapToGrid w:val="0"/>
        <w:spacing w:after="0" w:line="360" w:lineRule="auto"/>
        <w:rPr>
          <w:rFonts w:ascii="宋体" w:hAnsi="宋体" w:cs="宋体"/>
          <w:sz w:val="24"/>
        </w:rPr>
      </w:pPr>
      <w:r>
        <w:rPr>
          <w:rFonts w:hint="eastAsia" w:ascii="宋体" w:hAnsi="宋体" w:cs="宋体"/>
          <w:sz w:val="24"/>
          <w:lang w:bidi="ar"/>
        </w:rPr>
        <w:t>（5）“</w:t>
      </w:r>
      <w:r>
        <w:rPr>
          <w:rFonts w:hint="eastAsia" w:ascii="宋体" w:hAnsi="宋体" w:cs="宋体"/>
          <w:sz w:val="24"/>
          <w:u w:val="single"/>
          <w:lang w:bidi="ar"/>
        </w:rPr>
        <w:t>（中型企业、小型企业、微型企业）</w:t>
      </w:r>
      <w:r>
        <w:rPr>
          <w:rFonts w:hint="eastAsia" w:ascii="宋体" w:hAnsi="宋体" w:cs="宋体"/>
          <w:sz w:val="24"/>
          <w:lang w:bidi="ar"/>
        </w:rPr>
        <w:t>”应根据血压计制造商A公司在按工业行业所对应的划分标准判断企业类型后，在中型企业、小型企业、微型企业三种企业类型中</w:t>
      </w:r>
      <w:r>
        <w:rPr>
          <w:rFonts w:hint="eastAsia" w:ascii="宋体" w:hAnsi="宋体" w:cs="宋体"/>
          <w:b/>
          <w:bCs/>
          <w:sz w:val="24"/>
          <w:u w:val="single"/>
          <w:lang w:bidi="ar"/>
        </w:rPr>
        <w:t>选择其一进行填写</w:t>
      </w:r>
      <w:r>
        <w:rPr>
          <w:rFonts w:hint="eastAsia" w:ascii="宋体" w:hAnsi="宋体" w:cs="宋体"/>
          <w:sz w:val="24"/>
          <w:lang w:bidi="ar"/>
        </w:rPr>
        <w:t xml:space="preserve">。 </w:t>
      </w:r>
    </w:p>
    <w:p>
      <w:pPr>
        <w:widowControl/>
        <w:snapToGrid w:val="0"/>
        <w:spacing w:after="0" w:line="360" w:lineRule="auto"/>
        <w:jc w:val="left"/>
        <w:rPr>
          <w:rFonts w:ascii="宋体" w:hAnsi="宋体"/>
          <w:sz w:val="24"/>
        </w:rPr>
      </w:pPr>
      <w:r>
        <w:rPr>
          <w:rFonts w:hint="eastAsia" w:ascii="宋体" w:hAnsi="宋体"/>
          <w:b/>
          <w:bCs/>
          <w:sz w:val="24"/>
          <w:u w:val="single"/>
          <w:lang w:bidi="ar"/>
        </w:rPr>
        <w:t>如采购项目采购多个标的的，每个采购标的都必须按照上述单个标的填写要求逐一列出并填写。</w:t>
      </w:r>
    </w:p>
    <w:p>
      <w:pPr>
        <w:widowControl/>
        <w:adjustRightInd/>
        <w:spacing w:after="0" w:line="240" w:lineRule="auto"/>
        <w:jc w:val="left"/>
        <w:textAlignment w:val="auto"/>
        <w:rPr>
          <w:rFonts w:ascii="黑体" w:hAnsi="黑体" w:eastAsia="黑体"/>
          <w:sz w:val="32"/>
          <w:szCs w:val="32"/>
        </w:rPr>
      </w:pPr>
      <w:r>
        <w:rPr>
          <w:rFonts w:ascii="黑体" w:hAnsi="黑体" w:eastAsia="黑体"/>
          <w:sz w:val="32"/>
          <w:szCs w:val="32"/>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残疾人福利性单位声明函（如有）</w:t>
      </w:r>
    </w:p>
    <w:p>
      <w:pPr>
        <w:spacing w:after="0"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pacing w:after="0" w:line="360" w:lineRule="auto"/>
        <w:ind w:firstLine="480" w:firstLineChars="200"/>
        <w:jc w:val="center"/>
        <w:rPr>
          <w:rFonts w:ascii="宋体" w:hAnsi="宋体"/>
          <w:sz w:val="24"/>
        </w:rPr>
      </w:pPr>
      <w:r>
        <w:rPr>
          <w:rFonts w:hint="eastAsia" w:ascii="宋体" w:hAnsi="宋体"/>
          <w:sz w:val="24"/>
        </w:rPr>
        <w:t>投标人名称（单位盖公章）：</w:t>
      </w:r>
    </w:p>
    <w:p>
      <w:pPr>
        <w:spacing w:after="0" w:line="360" w:lineRule="auto"/>
        <w:ind w:firstLine="480" w:firstLineChars="200"/>
        <w:jc w:val="center"/>
        <w:rPr>
          <w:rFonts w:ascii="宋体" w:hAnsi="宋体"/>
          <w:sz w:val="24"/>
        </w:rPr>
      </w:pPr>
      <w:r>
        <w:rPr>
          <w:rFonts w:hint="eastAsia" w:ascii="宋体" w:hAnsi="宋体"/>
          <w:sz w:val="24"/>
        </w:rPr>
        <w:t>日  期：</w:t>
      </w:r>
    </w:p>
    <w:p>
      <w:pPr>
        <w:widowControl/>
        <w:spacing w:after="0"/>
        <w:jc w:val="left"/>
        <w:rPr>
          <w:rFonts w:ascii="黑体" w:hAnsi="黑体" w:eastAsia="黑体"/>
          <w:sz w:val="32"/>
          <w:szCs w:val="32"/>
        </w:rPr>
      </w:pPr>
    </w:p>
    <w:p>
      <w:pPr>
        <w:widowControl/>
        <w:spacing w:after="0"/>
        <w:jc w:val="left"/>
        <w:rPr>
          <w:rFonts w:ascii="黑体" w:hAnsi="黑体" w:eastAsia="黑体"/>
          <w:sz w:val="32"/>
          <w:szCs w:val="32"/>
        </w:rPr>
      </w:pPr>
    </w:p>
    <w:p>
      <w:pPr>
        <w:widowControl/>
        <w:spacing w:after="0"/>
        <w:jc w:val="left"/>
        <w:rPr>
          <w:rFonts w:ascii="黑体" w:hAnsi="黑体" w:eastAsia="黑体"/>
          <w:sz w:val="32"/>
          <w:szCs w:val="32"/>
        </w:rPr>
      </w:pPr>
    </w:p>
    <w:p>
      <w:pPr>
        <w:widowControl/>
        <w:spacing w:after="0"/>
        <w:jc w:val="left"/>
        <w:rPr>
          <w:rFonts w:ascii="黑体" w:hAnsi="黑体" w:eastAsia="黑体"/>
          <w:sz w:val="32"/>
          <w:szCs w:val="32"/>
        </w:r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监狱企业的证明文件（如有）</w:t>
      </w:r>
    </w:p>
    <w:p>
      <w:pPr>
        <w:spacing w:after="0" w:line="360" w:lineRule="auto"/>
        <w:ind w:firstLine="480" w:firstLineChars="200"/>
        <w:rPr>
          <w:rFonts w:ascii="宋体" w:hAnsi="宋体"/>
          <w:sz w:val="24"/>
        </w:rPr>
      </w:pPr>
      <w:r>
        <w:rPr>
          <w:rFonts w:hint="eastAsia" w:ascii="宋体" w:hAnsi="宋体"/>
          <w:sz w:val="24"/>
        </w:rPr>
        <w:t>说明：监狱企业参加采购活动时，应当提供由</w:t>
      </w:r>
      <w:r>
        <w:rPr>
          <w:rFonts w:hint="eastAsia" w:ascii="宋体" w:hAnsi="宋体"/>
          <w:b/>
          <w:sz w:val="24"/>
        </w:rPr>
        <w:t>省级以上监狱管理局、戒毒管理局（含新疆生产建设兵团）出具的属于监狱企业的证明文件，</w:t>
      </w:r>
      <w:r>
        <w:rPr>
          <w:rFonts w:hint="eastAsia" w:ascii="宋体" w:hAnsi="宋体"/>
          <w:sz w:val="24"/>
        </w:rPr>
        <w:t>并加盖投标单位公章。</w:t>
      </w:r>
    </w:p>
    <w:p>
      <w:pPr>
        <w:widowControl/>
        <w:spacing w:after="0"/>
        <w:jc w:val="left"/>
        <w:rPr>
          <w:rFonts w:ascii="黑体" w:hAnsi="黑体" w:eastAsia="黑体"/>
          <w:sz w:val="32"/>
          <w:szCs w:val="32"/>
        </w:rPr>
      </w:pPr>
    </w:p>
    <w:p>
      <w:pPr>
        <w:widowControl/>
        <w:adjustRightInd/>
        <w:spacing w:after="0" w:line="240" w:lineRule="auto"/>
        <w:jc w:val="left"/>
        <w:textAlignment w:val="auto"/>
        <w:rPr>
          <w:rFonts w:ascii="黑体" w:hAnsi="黑体" w:eastAsia="黑体"/>
          <w:sz w:val="32"/>
          <w:szCs w:val="32"/>
        </w:rPr>
      </w:pPr>
      <w:r>
        <w:rPr>
          <w:rFonts w:ascii="黑体" w:hAnsi="黑体" w:eastAsia="黑体"/>
          <w:sz w:val="32"/>
          <w:szCs w:val="32"/>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政策功能情况（如有）</w:t>
      </w:r>
    </w:p>
    <w:p>
      <w:pPr>
        <w:tabs>
          <w:tab w:val="left" w:pos="7740"/>
        </w:tabs>
        <w:snapToGrid w:val="0"/>
        <w:spacing w:after="0" w:line="360" w:lineRule="auto"/>
        <w:rPr>
          <w:rFonts w:ascii="宋体" w:hAnsi="宋体"/>
          <w:sz w:val="24"/>
        </w:rPr>
      </w:pPr>
      <w:r>
        <w:rPr>
          <w:rFonts w:hint="eastAsia" w:ascii="宋体" w:hAnsi="宋体"/>
          <w:sz w:val="24"/>
        </w:rPr>
        <w:t>项目名称：广东省英德监狱购买单警装备项目</w:t>
      </w:r>
    </w:p>
    <w:tbl>
      <w:tblPr>
        <w:tblStyle w:val="38"/>
        <w:tblW w:w="94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0"/>
        <w:gridCol w:w="2195"/>
        <w:gridCol w:w="1674"/>
        <w:gridCol w:w="1989"/>
        <w:gridCol w:w="2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010"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类别</w:t>
            </w:r>
          </w:p>
        </w:tc>
        <w:tc>
          <w:tcPr>
            <w:tcW w:w="2195"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投标产品</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（规格型号）</w:t>
            </w:r>
          </w:p>
        </w:tc>
        <w:tc>
          <w:tcPr>
            <w:tcW w:w="1674"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生产者</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（制造商）</w:t>
            </w:r>
          </w:p>
        </w:tc>
        <w:tc>
          <w:tcPr>
            <w:tcW w:w="1989" w:type="dxa"/>
            <w:vAlign w:val="center"/>
          </w:tcPr>
          <w:p>
            <w:pPr>
              <w:tabs>
                <w:tab w:val="left" w:pos="7740"/>
              </w:tabs>
              <w:snapToGrid w:val="0"/>
              <w:spacing w:after="0" w:line="288" w:lineRule="auto"/>
              <w:jc w:val="center"/>
              <w:rPr>
                <w:rFonts w:ascii="宋体" w:hAnsi="宋体"/>
                <w:sz w:val="24"/>
                <w:lang w:val="en-GB"/>
              </w:rPr>
            </w:pPr>
            <w:r>
              <w:rPr>
                <w:rFonts w:ascii="宋体" w:hAnsi="宋体"/>
                <w:sz w:val="24"/>
                <w:lang w:val="en-GB"/>
              </w:rPr>
              <w:t>证书编号</w:t>
            </w:r>
          </w:p>
        </w:tc>
        <w:tc>
          <w:tcPr>
            <w:tcW w:w="2587" w:type="dxa"/>
            <w:tcBorders>
              <w:bottom w:val="single" w:color="auto" w:sz="4" w:space="0"/>
            </w:tcBorders>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所投节能产品金额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restart"/>
            <w:vAlign w:val="center"/>
          </w:tcPr>
          <w:p>
            <w:pPr>
              <w:tabs>
                <w:tab w:val="left" w:pos="7740"/>
              </w:tabs>
              <w:snapToGrid w:val="0"/>
              <w:spacing w:after="0" w:line="288" w:lineRule="auto"/>
              <w:rPr>
                <w:rFonts w:ascii="宋体" w:hAnsi="宋体"/>
                <w:sz w:val="24"/>
                <w:lang w:val="en-GB"/>
              </w:rPr>
            </w:pPr>
            <w:r>
              <w:rPr>
                <w:rFonts w:hint="eastAsia" w:ascii="宋体" w:hAnsi="宋体"/>
                <w:sz w:val="24"/>
                <w:lang w:val="en-GB"/>
              </w:rPr>
              <w:t>节能</w:t>
            </w:r>
          </w:p>
          <w:p>
            <w:pPr>
              <w:tabs>
                <w:tab w:val="left" w:pos="7740"/>
              </w:tabs>
              <w:snapToGrid w:val="0"/>
              <w:spacing w:after="0" w:line="288" w:lineRule="auto"/>
              <w:rPr>
                <w:rFonts w:ascii="宋体" w:hAnsi="宋体"/>
                <w:sz w:val="24"/>
                <w:lang w:val="en-GB"/>
              </w:rPr>
            </w:pPr>
            <w:r>
              <w:rPr>
                <w:rFonts w:hint="eastAsia" w:ascii="宋体" w:hAnsi="宋体"/>
                <w:sz w:val="24"/>
                <w:lang w:val="en-GB"/>
              </w:rPr>
              <w:t>产品</w:t>
            </w: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sz w:val="24"/>
                <w:lang w:val="en-GB"/>
              </w:rPr>
            </w:pPr>
          </w:p>
        </w:tc>
        <w:tc>
          <w:tcPr>
            <w:tcW w:w="1989" w:type="dxa"/>
            <w:vAlign w:val="center"/>
          </w:tcPr>
          <w:p>
            <w:pPr>
              <w:tabs>
                <w:tab w:val="left" w:pos="7740"/>
              </w:tabs>
              <w:snapToGrid w:val="0"/>
              <w:spacing w:after="0" w:line="288" w:lineRule="auto"/>
              <w:rPr>
                <w:rFonts w:ascii="宋体" w:hAnsi="宋体"/>
                <w:sz w:val="24"/>
                <w:lang w:val="en-GB"/>
              </w:rPr>
            </w:pPr>
          </w:p>
        </w:tc>
        <w:tc>
          <w:tcPr>
            <w:tcW w:w="2587" w:type="dxa"/>
            <w:vAlign w:val="center"/>
          </w:tcPr>
          <w:p>
            <w:pPr>
              <w:tabs>
                <w:tab w:val="left" w:pos="7740"/>
              </w:tabs>
              <w:snapToGrid w:val="0"/>
              <w:spacing w:after="0" w:line="288" w:lineRule="auto"/>
              <w:rPr>
                <w:rFonts w:ascii="宋体" w:hAnsi="宋体"/>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sz w:val="24"/>
                <w:lang w:val="en-GB"/>
              </w:rPr>
            </w:pPr>
          </w:p>
        </w:tc>
        <w:tc>
          <w:tcPr>
            <w:tcW w:w="1989" w:type="dxa"/>
            <w:vAlign w:val="center"/>
          </w:tcPr>
          <w:p>
            <w:pPr>
              <w:tabs>
                <w:tab w:val="left" w:pos="7740"/>
              </w:tabs>
              <w:snapToGrid w:val="0"/>
              <w:spacing w:after="0" w:line="288" w:lineRule="auto"/>
              <w:rPr>
                <w:rFonts w:ascii="宋体" w:hAnsi="宋体"/>
                <w:sz w:val="24"/>
                <w:lang w:val="en-GB"/>
              </w:rPr>
            </w:pPr>
          </w:p>
        </w:tc>
        <w:tc>
          <w:tcPr>
            <w:tcW w:w="2587" w:type="dxa"/>
            <w:vAlign w:val="center"/>
          </w:tcPr>
          <w:p>
            <w:pPr>
              <w:tabs>
                <w:tab w:val="left" w:pos="7740"/>
              </w:tabs>
              <w:snapToGrid w:val="0"/>
              <w:spacing w:after="0" w:line="288" w:lineRule="auto"/>
              <w:rPr>
                <w:rFonts w:ascii="宋体" w:hAnsi="宋体"/>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3"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8445" w:type="dxa"/>
            <w:gridSpan w:val="4"/>
            <w:vAlign w:val="center"/>
          </w:tcPr>
          <w:p>
            <w:pPr>
              <w:tabs>
                <w:tab w:val="left" w:pos="7740"/>
              </w:tabs>
              <w:snapToGrid w:val="0"/>
              <w:spacing w:after="0" w:line="288" w:lineRule="auto"/>
              <w:rPr>
                <w:rFonts w:ascii="宋体" w:hAnsi="宋体"/>
                <w:sz w:val="24"/>
                <w:lang w:val="en-GB"/>
              </w:rPr>
            </w:pPr>
          </w:p>
          <w:p>
            <w:pPr>
              <w:tabs>
                <w:tab w:val="left" w:pos="7740"/>
              </w:tabs>
              <w:snapToGrid w:val="0"/>
              <w:spacing w:after="0" w:line="288" w:lineRule="auto"/>
              <w:rPr>
                <w:rFonts w:ascii="宋体" w:hAnsi="宋体"/>
                <w:sz w:val="24"/>
                <w:u w:val="single"/>
                <w:lang w:val="en-GB"/>
              </w:rPr>
            </w:pPr>
            <w:r>
              <w:rPr>
                <w:rFonts w:hint="eastAsia" w:ascii="宋体" w:hAnsi="宋体"/>
                <w:sz w:val="24"/>
                <w:lang w:val="en-GB"/>
              </w:rPr>
              <w:t xml:space="preserve">节能产品总金额： </w:t>
            </w:r>
            <w:r>
              <w:rPr>
                <w:rFonts w:ascii="宋体" w:hAnsi="宋体"/>
                <w:sz w:val="24"/>
                <w:u w:val="single"/>
                <w:lang w:val="en-GB"/>
              </w:rPr>
              <w:t xml:space="preserve">                      </w:t>
            </w:r>
          </w:p>
          <w:p>
            <w:pPr>
              <w:tabs>
                <w:tab w:val="left" w:pos="7740"/>
              </w:tabs>
              <w:snapToGrid w:val="0"/>
              <w:spacing w:after="0" w:line="288" w:lineRule="auto"/>
              <w:rPr>
                <w:rFonts w:ascii="宋体" w:hAnsi="宋体"/>
                <w:sz w:val="24"/>
                <w:lang w:val="en-GB"/>
              </w:rPr>
            </w:pPr>
            <w:r>
              <w:rPr>
                <w:rFonts w:ascii="宋体" w:hAnsi="宋体"/>
                <w:sz w:val="24"/>
                <w:lang w:val="en-GB"/>
              </w:rPr>
              <w:t xml:space="preserve">   </w:t>
            </w:r>
            <w:r>
              <w:rPr>
                <w:rFonts w:hint="eastAsia" w:ascii="宋体" w:hAnsi="宋体"/>
                <w:sz w:val="24"/>
                <w:lang w:val="en-GB"/>
              </w:rPr>
              <w:t xml:space="preserve"> </w:t>
            </w:r>
            <w:r>
              <w:rPr>
                <w:rFonts w:ascii="宋体" w:hAnsi="宋体"/>
                <w:sz w:val="24"/>
                <w:lang w:val="en-GB"/>
              </w:rPr>
              <w:t xml:space="preserve"> </w:t>
            </w:r>
          </w:p>
          <w:p>
            <w:pPr>
              <w:tabs>
                <w:tab w:val="left" w:pos="7740"/>
              </w:tabs>
              <w:snapToGrid w:val="0"/>
              <w:spacing w:after="0" w:line="288" w:lineRule="auto"/>
              <w:rPr>
                <w:rFonts w:ascii="宋体" w:hAnsi="宋体"/>
                <w:sz w:val="24"/>
                <w:lang w:val="en-GB"/>
              </w:rPr>
            </w:pPr>
            <w:r>
              <w:rPr>
                <w:rFonts w:hint="eastAsia" w:ascii="宋体" w:hAnsi="宋体"/>
                <w:sz w:val="24"/>
                <w:lang w:val="en-GB"/>
              </w:rPr>
              <w:t>节能产品金额占总投标报价比重：</w:t>
            </w:r>
            <w:r>
              <w:rPr>
                <w:rFonts w:ascii="宋体" w:hAnsi="宋体"/>
                <w:sz w:val="24"/>
                <w:u w:val="single"/>
                <w:lang w:val="en-GB"/>
              </w:rPr>
              <w:t xml:space="preserve">              </w:t>
            </w:r>
            <w:r>
              <w:rPr>
                <w:rFonts w:ascii="宋体" w:hAnsi="宋体"/>
                <w:sz w:val="24"/>
                <w:lang w:val="en-GB"/>
              </w:rPr>
              <w:t xml:space="preserve"> </w:t>
            </w:r>
            <w:r>
              <w:rPr>
                <w:rFonts w:hint="eastAsia" w:ascii="宋体" w:hAnsi="宋体"/>
                <w:sz w:val="24"/>
                <w:lang w:val="en-GB"/>
              </w:rPr>
              <w:t>%</w:t>
            </w:r>
            <w:r>
              <w:rPr>
                <w:rFonts w:ascii="宋体" w:hAnsi="宋体"/>
                <w:sz w:val="24"/>
                <w:lang w:val="en-G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restart"/>
            <w:vAlign w:val="center"/>
          </w:tcPr>
          <w:p>
            <w:pPr>
              <w:tabs>
                <w:tab w:val="left" w:pos="7740"/>
              </w:tabs>
              <w:snapToGrid w:val="0"/>
              <w:spacing w:after="0" w:line="288" w:lineRule="auto"/>
              <w:rPr>
                <w:rFonts w:ascii="宋体" w:hAnsi="宋体"/>
                <w:sz w:val="24"/>
                <w:lang w:val="en-GB"/>
              </w:rPr>
            </w:pPr>
            <w:r>
              <w:rPr>
                <w:rFonts w:hint="eastAsia" w:ascii="宋体" w:hAnsi="宋体"/>
                <w:sz w:val="24"/>
                <w:lang w:val="en-GB"/>
              </w:rPr>
              <w:t>环保标志产品</w:t>
            </w:r>
          </w:p>
        </w:tc>
        <w:tc>
          <w:tcPr>
            <w:tcW w:w="2195"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投标产品</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（规格型号）</w:t>
            </w:r>
          </w:p>
        </w:tc>
        <w:tc>
          <w:tcPr>
            <w:tcW w:w="1674" w:type="dxa"/>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生产者</w:t>
            </w:r>
          </w:p>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（制造商）</w:t>
            </w:r>
          </w:p>
        </w:tc>
        <w:tc>
          <w:tcPr>
            <w:tcW w:w="1989" w:type="dxa"/>
            <w:vAlign w:val="center"/>
          </w:tcPr>
          <w:p>
            <w:pPr>
              <w:tabs>
                <w:tab w:val="left" w:pos="7740"/>
              </w:tabs>
              <w:snapToGrid w:val="0"/>
              <w:spacing w:after="0" w:line="288" w:lineRule="auto"/>
              <w:jc w:val="center"/>
              <w:rPr>
                <w:rFonts w:ascii="宋体" w:hAnsi="宋体"/>
                <w:sz w:val="24"/>
                <w:lang w:val="en-GB"/>
              </w:rPr>
            </w:pPr>
            <w:r>
              <w:rPr>
                <w:rFonts w:ascii="宋体" w:hAnsi="宋体"/>
                <w:sz w:val="24"/>
                <w:lang w:val="en-GB"/>
              </w:rPr>
              <w:t>证书编号</w:t>
            </w:r>
          </w:p>
        </w:tc>
        <w:tc>
          <w:tcPr>
            <w:tcW w:w="2587" w:type="dxa"/>
            <w:tcBorders>
              <w:top w:val="single" w:color="auto" w:sz="4" w:space="0"/>
            </w:tcBorders>
            <w:vAlign w:val="center"/>
          </w:tcPr>
          <w:p>
            <w:pPr>
              <w:tabs>
                <w:tab w:val="left" w:pos="7740"/>
              </w:tabs>
              <w:snapToGrid w:val="0"/>
              <w:spacing w:after="0" w:line="288" w:lineRule="auto"/>
              <w:jc w:val="center"/>
              <w:rPr>
                <w:rFonts w:ascii="宋体" w:hAnsi="宋体"/>
                <w:sz w:val="24"/>
                <w:lang w:val="en-GB"/>
              </w:rPr>
            </w:pPr>
            <w:r>
              <w:rPr>
                <w:rFonts w:hint="eastAsia" w:ascii="宋体" w:hAnsi="宋体"/>
                <w:sz w:val="24"/>
                <w:lang w:val="en-GB"/>
              </w:rPr>
              <w:t>所投环保标志产品金额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bCs/>
                <w:sz w:val="24"/>
                <w:lang w:val="en-GB"/>
              </w:rPr>
            </w:pPr>
          </w:p>
        </w:tc>
        <w:tc>
          <w:tcPr>
            <w:tcW w:w="1989" w:type="dxa"/>
            <w:vAlign w:val="center"/>
          </w:tcPr>
          <w:p>
            <w:pPr>
              <w:tabs>
                <w:tab w:val="left" w:pos="7740"/>
              </w:tabs>
              <w:snapToGrid w:val="0"/>
              <w:spacing w:after="0" w:line="288" w:lineRule="auto"/>
              <w:rPr>
                <w:rFonts w:ascii="宋体" w:hAnsi="宋体"/>
                <w:bCs/>
                <w:sz w:val="24"/>
                <w:lang w:val="en-GB"/>
              </w:rPr>
            </w:pPr>
          </w:p>
        </w:tc>
        <w:tc>
          <w:tcPr>
            <w:tcW w:w="2587" w:type="dxa"/>
            <w:tcBorders>
              <w:top w:val="single" w:color="auto" w:sz="4" w:space="0"/>
            </w:tcBorders>
            <w:vAlign w:val="center"/>
          </w:tcPr>
          <w:p>
            <w:pPr>
              <w:tabs>
                <w:tab w:val="left" w:pos="7740"/>
              </w:tabs>
              <w:snapToGrid w:val="0"/>
              <w:spacing w:after="0" w:line="288" w:lineRule="auto"/>
              <w:rPr>
                <w:rFonts w:ascii="宋体" w:hAnsi="宋体"/>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10" w:type="dxa"/>
            <w:vMerge w:val="continue"/>
            <w:vAlign w:val="center"/>
          </w:tcPr>
          <w:p>
            <w:pPr>
              <w:tabs>
                <w:tab w:val="left" w:pos="7740"/>
              </w:tabs>
              <w:snapToGrid w:val="0"/>
              <w:spacing w:after="0" w:line="288" w:lineRule="auto"/>
              <w:rPr>
                <w:rFonts w:ascii="宋体" w:hAnsi="宋体"/>
                <w:sz w:val="24"/>
                <w:lang w:val="en-GB"/>
              </w:rPr>
            </w:pPr>
          </w:p>
        </w:tc>
        <w:tc>
          <w:tcPr>
            <w:tcW w:w="2195" w:type="dxa"/>
            <w:vAlign w:val="center"/>
          </w:tcPr>
          <w:p>
            <w:pPr>
              <w:tabs>
                <w:tab w:val="left" w:pos="7740"/>
              </w:tabs>
              <w:snapToGrid w:val="0"/>
              <w:spacing w:after="0" w:line="288" w:lineRule="auto"/>
              <w:rPr>
                <w:rFonts w:ascii="宋体" w:hAnsi="宋体"/>
                <w:sz w:val="24"/>
                <w:lang w:val="en-GB"/>
              </w:rPr>
            </w:pPr>
          </w:p>
        </w:tc>
        <w:tc>
          <w:tcPr>
            <w:tcW w:w="1674" w:type="dxa"/>
            <w:vAlign w:val="center"/>
          </w:tcPr>
          <w:p>
            <w:pPr>
              <w:tabs>
                <w:tab w:val="left" w:pos="7740"/>
              </w:tabs>
              <w:snapToGrid w:val="0"/>
              <w:spacing w:after="0" w:line="288" w:lineRule="auto"/>
              <w:rPr>
                <w:rFonts w:ascii="宋体" w:hAnsi="宋体"/>
                <w:bCs/>
                <w:sz w:val="24"/>
                <w:lang w:val="en-GB"/>
              </w:rPr>
            </w:pPr>
          </w:p>
        </w:tc>
        <w:tc>
          <w:tcPr>
            <w:tcW w:w="1989" w:type="dxa"/>
            <w:vAlign w:val="center"/>
          </w:tcPr>
          <w:p>
            <w:pPr>
              <w:tabs>
                <w:tab w:val="left" w:pos="7740"/>
              </w:tabs>
              <w:snapToGrid w:val="0"/>
              <w:spacing w:after="0" w:line="288" w:lineRule="auto"/>
              <w:rPr>
                <w:rFonts w:ascii="宋体" w:hAnsi="宋体"/>
                <w:bCs/>
                <w:sz w:val="24"/>
                <w:lang w:val="en-GB"/>
              </w:rPr>
            </w:pPr>
          </w:p>
        </w:tc>
        <w:tc>
          <w:tcPr>
            <w:tcW w:w="2587" w:type="dxa"/>
            <w:vAlign w:val="center"/>
          </w:tcPr>
          <w:p>
            <w:pPr>
              <w:tabs>
                <w:tab w:val="left" w:pos="7740"/>
              </w:tabs>
              <w:snapToGrid w:val="0"/>
              <w:spacing w:after="0" w:line="288" w:lineRule="auto"/>
              <w:rPr>
                <w:rFonts w:ascii="宋体" w:hAnsi="宋体"/>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2" w:hRule="atLeast"/>
          <w:jc w:val="center"/>
        </w:trPr>
        <w:tc>
          <w:tcPr>
            <w:tcW w:w="1010" w:type="dxa"/>
            <w:vMerge w:val="continue"/>
            <w:tcBorders>
              <w:bottom w:val="single" w:color="auto" w:sz="12" w:space="0"/>
            </w:tcBorders>
            <w:vAlign w:val="center"/>
          </w:tcPr>
          <w:p>
            <w:pPr>
              <w:tabs>
                <w:tab w:val="left" w:pos="7740"/>
              </w:tabs>
              <w:snapToGrid w:val="0"/>
              <w:spacing w:after="0" w:line="288" w:lineRule="auto"/>
              <w:rPr>
                <w:rFonts w:ascii="宋体" w:hAnsi="宋体"/>
                <w:sz w:val="24"/>
                <w:lang w:val="en-GB"/>
              </w:rPr>
            </w:pPr>
          </w:p>
        </w:tc>
        <w:tc>
          <w:tcPr>
            <w:tcW w:w="8445" w:type="dxa"/>
            <w:gridSpan w:val="4"/>
            <w:tcBorders>
              <w:bottom w:val="single" w:color="auto" w:sz="12" w:space="0"/>
            </w:tcBorders>
            <w:vAlign w:val="center"/>
          </w:tcPr>
          <w:p>
            <w:pPr>
              <w:tabs>
                <w:tab w:val="left" w:pos="7740"/>
              </w:tabs>
              <w:snapToGrid w:val="0"/>
              <w:spacing w:after="0" w:line="288" w:lineRule="auto"/>
              <w:rPr>
                <w:rFonts w:ascii="宋体" w:hAnsi="宋体"/>
                <w:sz w:val="24"/>
                <w:lang w:val="en-GB"/>
              </w:rPr>
            </w:pPr>
          </w:p>
          <w:p>
            <w:pPr>
              <w:tabs>
                <w:tab w:val="left" w:pos="7740"/>
              </w:tabs>
              <w:snapToGrid w:val="0"/>
              <w:spacing w:after="0" w:line="288" w:lineRule="auto"/>
              <w:rPr>
                <w:rFonts w:ascii="宋体" w:hAnsi="宋体"/>
                <w:sz w:val="24"/>
                <w:u w:val="single"/>
                <w:lang w:val="en-GB"/>
              </w:rPr>
            </w:pPr>
            <w:r>
              <w:rPr>
                <w:rFonts w:hint="eastAsia" w:ascii="宋体" w:hAnsi="宋体"/>
                <w:sz w:val="24"/>
                <w:lang w:val="en-GB"/>
              </w:rPr>
              <w:t xml:space="preserve">环保标志产品总金额： </w:t>
            </w:r>
            <w:r>
              <w:rPr>
                <w:rFonts w:ascii="宋体" w:hAnsi="宋体"/>
                <w:sz w:val="24"/>
                <w:u w:val="single"/>
                <w:lang w:val="en-GB"/>
              </w:rPr>
              <w:t xml:space="preserve">                      </w:t>
            </w:r>
          </w:p>
          <w:p>
            <w:pPr>
              <w:tabs>
                <w:tab w:val="left" w:pos="7740"/>
              </w:tabs>
              <w:snapToGrid w:val="0"/>
              <w:spacing w:after="0" w:line="288" w:lineRule="auto"/>
              <w:rPr>
                <w:rFonts w:ascii="宋体" w:hAnsi="宋体"/>
                <w:sz w:val="24"/>
                <w:lang w:val="en-GB"/>
              </w:rPr>
            </w:pPr>
            <w:r>
              <w:rPr>
                <w:rFonts w:ascii="宋体" w:hAnsi="宋体"/>
                <w:sz w:val="24"/>
                <w:lang w:val="en-GB"/>
              </w:rPr>
              <w:t xml:space="preserve">   </w:t>
            </w:r>
            <w:r>
              <w:rPr>
                <w:rFonts w:hint="eastAsia" w:ascii="宋体" w:hAnsi="宋体"/>
                <w:sz w:val="24"/>
                <w:lang w:val="en-GB"/>
              </w:rPr>
              <w:t xml:space="preserve"> </w:t>
            </w:r>
            <w:r>
              <w:rPr>
                <w:rFonts w:ascii="宋体" w:hAnsi="宋体"/>
                <w:sz w:val="24"/>
                <w:lang w:val="en-GB"/>
              </w:rPr>
              <w:t xml:space="preserve"> </w:t>
            </w:r>
          </w:p>
          <w:p>
            <w:pPr>
              <w:tabs>
                <w:tab w:val="left" w:pos="7740"/>
              </w:tabs>
              <w:snapToGrid w:val="0"/>
              <w:spacing w:after="0" w:line="288" w:lineRule="auto"/>
              <w:rPr>
                <w:rFonts w:ascii="宋体" w:hAnsi="宋体"/>
                <w:sz w:val="24"/>
                <w:lang w:val="en-GB"/>
              </w:rPr>
            </w:pPr>
            <w:r>
              <w:rPr>
                <w:rFonts w:hint="eastAsia" w:ascii="宋体" w:hAnsi="宋体"/>
                <w:sz w:val="24"/>
                <w:lang w:val="en-GB"/>
              </w:rPr>
              <w:t>环保标志产品占总投标报价比重：</w:t>
            </w:r>
            <w:r>
              <w:rPr>
                <w:rFonts w:ascii="宋体" w:hAnsi="宋体"/>
                <w:sz w:val="24"/>
                <w:u w:val="single"/>
                <w:lang w:val="en-GB"/>
              </w:rPr>
              <w:t xml:space="preserve">              </w:t>
            </w:r>
            <w:r>
              <w:rPr>
                <w:rFonts w:ascii="宋体" w:hAnsi="宋体"/>
                <w:sz w:val="24"/>
                <w:lang w:val="en-GB"/>
              </w:rPr>
              <w:t xml:space="preserve"> </w:t>
            </w:r>
            <w:r>
              <w:rPr>
                <w:rFonts w:hint="eastAsia" w:ascii="宋体" w:hAnsi="宋体"/>
                <w:sz w:val="24"/>
                <w:lang w:val="en-GB"/>
              </w:rPr>
              <w:t>%</w:t>
            </w:r>
            <w:r>
              <w:rPr>
                <w:rFonts w:ascii="宋体" w:hAnsi="宋体"/>
                <w:sz w:val="24"/>
                <w:lang w:val="en-GB"/>
              </w:rPr>
              <w:t xml:space="preserve">            </w:t>
            </w:r>
          </w:p>
        </w:tc>
      </w:tr>
    </w:tbl>
    <w:p>
      <w:pPr>
        <w:tabs>
          <w:tab w:val="left" w:pos="7740"/>
        </w:tabs>
        <w:snapToGrid w:val="0"/>
        <w:spacing w:after="0" w:line="360" w:lineRule="auto"/>
        <w:rPr>
          <w:rFonts w:ascii="宋体" w:hAnsi="宋体"/>
          <w:bCs/>
          <w:sz w:val="24"/>
          <w:lang w:val="en-GB"/>
        </w:rPr>
      </w:pPr>
      <w:r>
        <w:rPr>
          <w:rFonts w:hint="eastAsia" w:ascii="宋体" w:hAnsi="宋体"/>
          <w:bCs/>
          <w:sz w:val="24"/>
          <w:lang w:val="en-GB"/>
        </w:rPr>
        <w:t>说明：</w:t>
      </w:r>
    </w:p>
    <w:p>
      <w:pPr>
        <w:numPr>
          <w:ilvl w:val="2"/>
          <w:numId w:val="84"/>
        </w:numPr>
        <w:tabs>
          <w:tab w:val="left" w:pos="7740"/>
        </w:tabs>
        <w:snapToGrid w:val="0"/>
        <w:spacing w:after="0" w:line="360" w:lineRule="auto"/>
        <w:rPr>
          <w:rFonts w:ascii="宋体" w:hAnsi="宋体"/>
          <w:bCs/>
          <w:sz w:val="24"/>
        </w:rPr>
      </w:pPr>
      <w:r>
        <w:rPr>
          <w:rFonts w:hint="eastAsia" w:ascii="宋体" w:hAnsi="宋体"/>
          <w:bCs/>
          <w:sz w:val="24"/>
        </w:rPr>
        <w:t>属于品目清单范围内的节能或环境标志产品，应当提供国家确定的认证机构出具的、处于有效期之内的节能产品或环境标志产品认证证书复印件，并加盖投标人公章。</w:t>
      </w:r>
    </w:p>
    <w:p>
      <w:pPr>
        <w:numPr>
          <w:ilvl w:val="2"/>
          <w:numId w:val="84"/>
        </w:numPr>
        <w:tabs>
          <w:tab w:val="left" w:pos="7740"/>
        </w:tabs>
        <w:snapToGrid w:val="0"/>
        <w:spacing w:after="0" w:line="360" w:lineRule="auto"/>
        <w:rPr>
          <w:rFonts w:ascii="宋体" w:hAnsi="宋体"/>
          <w:sz w:val="24"/>
        </w:rPr>
      </w:pPr>
      <w:r>
        <w:rPr>
          <w:rFonts w:hint="eastAsia" w:ascii="宋体" w:hAnsi="宋体"/>
          <w:bCs/>
          <w:sz w:val="24"/>
        </w:rPr>
        <w:t>未提供产品认证证书不予价格扣除。</w:t>
      </w:r>
    </w:p>
    <w:p>
      <w:pPr>
        <w:tabs>
          <w:tab w:val="left" w:pos="426"/>
        </w:tabs>
        <w:snapToGrid w:val="0"/>
        <w:spacing w:after="0" w:line="360" w:lineRule="auto"/>
        <w:rPr>
          <w:sz w:val="24"/>
        </w:rPr>
      </w:pPr>
    </w:p>
    <w:p>
      <w:pPr>
        <w:spacing w:after="0" w:line="500" w:lineRule="exact"/>
        <w:rPr>
          <w:spacing w:val="4"/>
          <w:sz w:val="24"/>
        </w:rPr>
      </w:pPr>
    </w:p>
    <w:p>
      <w:pPr>
        <w:spacing w:after="0"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520" w:lineRule="exact"/>
        <w:rPr>
          <w:spacing w:val="4"/>
          <w:sz w:val="24"/>
        </w:rPr>
      </w:pPr>
      <w:r>
        <w:rPr>
          <w:rFonts w:hint="eastAsia"/>
          <w:spacing w:val="4"/>
          <w:sz w:val="24"/>
        </w:rPr>
        <w:t>日期：</w:t>
      </w:r>
    </w:p>
    <w:p>
      <w:pPr>
        <w:widowControl/>
        <w:spacing w:after="0"/>
        <w:jc w:val="left"/>
        <w:rPr>
          <w:spacing w:val="4"/>
          <w:sz w:val="24"/>
        </w:rPr>
      </w:pPr>
      <w:r>
        <w:rPr>
          <w:spacing w:val="4"/>
          <w:sz w:val="24"/>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投标人资格声明函</w:t>
      </w:r>
    </w:p>
    <w:p>
      <w:pPr>
        <w:snapToGrid w:val="0"/>
        <w:spacing w:after="0" w:line="360" w:lineRule="auto"/>
        <w:jc w:val="center"/>
        <w:rPr>
          <w:b/>
          <w:sz w:val="24"/>
        </w:rPr>
      </w:pPr>
    </w:p>
    <w:p>
      <w:pPr>
        <w:snapToGrid w:val="0"/>
        <w:spacing w:after="0" w:line="360" w:lineRule="auto"/>
        <w:rPr>
          <w:b/>
          <w:sz w:val="24"/>
        </w:rPr>
      </w:pPr>
      <w:r>
        <w:rPr>
          <w:rFonts w:hint="eastAsia"/>
          <w:b/>
          <w:sz w:val="24"/>
        </w:rPr>
        <w:t>采联国际招标采购集团有限公司：</w:t>
      </w:r>
    </w:p>
    <w:p>
      <w:pPr>
        <w:snapToGrid w:val="0"/>
        <w:spacing w:after="0" w:line="360" w:lineRule="auto"/>
        <w:ind w:firstLine="484" w:firstLineChars="202"/>
        <w:rPr>
          <w:rFonts w:ascii="宋体" w:hAnsi="宋体"/>
          <w:sz w:val="24"/>
        </w:rPr>
      </w:pPr>
      <w:r>
        <w:rPr>
          <w:rFonts w:hint="eastAsia" w:ascii="宋体" w:hAnsi="宋体"/>
          <w:sz w:val="24"/>
        </w:rPr>
        <w:t>关于贵公司</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日发布</w:t>
      </w:r>
      <w:r>
        <w:rPr>
          <w:rFonts w:hint="eastAsia" w:ascii="宋体" w:hAnsi="宋体"/>
          <w:sz w:val="24"/>
          <w:u w:val="single"/>
        </w:rPr>
        <w:t xml:space="preserve">  广东省英德监狱购买单警装备项目  </w:t>
      </w:r>
      <w:r>
        <w:rPr>
          <w:rFonts w:hint="eastAsia" w:ascii="宋体" w:hAnsi="宋体"/>
          <w:sz w:val="24"/>
        </w:rPr>
        <w:t>项目（项目编号：CLF0123GZ11QY48）的采购公告，本单位愿意参加投标，并声明：</w:t>
      </w:r>
    </w:p>
    <w:p>
      <w:pPr>
        <w:pStyle w:val="85"/>
        <w:numPr>
          <w:ilvl w:val="0"/>
          <w:numId w:val="85"/>
        </w:numPr>
        <w:tabs>
          <w:tab w:val="left" w:pos="851"/>
          <w:tab w:val="left" w:pos="993"/>
        </w:tabs>
        <w:snapToGrid w:val="0"/>
        <w:spacing w:after="0" w:line="360" w:lineRule="auto"/>
        <w:ind w:firstLineChars="0"/>
        <w:rPr>
          <w:rFonts w:ascii="宋体" w:hAnsi="宋体"/>
          <w:bCs/>
          <w:sz w:val="24"/>
        </w:rPr>
      </w:pPr>
      <w:r>
        <w:rPr>
          <w:rFonts w:hint="eastAsia" w:ascii="宋体" w:hAnsi="宋体"/>
          <w:sz w:val="24"/>
        </w:rPr>
        <w:t>本单位</w:t>
      </w:r>
      <w:r>
        <w:rPr>
          <w:rFonts w:hint="eastAsia" w:ascii="宋体" w:hAnsi="宋体"/>
          <w:bCs/>
          <w:sz w:val="24"/>
        </w:rPr>
        <w:t>具备《中华人民共和国政府采购法》第二十二条规定的条件：</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具有独立承担民事责任的能力；</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具有良好的商业信誉和健全的财务会计制度；</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具有履行合同所必需的设备和专业技术能力；</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有依法缴纳税收和社会保障资金的良好记录；</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bCs/>
          <w:sz w:val="24"/>
        </w:rPr>
        <w:t>本单位（如前三年内有名称变更的，含变更前名称）</w:t>
      </w:r>
      <w:r>
        <w:rPr>
          <w:rFonts w:hint="eastAsia" w:ascii="宋体" w:hAnsi="宋体" w:cs="宋体"/>
          <w:sz w:val="24"/>
        </w:rPr>
        <w:t>参加采购活动前三年内，在经营活动中没有重大违法记录</w:t>
      </w:r>
      <w:r>
        <w:rPr>
          <w:rFonts w:hint="eastAsia" w:ascii="宋体" w:hAnsi="宋体" w:cs="宋体"/>
          <w:bCs/>
          <w:sz w:val="24"/>
        </w:rPr>
        <w:t>（重大违法记录是指因违法经营受到刑事处罚或责令停产停业、吊销许可证或者执照、较大数额罚款等行政处罚）</w:t>
      </w:r>
      <w:r>
        <w:rPr>
          <w:rFonts w:hint="eastAsia" w:ascii="宋体" w:hAnsi="宋体" w:cs="宋体"/>
          <w:sz w:val="24"/>
        </w:rPr>
        <w:t>；</w:t>
      </w:r>
    </w:p>
    <w:p>
      <w:pPr>
        <w:pStyle w:val="85"/>
        <w:widowControl/>
        <w:numPr>
          <w:ilvl w:val="0"/>
          <w:numId w:val="86"/>
        </w:numPr>
        <w:snapToGrid w:val="0"/>
        <w:spacing w:after="0" w:line="360" w:lineRule="auto"/>
        <w:ind w:firstLineChars="0"/>
        <w:rPr>
          <w:rFonts w:ascii="宋体" w:hAnsi="宋体" w:cs="宋体"/>
          <w:sz w:val="24"/>
        </w:rPr>
      </w:pPr>
      <w:r>
        <w:rPr>
          <w:rFonts w:hint="eastAsia" w:ascii="宋体" w:hAnsi="宋体" w:cs="宋体"/>
          <w:sz w:val="24"/>
        </w:rPr>
        <w:t>法律、行政法规规定的其他条件。</w:t>
      </w:r>
    </w:p>
    <w:p>
      <w:pPr>
        <w:pStyle w:val="85"/>
        <w:numPr>
          <w:ilvl w:val="0"/>
          <w:numId w:val="85"/>
        </w:numPr>
        <w:tabs>
          <w:tab w:val="left" w:pos="993"/>
        </w:tabs>
        <w:snapToGrid w:val="0"/>
        <w:spacing w:after="0" w:line="360" w:lineRule="auto"/>
        <w:ind w:left="0" w:firstLine="426" w:firstLineChars="0"/>
        <w:rPr>
          <w:rFonts w:ascii="宋体" w:hAnsi="宋体"/>
          <w:b/>
          <w:bCs/>
          <w:sz w:val="24"/>
        </w:rPr>
      </w:pPr>
      <w:r>
        <w:rPr>
          <w:rFonts w:hint="eastAsia" w:ascii="宋体" w:hAnsi="宋体"/>
          <w:sz w:val="24"/>
        </w:rPr>
        <w:t>本单位及附属机构，并非受托为</w:t>
      </w:r>
      <w:r>
        <w:rPr>
          <w:rFonts w:hint="eastAsia" w:cs="宋体" w:asciiTheme="minorEastAsia" w:hAnsiTheme="minorEastAsia" w:eastAsiaTheme="minorEastAsia"/>
          <w:bCs/>
          <w:sz w:val="24"/>
        </w:rPr>
        <w:t>本项目同一合同项下</w:t>
      </w:r>
      <w:r>
        <w:rPr>
          <w:rFonts w:hint="eastAsia" w:ascii="宋体" w:hAnsi="宋体"/>
          <w:sz w:val="24"/>
        </w:rPr>
        <w:t>或者其中分项目的前期工作提供设计、编制规范、进行管理等服务的供应商。</w:t>
      </w:r>
    </w:p>
    <w:p>
      <w:pPr>
        <w:pStyle w:val="85"/>
        <w:numPr>
          <w:ilvl w:val="0"/>
          <w:numId w:val="85"/>
        </w:numPr>
        <w:tabs>
          <w:tab w:val="left" w:pos="993"/>
        </w:tabs>
        <w:snapToGrid w:val="0"/>
        <w:spacing w:after="0" w:line="360" w:lineRule="auto"/>
        <w:ind w:left="0" w:firstLine="426" w:firstLineChars="0"/>
        <w:rPr>
          <w:rFonts w:ascii="宋体" w:hAnsi="宋体"/>
          <w:bCs/>
          <w:sz w:val="24"/>
        </w:rPr>
      </w:pPr>
      <w:r>
        <w:rPr>
          <w:rFonts w:hint="eastAsia" w:ascii="宋体" w:hAnsi="宋体"/>
          <w:bCs/>
          <w:sz w:val="24"/>
        </w:rPr>
        <w:t>本单位没有为采购项目同一合同项下提供整体设计、规范编制或者项目管理、监理、检测等服务。</w:t>
      </w:r>
    </w:p>
    <w:p>
      <w:pPr>
        <w:pStyle w:val="85"/>
        <w:numPr>
          <w:ilvl w:val="0"/>
          <w:numId w:val="85"/>
        </w:numPr>
        <w:tabs>
          <w:tab w:val="left" w:pos="993"/>
        </w:tabs>
        <w:snapToGrid w:val="0"/>
        <w:spacing w:after="0" w:line="360" w:lineRule="auto"/>
        <w:ind w:left="0" w:firstLine="426" w:firstLineChars="0"/>
        <w:rPr>
          <w:rFonts w:ascii="宋体" w:hAnsi="宋体"/>
          <w:bCs/>
          <w:sz w:val="24"/>
        </w:rPr>
      </w:pPr>
      <w:r>
        <w:rPr>
          <w:rFonts w:hint="eastAsia" w:ascii="宋体" w:hAnsi="宋体"/>
          <w:bCs/>
          <w:sz w:val="24"/>
        </w:rPr>
        <w:t>我方承诺如与本项目同一合同项下其他投标人的单位负责人为同一人或者存在直接控股、管理关系的情形，同意按投标无效处理。</w:t>
      </w:r>
    </w:p>
    <w:p>
      <w:pPr>
        <w:snapToGrid w:val="0"/>
        <w:spacing w:after="0" w:line="360" w:lineRule="auto"/>
        <w:ind w:firstLine="484" w:firstLineChars="202"/>
        <w:rPr>
          <w:rFonts w:ascii="宋体" w:hAnsi="宋体"/>
          <w:sz w:val="24"/>
        </w:rPr>
      </w:pPr>
      <w:r>
        <w:rPr>
          <w:rFonts w:hint="eastAsia" w:ascii="宋体" w:hAnsi="宋体"/>
          <w:sz w:val="24"/>
        </w:rPr>
        <w:t>本单位承诺在本次招标采购活动中，如有违法、违规、弄虚作假行为，所造成的损失、不良后果及法律责任，一律由我单位承担。</w:t>
      </w:r>
    </w:p>
    <w:p>
      <w:pPr>
        <w:snapToGrid w:val="0"/>
        <w:spacing w:after="0" w:line="360" w:lineRule="auto"/>
        <w:ind w:firstLine="420"/>
        <w:rPr>
          <w:sz w:val="24"/>
        </w:rPr>
      </w:pPr>
      <w:r>
        <w:rPr>
          <w:rFonts w:hint="eastAsia"/>
          <w:sz w:val="24"/>
        </w:rPr>
        <w:t>特此声明！</w:t>
      </w:r>
    </w:p>
    <w:p>
      <w:pPr>
        <w:autoSpaceDE w:val="0"/>
        <w:autoSpaceDN w:val="0"/>
        <w:snapToGrid w:val="0"/>
        <w:spacing w:after="0" w:line="360" w:lineRule="auto"/>
        <w:rPr>
          <w:rFonts w:ascii="宋体" w:hAnsi="宋体"/>
          <w:b/>
          <w:sz w:val="24"/>
        </w:rPr>
      </w:pPr>
      <w:r>
        <w:rPr>
          <w:rFonts w:hint="eastAsia" w:ascii="宋体" w:hAnsi="宋体"/>
          <w:b/>
          <w:sz w:val="24"/>
        </w:rPr>
        <w:t>说明：</w:t>
      </w:r>
    </w:p>
    <w:p>
      <w:pPr>
        <w:pStyle w:val="85"/>
        <w:numPr>
          <w:ilvl w:val="0"/>
          <w:numId w:val="87"/>
        </w:numPr>
        <w:autoSpaceDE w:val="0"/>
        <w:autoSpaceDN w:val="0"/>
        <w:snapToGrid w:val="0"/>
        <w:spacing w:after="0" w:line="360" w:lineRule="auto"/>
        <w:ind w:firstLineChars="0"/>
        <w:jc w:val="left"/>
        <w:rPr>
          <w:rFonts w:ascii="宋体" w:hAnsi="宋体"/>
          <w:sz w:val="24"/>
        </w:rPr>
      </w:pPr>
      <w:r>
        <w:rPr>
          <w:rFonts w:hint="eastAsia" w:ascii="宋体" w:hAnsi="宋体"/>
          <w:sz w:val="24"/>
        </w:rPr>
        <w:t>本声明函必须提供且内容不得擅自删改，否则视为无效投标。</w:t>
      </w:r>
    </w:p>
    <w:p>
      <w:pPr>
        <w:pStyle w:val="85"/>
        <w:numPr>
          <w:ilvl w:val="0"/>
          <w:numId w:val="87"/>
        </w:numPr>
        <w:autoSpaceDE w:val="0"/>
        <w:autoSpaceDN w:val="0"/>
        <w:snapToGrid w:val="0"/>
        <w:spacing w:after="0" w:line="360" w:lineRule="auto"/>
        <w:ind w:firstLineChars="0"/>
        <w:jc w:val="left"/>
        <w:rPr>
          <w:rFonts w:ascii="宋体" w:hAnsi="宋体"/>
          <w:sz w:val="24"/>
        </w:rPr>
      </w:pPr>
      <w:r>
        <w:rPr>
          <w:rFonts w:hint="eastAsia" w:ascii="宋体" w:hAnsi="宋体"/>
          <w:sz w:val="24"/>
        </w:rPr>
        <w:t>本声明函如有虚假或与事实不符的，作</w:t>
      </w:r>
      <w:r>
        <w:rPr>
          <w:rFonts w:hint="eastAsia" w:ascii="宋体" w:hAnsi="宋体"/>
          <w:b/>
          <w:sz w:val="24"/>
        </w:rPr>
        <w:t>无效投标</w:t>
      </w:r>
      <w:r>
        <w:rPr>
          <w:rFonts w:hint="eastAsia" w:ascii="宋体" w:hAnsi="宋体"/>
          <w:sz w:val="24"/>
        </w:rPr>
        <w:t>处理。</w:t>
      </w:r>
    </w:p>
    <w:p>
      <w:pPr>
        <w:snapToGrid w:val="0"/>
        <w:spacing w:after="0" w:line="360" w:lineRule="auto"/>
        <w:ind w:firstLine="420"/>
        <w:jc w:val="left"/>
        <w:rPr>
          <w:sz w:val="24"/>
        </w:rPr>
      </w:pPr>
      <w:r>
        <w:rPr>
          <w:rFonts w:hint="eastAsia"/>
          <w:sz w:val="24"/>
        </w:rPr>
        <w:t>投标人名称（单位盖公章）：</w:t>
      </w:r>
      <w:r>
        <w:rPr>
          <w:sz w:val="24"/>
        </w:rPr>
        <w:t xml:space="preserve"> </w:t>
      </w:r>
    </w:p>
    <w:p>
      <w:pPr>
        <w:snapToGrid w:val="0"/>
        <w:spacing w:after="0" w:line="360" w:lineRule="auto"/>
        <w:ind w:firstLine="420"/>
        <w:jc w:val="left"/>
        <w:rPr>
          <w:sz w:val="24"/>
        </w:rPr>
      </w:pPr>
      <w:r>
        <w:rPr>
          <w:rFonts w:hint="eastAsia"/>
          <w:sz w:val="24"/>
        </w:rPr>
        <w:t>单位地址：</w:t>
      </w:r>
      <w:r>
        <w:rPr>
          <w:sz w:val="24"/>
        </w:rPr>
        <w:t xml:space="preserve"> </w:t>
      </w:r>
    </w:p>
    <w:p>
      <w:pPr>
        <w:snapToGrid w:val="0"/>
        <w:spacing w:after="0" w:line="360" w:lineRule="auto"/>
        <w:ind w:firstLine="420"/>
        <w:jc w:val="left"/>
        <w:rPr>
          <w:rFonts w:ascii="黑体" w:hAnsi="黑体" w:eastAsia="黑体"/>
          <w:sz w:val="32"/>
          <w:szCs w:val="32"/>
        </w:rPr>
      </w:pPr>
      <w:r>
        <w:rPr>
          <w:rFonts w:hint="eastAsia"/>
          <w:sz w:val="24"/>
        </w:rPr>
        <w:t>日期：</w:t>
      </w:r>
      <w:r>
        <w:rPr>
          <w:rFonts w:ascii="黑体" w:hAnsi="黑体" w:eastAsia="黑体"/>
          <w:sz w:val="32"/>
          <w:szCs w:val="32"/>
        </w:rPr>
        <w:br w:type="page"/>
      </w: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公章对投标专用章授权说明（如有）</w:t>
      </w:r>
    </w:p>
    <w:p>
      <w:pPr>
        <w:spacing w:after="0" w:line="400" w:lineRule="exact"/>
        <w:rPr>
          <w:rFonts w:ascii="宋体" w:hAnsi="宋体"/>
          <w:sz w:val="24"/>
        </w:rPr>
      </w:pPr>
    </w:p>
    <w:p>
      <w:pPr>
        <w:snapToGrid w:val="0"/>
        <w:spacing w:after="0" w:line="360" w:lineRule="auto"/>
        <w:rPr>
          <w:rFonts w:ascii="宋体" w:hAnsi="宋体"/>
          <w:sz w:val="24"/>
        </w:rPr>
      </w:pPr>
      <w:r>
        <w:rPr>
          <w:rFonts w:hint="eastAsia" w:ascii="宋体" w:hAnsi="宋体"/>
          <w:b/>
          <w:sz w:val="24"/>
        </w:rPr>
        <w:t>采联国际招标采购集团有限公司：</w:t>
      </w:r>
    </w:p>
    <w:p>
      <w:pPr>
        <w:snapToGrid w:val="0"/>
        <w:spacing w:after="0" w:line="360" w:lineRule="auto"/>
        <w:ind w:firstLine="566" w:firstLineChars="236"/>
        <w:rPr>
          <w:rFonts w:ascii="宋体" w:hAnsi="宋体"/>
          <w:sz w:val="24"/>
        </w:rPr>
      </w:pPr>
      <w:r>
        <w:rPr>
          <w:rFonts w:hint="eastAsia" w:ascii="宋体" w:hAnsi="宋体"/>
          <w:sz w:val="24"/>
        </w:rPr>
        <w:t>本单位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（投标人名称）  </w:t>
      </w:r>
      <w:r>
        <w:rPr>
          <w:rFonts w:hint="eastAsia" w:ascii="宋体" w:hAnsi="宋体"/>
          <w:sz w:val="24"/>
        </w:rPr>
        <w:t>参加</w:t>
      </w:r>
      <w:r>
        <w:rPr>
          <w:rFonts w:hint="eastAsia" w:ascii="宋体" w:hAnsi="宋体"/>
          <w:sz w:val="24"/>
          <w:u w:val="single"/>
        </w:rPr>
        <w:t xml:space="preserve">  广东省英德监狱购买单警装备项目  （CLF0123GZ11QY48）</w:t>
      </w:r>
      <w:r>
        <w:rPr>
          <w:rFonts w:hint="eastAsia" w:ascii="宋体" w:hAnsi="宋体"/>
          <w:sz w:val="24"/>
        </w:rPr>
        <w:t>的采购活动，在此作如下说明：</w:t>
      </w:r>
    </w:p>
    <w:p>
      <w:pPr>
        <w:snapToGrid w:val="0"/>
        <w:spacing w:after="0" w:line="360" w:lineRule="auto"/>
        <w:ind w:firstLine="566" w:firstLineChars="236"/>
        <w:rPr>
          <w:rFonts w:ascii="宋体" w:hAnsi="宋体"/>
          <w:sz w:val="24"/>
        </w:rPr>
      </w:pPr>
      <w:r>
        <w:rPr>
          <w:rFonts w:hint="eastAsia" w:ascii="宋体" w:hAnsi="宋体"/>
          <w:sz w:val="24"/>
        </w:rPr>
        <w:t>在此次采购活动中，我单位所使用的“投标专用章”与我单位公章具有同等的法律效力，我单位对所使用“投标专用章”的行为和相应责任予以完全承认。</w:t>
      </w:r>
    </w:p>
    <w:p>
      <w:pPr>
        <w:snapToGrid w:val="0"/>
        <w:spacing w:after="0" w:line="360" w:lineRule="auto"/>
        <w:ind w:firstLine="566" w:firstLineChars="236"/>
        <w:rPr>
          <w:rFonts w:ascii="宋体" w:hAnsi="宋体"/>
          <w:sz w:val="24"/>
        </w:rPr>
      </w:pPr>
      <w:r>
        <w:rPr>
          <w:rFonts w:hint="eastAsia" w:ascii="宋体" w:hAnsi="宋体"/>
          <w:sz w:val="24"/>
        </w:rPr>
        <w:t>特此说明。</w:t>
      </w:r>
    </w:p>
    <w:p>
      <w:pPr>
        <w:snapToGrid w:val="0"/>
        <w:spacing w:after="0" w:line="360" w:lineRule="auto"/>
        <w:rPr>
          <w:rFonts w:ascii="宋体" w:hAnsi="宋体"/>
          <w:sz w:val="24"/>
        </w:rPr>
      </w:pPr>
    </w:p>
    <w:p>
      <w:pPr>
        <w:snapToGrid w:val="0"/>
        <w:spacing w:after="0" w:line="360" w:lineRule="auto"/>
        <w:rPr>
          <w:rFonts w:ascii="宋体" w:hAnsi="宋体"/>
          <w:b/>
          <w:bCs/>
          <w:sz w:val="24"/>
        </w:rPr>
      </w:pPr>
    </w:p>
    <w:p>
      <w:pPr>
        <w:snapToGrid w:val="0"/>
        <w:spacing w:after="0" w:line="360" w:lineRule="auto"/>
        <w:rPr>
          <w:rFonts w:ascii="宋体" w:hAnsi="宋体"/>
          <w:sz w:val="24"/>
          <w:u w:val="single"/>
        </w:rPr>
      </w:pPr>
      <w:r>
        <w:rPr>
          <w:rFonts w:hint="eastAsia" w:ascii="宋体" w:hAnsi="宋体"/>
          <w:sz w:val="24"/>
        </w:rPr>
        <w:t>投标人名称（单位盖公章）：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after="0" w:line="360" w:lineRule="auto"/>
        <w:rPr>
          <w:rFonts w:ascii="宋体" w:hAnsi="宋体"/>
          <w:sz w:val="24"/>
        </w:rPr>
      </w:pPr>
      <w:r>
        <w:rPr>
          <w:rFonts w:hint="eastAsia" w:ascii="宋体" w:hAnsi="宋体"/>
          <w:sz w:val="24"/>
        </w:rPr>
        <w:t>单位注册地址：</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napToGrid w:val="0"/>
        <w:spacing w:after="0" w:line="360" w:lineRule="auto"/>
        <w:rPr>
          <w:rFonts w:ascii="宋体" w:hAnsi="宋体"/>
          <w:sz w:val="24"/>
        </w:rPr>
      </w:pPr>
      <w:r>
        <w:rPr>
          <w:rFonts w:hint="eastAsia" w:ascii="宋体" w:hAnsi="宋体"/>
          <w:sz w:val="24"/>
        </w:rPr>
        <w:t>法定代表人</w:t>
      </w:r>
      <w:r>
        <w:rPr>
          <w:rFonts w:hint="eastAsia" w:ascii="宋体"/>
          <w:sz w:val="24"/>
        </w:rPr>
        <w:t>或</w:t>
      </w:r>
      <w:r>
        <w:rPr>
          <w:rFonts w:hint="eastAsia" w:ascii="宋体" w:hAnsi="宋体"/>
          <w:sz w:val="24"/>
        </w:rPr>
        <w:t>投标人授权代表（签名或盖个人名章）：</w:t>
      </w:r>
      <w:r>
        <w:rPr>
          <w:rFonts w:hint="eastAsia" w:ascii="宋体" w:hAnsi="宋体"/>
          <w:sz w:val="24"/>
          <w:u w:val="single"/>
        </w:rPr>
        <w:t xml:space="preserve"> </w:t>
      </w:r>
      <w:r>
        <w:rPr>
          <w:rFonts w:ascii="宋体" w:hAnsi="宋体"/>
          <w:sz w:val="24"/>
          <w:u w:val="single"/>
        </w:rPr>
        <w:t xml:space="preserve">                      </w:t>
      </w:r>
    </w:p>
    <w:p>
      <w:pPr>
        <w:snapToGrid w:val="0"/>
        <w:spacing w:after="0"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napToGrid w:val="0"/>
        <w:spacing w:after="0" w:line="360" w:lineRule="auto"/>
        <w:rPr>
          <w:rFonts w:ascii="宋体" w:hAnsi="宋体"/>
          <w:sz w:val="24"/>
        </w:rPr>
      </w:pPr>
    </w:p>
    <w:p>
      <w:pPr>
        <w:snapToGrid w:val="0"/>
        <w:spacing w:after="0" w:line="360" w:lineRule="auto"/>
        <w:rPr>
          <w:rFonts w:ascii="宋体" w:hAnsi="宋体"/>
          <w:sz w:val="24"/>
        </w:rPr>
      </w:pPr>
      <w:r>
        <w:rPr>
          <w:rFonts w:hint="eastAsia" w:ascii="宋体" w:hAnsi="宋体"/>
          <w:sz w:val="24"/>
        </w:rPr>
        <w:t>我单位投标专用章样式如下：</w:t>
      </w:r>
    </w:p>
    <w:tbl>
      <w:tblPr>
        <w:tblStyle w:val="39"/>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trPr>
        <w:tc>
          <w:tcPr>
            <w:tcW w:w="9125" w:type="dxa"/>
          </w:tcPr>
          <w:p>
            <w:pPr>
              <w:spacing w:after="0" w:line="400" w:lineRule="exact"/>
              <w:rPr>
                <w:rFonts w:ascii="宋体" w:hAnsi="宋体"/>
                <w:b/>
                <w:bCs/>
                <w:szCs w:val="21"/>
              </w:rPr>
            </w:pPr>
          </w:p>
        </w:tc>
      </w:tr>
    </w:tbl>
    <w:p>
      <w:pPr>
        <w:snapToGrid w:val="0"/>
        <w:spacing w:after="0" w:line="360" w:lineRule="auto"/>
        <w:ind w:firstLine="420"/>
        <w:jc w:val="left"/>
        <w:rPr>
          <w:sz w:val="24"/>
        </w:rPr>
      </w:pPr>
    </w:p>
    <w:p>
      <w:pPr>
        <w:snapToGrid w:val="0"/>
        <w:spacing w:after="0" w:line="360" w:lineRule="auto"/>
        <w:ind w:firstLine="420"/>
        <w:jc w:val="left"/>
        <w:rPr>
          <w:sz w:val="24"/>
        </w:rPr>
      </w:pPr>
    </w:p>
    <w:p>
      <w:pPr>
        <w:snapToGrid w:val="0"/>
        <w:spacing w:after="0" w:line="360" w:lineRule="auto"/>
        <w:ind w:firstLine="420"/>
        <w:jc w:val="left"/>
        <w:rPr>
          <w:sz w:val="24"/>
        </w:rPr>
        <w:sectPr>
          <w:pgSz w:w="11906" w:h="16838"/>
          <w:pgMar w:top="1440" w:right="1287" w:bottom="1440" w:left="1134" w:header="851" w:footer="992" w:gutter="0"/>
          <w:cols w:space="720" w:num="1"/>
          <w:docGrid w:type="lines" w:linePitch="312" w:charSpace="0"/>
        </w:sect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主要股东或出资人信息</w:t>
      </w:r>
    </w:p>
    <w:p>
      <w:pPr>
        <w:tabs>
          <w:tab w:val="left" w:pos="7740"/>
        </w:tabs>
        <w:snapToGrid w:val="0"/>
        <w:spacing w:after="0" w:line="360" w:lineRule="auto"/>
        <w:rPr>
          <w:rFonts w:ascii="宋体" w:hAnsi="宋体"/>
          <w:sz w:val="24"/>
        </w:rPr>
      </w:pPr>
      <w:r>
        <w:rPr>
          <w:rFonts w:hint="eastAsia" w:ascii="宋体" w:hAnsi="宋体"/>
          <w:sz w:val="24"/>
        </w:rPr>
        <w:t>项目名称：广东省英德监狱购买单警装备项目</w:t>
      </w:r>
    </w:p>
    <w:tbl>
      <w:tblPr>
        <w:tblStyle w:val="39"/>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473"/>
        <w:gridCol w:w="2348"/>
        <w:gridCol w:w="1801"/>
        <w:gridCol w:w="136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072" w:type="dxa"/>
            <w:tcBorders>
              <w:top w:val="single" w:color="auto" w:sz="12" w:space="0"/>
              <w:left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序号</w:t>
            </w:r>
          </w:p>
        </w:tc>
        <w:tc>
          <w:tcPr>
            <w:tcW w:w="1473" w:type="dxa"/>
            <w:tcBorders>
              <w:top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名称</w:t>
            </w:r>
          </w:p>
          <w:p>
            <w:pPr>
              <w:snapToGrid w:val="0"/>
              <w:spacing w:after="0"/>
              <w:jc w:val="center"/>
              <w:rPr>
                <w:rFonts w:ascii="宋体" w:hAnsi="宋体" w:cs="Arial"/>
                <w:sz w:val="24"/>
              </w:rPr>
            </w:pPr>
            <w:r>
              <w:rPr>
                <w:rFonts w:hint="eastAsia" w:ascii="宋体" w:hAnsi="宋体" w:cs="Arial"/>
                <w:sz w:val="24"/>
              </w:rPr>
              <w:t>（姓名）</w:t>
            </w:r>
          </w:p>
        </w:tc>
        <w:tc>
          <w:tcPr>
            <w:tcW w:w="2348" w:type="dxa"/>
            <w:tcBorders>
              <w:top w:val="single" w:color="auto" w:sz="12" w:space="0"/>
              <w:right w:val="single" w:color="auto" w:sz="6" w:space="0"/>
            </w:tcBorders>
            <w:vAlign w:val="center"/>
          </w:tcPr>
          <w:p>
            <w:pPr>
              <w:snapToGrid w:val="0"/>
              <w:spacing w:after="0"/>
              <w:jc w:val="center"/>
              <w:rPr>
                <w:rFonts w:ascii="宋体" w:hAnsi="宋体" w:cs="Arial"/>
                <w:sz w:val="24"/>
              </w:rPr>
            </w:pPr>
            <w:r>
              <w:rPr>
                <w:rFonts w:hint="eastAsia" w:ascii="宋体" w:hAnsi="宋体" w:cs="Arial"/>
                <w:sz w:val="24"/>
              </w:rPr>
              <w:t>统一社会信用代码（身份证号）</w:t>
            </w:r>
          </w:p>
        </w:tc>
        <w:tc>
          <w:tcPr>
            <w:tcW w:w="1801" w:type="dxa"/>
            <w:tcBorders>
              <w:top w:val="single" w:color="auto" w:sz="12" w:space="0"/>
              <w:left w:val="single" w:color="auto" w:sz="6" w:space="0"/>
            </w:tcBorders>
            <w:vAlign w:val="center"/>
          </w:tcPr>
          <w:p>
            <w:pPr>
              <w:snapToGrid w:val="0"/>
              <w:spacing w:after="0"/>
              <w:jc w:val="center"/>
              <w:rPr>
                <w:rFonts w:ascii="宋体" w:hAnsi="宋体" w:cs="Arial"/>
                <w:sz w:val="24"/>
              </w:rPr>
            </w:pPr>
            <w:r>
              <w:rPr>
                <w:rFonts w:hint="eastAsia" w:ascii="宋体" w:hAnsi="宋体" w:cs="Arial"/>
                <w:sz w:val="24"/>
              </w:rPr>
              <w:t>出资额</w:t>
            </w:r>
          </w:p>
          <w:p>
            <w:pPr>
              <w:snapToGrid w:val="0"/>
              <w:spacing w:after="0"/>
              <w:jc w:val="center"/>
              <w:rPr>
                <w:rFonts w:ascii="宋体" w:hAnsi="宋体" w:cs="Arial"/>
                <w:sz w:val="24"/>
              </w:rPr>
            </w:pPr>
            <w:r>
              <w:rPr>
                <w:rFonts w:hint="eastAsia" w:ascii="宋体" w:hAnsi="宋体" w:cs="Arial"/>
                <w:sz w:val="24"/>
              </w:rPr>
              <w:t>（人民币 万元）</w:t>
            </w:r>
          </w:p>
        </w:tc>
        <w:tc>
          <w:tcPr>
            <w:tcW w:w="1367" w:type="dxa"/>
            <w:tcBorders>
              <w:top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出资方式</w:t>
            </w:r>
          </w:p>
        </w:tc>
        <w:tc>
          <w:tcPr>
            <w:tcW w:w="1089" w:type="dxa"/>
            <w:tcBorders>
              <w:top w:val="single" w:color="auto" w:sz="12" w:space="0"/>
              <w:left w:val="single" w:color="auto" w:sz="6" w:space="0"/>
              <w:right w:val="single" w:color="auto" w:sz="12" w:space="0"/>
            </w:tcBorders>
            <w:vAlign w:val="center"/>
          </w:tcPr>
          <w:p>
            <w:pPr>
              <w:snapToGrid w:val="0"/>
              <w:spacing w:after="0"/>
              <w:jc w:val="center"/>
              <w:rPr>
                <w:rFonts w:ascii="宋体" w:hAnsi="宋体" w:cs="Arial"/>
                <w:sz w:val="24"/>
              </w:rPr>
            </w:pPr>
            <w:r>
              <w:rPr>
                <w:rFonts w:hint="eastAsia" w:ascii="宋体" w:hAnsi="宋体" w:cs="Arial"/>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72" w:type="dxa"/>
            <w:tcBorders>
              <w:left w:val="single" w:color="auto" w:sz="12" w:space="0"/>
            </w:tcBorders>
          </w:tcPr>
          <w:p>
            <w:pPr>
              <w:spacing w:after="0"/>
              <w:jc w:val="center"/>
              <w:rPr>
                <w:rFonts w:ascii="宋体" w:hAnsi="宋体" w:cs="Arial"/>
                <w:sz w:val="24"/>
              </w:rPr>
            </w:pPr>
            <w:r>
              <w:rPr>
                <w:rFonts w:hint="eastAsia" w:ascii="宋体" w:hAnsi="宋体" w:cs="Arial"/>
                <w:sz w:val="24"/>
              </w:rPr>
              <w:t>1</w:t>
            </w:r>
          </w:p>
        </w:tc>
        <w:tc>
          <w:tcPr>
            <w:tcW w:w="1473" w:type="dxa"/>
          </w:tcPr>
          <w:p>
            <w:pPr>
              <w:spacing w:after="0"/>
              <w:jc w:val="center"/>
              <w:rPr>
                <w:rFonts w:ascii="宋体" w:hAnsi="宋体" w:cs="Arial"/>
                <w:sz w:val="24"/>
              </w:rPr>
            </w:pPr>
          </w:p>
        </w:tc>
        <w:tc>
          <w:tcPr>
            <w:tcW w:w="2348" w:type="dxa"/>
            <w:tcBorders>
              <w:right w:val="single" w:color="auto" w:sz="6" w:space="0"/>
            </w:tcBorders>
          </w:tcPr>
          <w:p>
            <w:pPr>
              <w:spacing w:after="0"/>
              <w:jc w:val="center"/>
              <w:rPr>
                <w:rFonts w:ascii="宋体" w:hAnsi="宋体" w:cs="Arial"/>
                <w:sz w:val="24"/>
              </w:rPr>
            </w:pPr>
          </w:p>
        </w:tc>
        <w:tc>
          <w:tcPr>
            <w:tcW w:w="1801" w:type="dxa"/>
            <w:tcBorders>
              <w:left w:val="single" w:color="auto" w:sz="6" w:space="0"/>
            </w:tcBorders>
          </w:tcPr>
          <w:p>
            <w:pPr>
              <w:spacing w:after="0"/>
              <w:jc w:val="center"/>
              <w:rPr>
                <w:rFonts w:ascii="宋体" w:hAnsi="宋体" w:cs="Arial"/>
                <w:sz w:val="24"/>
              </w:rPr>
            </w:pPr>
          </w:p>
        </w:tc>
        <w:tc>
          <w:tcPr>
            <w:tcW w:w="1367" w:type="dxa"/>
          </w:tcPr>
          <w:p>
            <w:pPr>
              <w:spacing w:after="0"/>
              <w:jc w:val="center"/>
              <w:rPr>
                <w:rFonts w:ascii="宋体" w:hAnsi="宋体" w:cs="Arial"/>
                <w:sz w:val="24"/>
              </w:rPr>
            </w:pPr>
          </w:p>
        </w:tc>
        <w:tc>
          <w:tcPr>
            <w:tcW w:w="1089" w:type="dxa"/>
            <w:tcBorders>
              <w:left w:val="single" w:color="auto" w:sz="6" w:space="0"/>
              <w:right w:val="single" w:color="auto" w:sz="12" w:space="0"/>
            </w:tcBorders>
          </w:tcPr>
          <w:p>
            <w:pPr>
              <w:spacing w:after="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72" w:type="dxa"/>
            <w:tcBorders>
              <w:left w:val="single" w:color="auto" w:sz="12" w:space="0"/>
            </w:tcBorders>
          </w:tcPr>
          <w:p>
            <w:pPr>
              <w:spacing w:after="0"/>
              <w:jc w:val="center"/>
              <w:rPr>
                <w:rFonts w:ascii="宋体" w:hAnsi="宋体" w:cs="Arial"/>
                <w:sz w:val="24"/>
              </w:rPr>
            </w:pPr>
            <w:r>
              <w:rPr>
                <w:rFonts w:hint="eastAsia" w:ascii="宋体" w:hAnsi="宋体" w:cs="Arial"/>
                <w:sz w:val="24"/>
              </w:rPr>
              <w:t>2</w:t>
            </w:r>
          </w:p>
        </w:tc>
        <w:tc>
          <w:tcPr>
            <w:tcW w:w="1473" w:type="dxa"/>
          </w:tcPr>
          <w:p>
            <w:pPr>
              <w:spacing w:after="0"/>
              <w:jc w:val="center"/>
              <w:rPr>
                <w:rFonts w:ascii="宋体" w:hAnsi="宋体" w:cs="Arial"/>
                <w:sz w:val="24"/>
              </w:rPr>
            </w:pPr>
          </w:p>
        </w:tc>
        <w:tc>
          <w:tcPr>
            <w:tcW w:w="2348" w:type="dxa"/>
            <w:tcBorders>
              <w:right w:val="single" w:color="auto" w:sz="6" w:space="0"/>
            </w:tcBorders>
          </w:tcPr>
          <w:p>
            <w:pPr>
              <w:spacing w:after="0"/>
              <w:jc w:val="center"/>
              <w:rPr>
                <w:rFonts w:ascii="宋体" w:hAnsi="宋体" w:cs="Arial"/>
                <w:sz w:val="24"/>
              </w:rPr>
            </w:pPr>
          </w:p>
        </w:tc>
        <w:tc>
          <w:tcPr>
            <w:tcW w:w="1801" w:type="dxa"/>
            <w:tcBorders>
              <w:left w:val="single" w:color="auto" w:sz="6" w:space="0"/>
            </w:tcBorders>
          </w:tcPr>
          <w:p>
            <w:pPr>
              <w:spacing w:after="0"/>
              <w:jc w:val="center"/>
              <w:rPr>
                <w:rFonts w:ascii="宋体" w:hAnsi="宋体" w:cs="Arial"/>
                <w:sz w:val="24"/>
              </w:rPr>
            </w:pPr>
          </w:p>
        </w:tc>
        <w:tc>
          <w:tcPr>
            <w:tcW w:w="1367" w:type="dxa"/>
          </w:tcPr>
          <w:p>
            <w:pPr>
              <w:spacing w:after="0"/>
              <w:jc w:val="center"/>
              <w:rPr>
                <w:rFonts w:ascii="宋体" w:hAnsi="宋体" w:cs="Arial"/>
                <w:sz w:val="24"/>
              </w:rPr>
            </w:pPr>
          </w:p>
        </w:tc>
        <w:tc>
          <w:tcPr>
            <w:tcW w:w="1089" w:type="dxa"/>
            <w:tcBorders>
              <w:left w:val="single" w:color="auto" w:sz="6" w:space="0"/>
              <w:right w:val="single" w:color="auto" w:sz="12" w:space="0"/>
            </w:tcBorders>
          </w:tcPr>
          <w:p>
            <w:pPr>
              <w:spacing w:after="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72" w:type="dxa"/>
            <w:tcBorders>
              <w:left w:val="single" w:color="auto" w:sz="12" w:space="0"/>
              <w:bottom w:val="single" w:color="auto" w:sz="12" w:space="0"/>
            </w:tcBorders>
          </w:tcPr>
          <w:p>
            <w:pPr>
              <w:spacing w:after="0"/>
              <w:jc w:val="center"/>
              <w:rPr>
                <w:rFonts w:ascii="宋体" w:hAnsi="宋体" w:cs="Arial"/>
                <w:sz w:val="24"/>
              </w:rPr>
            </w:pPr>
            <w:r>
              <w:rPr>
                <w:rFonts w:hint="eastAsia" w:ascii="宋体" w:hAnsi="宋体" w:cs="Arial"/>
                <w:sz w:val="24"/>
              </w:rPr>
              <w:t>…</w:t>
            </w:r>
          </w:p>
        </w:tc>
        <w:tc>
          <w:tcPr>
            <w:tcW w:w="1473" w:type="dxa"/>
            <w:tcBorders>
              <w:bottom w:val="single" w:color="auto" w:sz="12" w:space="0"/>
            </w:tcBorders>
          </w:tcPr>
          <w:p>
            <w:pPr>
              <w:spacing w:after="0"/>
              <w:jc w:val="center"/>
              <w:rPr>
                <w:rFonts w:ascii="宋体" w:hAnsi="宋体" w:cs="Arial"/>
                <w:sz w:val="24"/>
              </w:rPr>
            </w:pPr>
          </w:p>
        </w:tc>
        <w:tc>
          <w:tcPr>
            <w:tcW w:w="2348" w:type="dxa"/>
            <w:tcBorders>
              <w:bottom w:val="single" w:color="auto" w:sz="12" w:space="0"/>
              <w:right w:val="single" w:color="auto" w:sz="6" w:space="0"/>
            </w:tcBorders>
          </w:tcPr>
          <w:p>
            <w:pPr>
              <w:spacing w:after="0"/>
              <w:jc w:val="center"/>
              <w:rPr>
                <w:rFonts w:ascii="宋体" w:hAnsi="宋体" w:cs="Arial"/>
                <w:sz w:val="24"/>
              </w:rPr>
            </w:pPr>
          </w:p>
        </w:tc>
        <w:tc>
          <w:tcPr>
            <w:tcW w:w="1801" w:type="dxa"/>
            <w:tcBorders>
              <w:left w:val="single" w:color="auto" w:sz="6" w:space="0"/>
              <w:bottom w:val="single" w:color="auto" w:sz="12" w:space="0"/>
            </w:tcBorders>
          </w:tcPr>
          <w:p>
            <w:pPr>
              <w:spacing w:after="0"/>
              <w:jc w:val="center"/>
              <w:rPr>
                <w:rFonts w:ascii="宋体" w:hAnsi="宋体" w:cs="Arial"/>
                <w:sz w:val="24"/>
              </w:rPr>
            </w:pPr>
          </w:p>
        </w:tc>
        <w:tc>
          <w:tcPr>
            <w:tcW w:w="1367" w:type="dxa"/>
            <w:tcBorders>
              <w:bottom w:val="single" w:color="auto" w:sz="12" w:space="0"/>
            </w:tcBorders>
          </w:tcPr>
          <w:p>
            <w:pPr>
              <w:spacing w:after="0"/>
              <w:jc w:val="center"/>
              <w:rPr>
                <w:rFonts w:ascii="宋体" w:hAnsi="宋体" w:cs="Arial"/>
                <w:sz w:val="24"/>
              </w:rPr>
            </w:pPr>
          </w:p>
        </w:tc>
        <w:tc>
          <w:tcPr>
            <w:tcW w:w="1089" w:type="dxa"/>
            <w:tcBorders>
              <w:left w:val="single" w:color="auto" w:sz="6" w:space="0"/>
              <w:bottom w:val="single" w:color="auto" w:sz="12" w:space="0"/>
              <w:right w:val="single" w:color="auto" w:sz="12" w:space="0"/>
            </w:tcBorders>
          </w:tcPr>
          <w:p>
            <w:pPr>
              <w:spacing w:after="0"/>
              <w:jc w:val="center"/>
              <w:rPr>
                <w:rFonts w:ascii="宋体" w:hAnsi="宋体" w:cs="Arial"/>
                <w:sz w:val="24"/>
              </w:rPr>
            </w:pPr>
          </w:p>
        </w:tc>
      </w:tr>
    </w:tbl>
    <w:p>
      <w:pPr>
        <w:spacing w:after="0" w:line="360" w:lineRule="auto"/>
        <w:ind w:firstLine="354" w:firstLineChars="147"/>
        <w:rPr>
          <w:rFonts w:ascii="宋体" w:hAnsi="宋体" w:cs="Arial"/>
          <w:b/>
          <w:sz w:val="24"/>
        </w:rPr>
      </w:pPr>
      <w:r>
        <w:rPr>
          <w:rFonts w:hint="eastAsia" w:ascii="宋体" w:hAnsi="宋体" w:cs="Arial"/>
          <w:b/>
          <w:sz w:val="24"/>
        </w:rPr>
        <w:t>我方承诺，以上信息真实可靠；如填报的股东出资额、出资比例等与实际不符，且属于虚假应标情形，视为放弃中标资格。</w:t>
      </w:r>
    </w:p>
    <w:p>
      <w:pPr>
        <w:spacing w:after="0" w:line="360" w:lineRule="auto"/>
        <w:rPr>
          <w:rFonts w:ascii="宋体" w:hAnsi="宋体" w:cs="Arial"/>
          <w:sz w:val="24"/>
        </w:rPr>
      </w:pPr>
      <w:r>
        <w:rPr>
          <w:rFonts w:hint="eastAsia" w:ascii="宋体" w:hAnsi="宋体" w:cs="Arial"/>
          <w:sz w:val="24"/>
        </w:rPr>
        <w:t>备注：</w:t>
      </w:r>
    </w:p>
    <w:p>
      <w:pPr>
        <w:pStyle w:val="85"/>
        <w:numPr>
          <w:ilvl w:val="0"/>
          <w:numId w:val="88"/>
        </w:numPr>
        <w:spacing w:after="0" w:line="360" w:lineRule="auto"/>
        <w:ind w:firstLineChars="0"/>
        <w:rPr>
          <w:rFonts w:ascii="宋体" w:hAnsi="宋体" w:cs="Arial"/>
          <w:sz w:val="24"/>
        </w:rPr>
      </w:pPr>
      <w:r>
        <w:rPr>
          <w:rFonts w:hint="eastAsia" w:ascii="宋体" w:hAnsi="宋体" w:cs="Arial"/>
          <w:sz w:val="24"/>
        </w:rPr>
        <w:t>主要股东或出资人为法人的，填写法人全称及统一社会信用代码（尚未办理三证合一的填写组织机构代码）；为自然人的，填写自然人姓名和身份证号。</w:t>
      </w:r>
    </w:p>
    <w:p>
      <w:pPr>
        <w:pStyle w:val="85"/>
        <w:numPr>
          <w:ilvl w:val="0"/>
          <w:numId w:val="88"/>
        </w:numPr>
        <w:spacing w:after="0" w:line="360" w:lineRule="auto"/>
        <w:ind w:firstLineChars="0"/>
        <w:rPr>
          <w:rFonts w:ascii="宋体" w:hAnsi="宋体" w:cs="Arial"/>
          <w:sz w:val="24"/>
        </w:rPr>
      </w:pPr>
      <w:r>
        <w:rPr>
          <w:rFonts w:hint="eastAsia" w:ascii="宋体" w:hAnsi="宋体" w:cs="Arial"/>
          <w:sz w:val="24"/>
        </w:rPr>
        <w:t>出资方式填写：货币、实物、工艺产权和非专利技术、土地使用权等。</w:t>
      </w:r>
    </w:p>
    <w:p>
      <w:pPr>
        <w:pStyle w:val="85"/>
        <w:numPr>
          <w:ilvl w:val="0"/>
          <w:numId w:val="88"/>
        </w:numPr>
        <w:spacing w:after="0" w:line="360" w:lineRule="auto"/>
        <w:ind w:firstLineChars="0"/>
        <w:rPr>
          <w:rFonts w:ascii="宋体" w:hAnsi="宋体" w:cs="Arial"/>
          <w:sz w:val="24"/>
        </w:rPr>
      </w:pPr>
      <w:r>
        <w:rPr>
          <w:rFonts w:hint="eastAsia" w:ascii="宋体" w:hAnsi="宋体" w:cs="Arial"/>
          <w:sz w:val="24"/>
        </w:rPr>
        <w:t>投标单位应按照占全部股份比例从大到小依次逐个股东填写，股东数量多于10个的，填写前10名，不足10个全部填写。</w:t>
      </w:r>
    </w:p>
    <w:p>
      <w:pPr>
        <w:snapToGrid w:val="0"/>
        <w:spacing w:after="0" w:line="360" w:lineRule="auto"/>
        <w:jc w:val="left"/>
        <w:rPr>
          <w:sz w:val="24"/>
        </w:rPr>
      </w:pPr>
    </w:p>
    <w:p>
      <w:pPr>
        <w:snapToGrid w:val="0"/>
        <w:spacing w:after="0" w:line="360" w:lineRule="auto"/>
        <w:jc w:val="left"/>
        <w:rPr>
          <w:sz w:val="24"/>
        </w:rPr>
      </w:pPr>
      <w:r>
        <w:rPr>
          <w:rFonts w:hint="eastAsia"/>
          <w:sz w:val="24"/>
        </w:rPr>
        <w:t>投标人名称（单位盖公章）：</w:t>
      </w:r>
      <w:r>
        <w:rPr>
          <w:sz w:val="24"/>
        </w:rPr>
        <w:t xml:space="preserve"> </w:t>
      </w:r>
    </w:p>
    <w:p>
      <w:pPr>
        <w:snapToGrid w:val="0"/>
        <w:spacing w:after="0" w:line="360" w:lineRule="auto"/>
        <w:jc w:val="left"/>
        <w:rPr>
          <w:sz w:val="24"/>
        </w:rPr>
      </w:pPr>
      <w:r>
        <w:rPr>
          <w:rFonts w:hint="eastAsia"/>
          <w:sz w:val="24"/>
        </w:rPr>
        <w:t>日期：</w:t>
      </w:r>
    </w:p>
    <w:p>
      <w:pPr>
        <w:spacing w:after="0" w:line="360" w:lineRule="auto"/>
        <w:ind w:firstLine="240" w:firstLineChars="100"/>
        <w:rPr>
          <w:sz w:val="24"/>
        </w:rPr>
      </w:pPr>
    </w:p>
    <w:p>
      <w:pPr>
        <w:spacing w:after="0" w:line="360" w:lineRule="auto"/>
        <w:ind w:firstLine="240" w:firstLineChars="100"/>
        <w:rPr>
          <w:sz w:val="24"/>
        </w:rPr>
        <w:sectPr>
          <w:pgSz w:w="11906" w:h="16838"/>
          <w:pgMar w:top="1440" w:right="1286" w:bottom="1440" w:left="1440" w:header="851" w:footer="992" w:gutter="0"/>
          <w:cols w:space="720" w:num="1"/>
          <w:docGrid w:type="lines" w:linePitch="312" w:charSpace="0"/>
        </w:sectPr>
      </w:pPr>
    </w:p>
    <w:p>
      <w:pPr>
        <w:tabs>
          <w:tab w:val="left" w:pos="426"/>
        </w:tabs>
        <w:autoSpaceDE w:val="0"/>
        <w:autoSpaceDN w:val="0"/>
        <w:spacing w:after="0" w:line="360" w:lineRule="auto"/>
        <w:jc w:val="center"/>
        <w:outlineLvl w:val="3"/>
        <w:rPr>
          <w:rFonts w:ascii="黑体" w:hAnsi="黑体" w:eastAsia="黑体"/>
          <w:sz w:val="32"/>
          <w:szCs w:val="32"/>
        </w:rPr>
      </w:pPr>
      <w:r>
        <w:rPr>
          <w:rFonts w:hint="eastAsia" w:ascii="黑体" w:hAnsi="黑体" w:eastAsia="黑体"/>
          <w:sz w:val="32"/>
          <w:szCs w:val="32"/>
        </w:rPr>
        <w:t>投 标 函</w:t>
      </w:r>
    </w:p>
    <w:p>
      <w:pPr>
        <w:spacing w:after="0" w:line="360" w:lineRule="auto"/>
        <w:rPr>
          <w:rFonts w:ascii="宋体" w:hAnsi="宋体"/>
          <w:b/>
          <w:sz w:val="24"/>
        </w:rPr>
      </w:pPr>
      <w:r>
        <w:rPr>
          <w:rFonts w:hint="eastAsia" w:ascii="宋体" w:hAnsi="宋体"/>
          <w:b/>
          <w:sz w:val="24"/>
        </w:rPr>
        <w:t>采联国际招标采购集团有限公司</w:t>
      </w:r>
    </w:p>
    <w:p>
      <w:pPr>
        <w:spacing w:after="0" w:line="360" w:lineRule="auto"/>
        <w:ind w:left="100" w:leftChars="50" w:firstLine="427" w:firstLineChars="178"/>
        <w:rPr>
          <w:rFonts w:ascii="宋体" w:hAnsi="宋体"/>
          <w:sz w:val="24"/>
        </w:rPr>
      </w:pPr>
      <w:r>
        <w:rPr>
          <w:rFonts w:hint="eastAsia" w:ascii="宋体" w:hAnsi="宋体"/>
          <w:sz w:val="24"/>
        </w:rPr>
        <w:t>我方确认收到贵方</w:t>
      </w:r>
      <w:r>
        <w:rPr>
          <w:rFonts w:hint="eastAsia" w:ascii="宋体" w:hAnsi="宋体"/>
          <w:kern w:val="28"/>
          <w:sz w:val="24"/>
          <w:u w:val="single"/>
        </w:rPr>
        <w:t xml:space="preserve">        广东省英德监狱购买单警装备项目      </w:t>
      </w:r>
      <w:r>
        <w:rPr>
          <w:rFonts w:hint="eastAsia" w:ascii="宋体" w:hAnsi="宋体"/>
          <w:kern w:val="28"/>
          <w:sz w:val="24"/>
        </w:rPr>
        <w:t>项目</w:t>
      </w:r>
      <w:r>
        <w:rPr>
          <w:rFonts w:hint="eastAsia" w:ascii="宋体" w:hAnsi="宋体"/>
          <w:sz w:val="24"/>
        </w:rPr>
        <w:t>的招标文件（项目编号：CLF0123GZ11QY48），</w:t>
      </w:r>
      <w:r>
        <w:rPr>
          <w:rFonts w:hint="eastAsia" w:ascii="宋体" w:hAnsi="宋体"/>
          <w:sz w:val="24"/>
          <w:u w:val="single"/>
        </w:rPr>
        <w:t xml:space="preserve"> (投标人名称、地址)。</w:t>
      </w:r>
      <w:r>
        <w:rPr>
          <w:rFonts w:hint="eastAsia" w:ascii="宋体" w:hAnsi="宋体"/>
          <w:sz w:val="24"/>
        </w:rPr>
        <w:t>作为投标人已正式授权《法定代表人授权委托书》中的授权代表或法定代表人为我方签名代表，签名代表在此声明并同意：</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我们愿意遵守采购代理机构招标文件的各项规定，自愿参加投标，并已清楚招标文件的要求及有关文件规定，并严格按照招标文件的规定履行全部责任和义务。</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我们同意本投标文件的投标有效期从提交投标文件的截止之日起</w:t>
      </w:r>
      <w:r>
        <w:rPr>
          <w:rFonts w:ascii="宋体" w:hAnsi="宋体"/>
          <w:b/>
          <w:bCs/>
          <w:sz w:val="24"/>
          <w:u w:val="single"/>
        </w:rPr>
        <w:t>90</w:t>
      </w:r>
      <w:r>
        <w:rPr>
          <w:rFonts w:ascii="宋体" w:hAnsi="宋体"/>
          <w:b/>
          <w:bCs/>
          <w:sz w:val="24"/>
        </w:rPr>
        <w:t>日历日</w:t>
      </w:r>
      <w:r>
        <w:rPr>
          <w:rFonts w:ascii="宋体" w:hAnsi="宋体"/>
          <w:sz w:val="24"/>
        </w:rPr>
        <w:t>内有效，并承诺不予撤销已递交的投标文件。</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我们已经详细地阅读并完全明白了全部招标文件及附件，包括澄清（如有）及参考文件，我们完全理解本招标文件的要求，</w:t>
      </w:r>
      <w:r>
        <w:rPr>
          <w:rFonts w:hint="eastAsia" w:ascii="宋体"/>
          <w:sz w:val="24"/>
        </w:rPr>
        <w:t>我们同意放弃对招标文件提出不明或误解的一切权力</w:t>
      </w:r>
      <w:r>
        <w:rPr>
          <w:rFonts w:hint="eastAsia" w:ascii="宋体" w:hAnsi="宋体"/>
          <w:sz w:val="24"/>
        </w:rPr>
        <w:t>。</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我们同意提供</w:t>
      </w:r>
      <w:r>
        <w:rPr>
          <w:rFonts w:hint="eastAsia" w:ascii="宋体" w:hAnsi="宋体" w:cs="宋体"/>
          <w:sz w:val="24"/>
          <w:lang w:eastAsia="zh-TW"/>
        </w:rPr>
        <w:t>采购人或者采购代理机构</w:t>
      </w:r>
      <w:r>
        <w:rPr>
          <w:rFonts w:hint="eastAsia" w:ascii="宋体" w:hAnsi="宋体"/>
          <w:sz w:val="24"/>
        </w:rPr>
        <w:t>与评标委员会要求的有关投标的一切数据或资料。</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我们理解</w:t>
      </w:r>
      <w:r>
        <w:rPr>
          <w:rFonts w:hint="eastAsia" w:ascii="宋体" w:hAnsi="宋体" w:cs="宋体"/>
          <w:sz w:val="24"/>
          <w:lang w:eastAsia="zh-TW"/>
        </w:rPr>
        <w:t>采购人或者采购代理机构</w:t>
      </w:r>
      <w:r>
        <w:rPr>
          <w:rFonts w:hint="eastAsia" w:ascii="宋体" w:hAnsi="宋体"/>
          <w:sz w:val="24"/>
        </w:rPr>
        <w:t>与评标委员会并无义务必须接受最低报价的投标或其它任何投标，完全理解采购代理机构拒绝迟到的任何投标和最低投标报价不是被授予中标的唯一条件。</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 xml:space="preserve">如果我们未对招标文件全部要求作出实质性响应，则完全同意并接受按无效投标处理。 </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如果我们提供的声明或承诺不真实，则完全同意认定为我司提供虚假材料，并同意作相应处理。</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我们是依法注册的法人，在法律、财务及运作上完全独立于本项目采购人、用户单位（如有）和采购代理机构。</w:t>
      </w:r>
    </w:p>
    <w:p>
      <w:pPr>
        <w:numPr>
          <w:ilvl w:val="0"/>
          <w:numId w:val="89"/>
        </w:numPr>
        <w:tabs>
          <w:tab w:val="clear" w:pos="780"/>
        </w:tabs>
        <w:snapToGrid w:val="0"/>
        <w:spacing w:after="0" w:line="360" w:lineRule="auto"/>
        <w:ind w:left="426"/>
        <w:rPr>
          <w:rFonts w:ascii="宋体" w:hAnsi="宋体"/>
          <w:sz w:val="24"/>
        </w:rPr>
      </w:pPr>
      <w:r>
        <w:rPr>
          <w:rFonts w:hint="eastAsia" w:ascii="宋体" w:hAnsi="宋体"/>
          <w:sz w:val="24"/>
        </w:rPr>
        <w:t>与本投标有关的一切正式信函请寄：</w:t>
      </w:r>
      <w:r>
        <w:rPr>
          <w:rFonts w:hint="eastAsia" w:ascii="宋体" w:hAnsi="宋体"/>
          <w:sz w:val="24"/>
          <w:u w:val="single"/>
        </w:rPr>
        <w:t xml:space="preserve">      地址      </w:t>
      </w:r>
    </w:p>
    <w:p>
      <w:pPr>
        <w:spacing w:after="0"/>
        <w:rPr>
          <w:rFonts w:ascii="宋体"/>
          <w:sz w:val="24"/>
        </w:rPr>
      </w:pPr>
    </w:p>
    <w:p>
      <w:pPr>
        <w:spacing w:after="0" w:line="500" w:lineRule="exact"/>
        <w:ind w:left="420"/>
        <w:rPr>
          <w:spacing w:val="4"/>
          <w:sz w:val="24"/>
        </w:rPr>
      </w:pPr>
      <w:r>
        <w:rPr>
          <w:rFonts w:hint="eastAsia"/>
          <w:spacing w:val="4"/>
          <w:sz w:val="24"/>
        </w:rPr>
        <w:t>投标人名称（单位盖公章）：</w:t>
      </w:r>
    </w:p>
    <w:p>
      <w:pPr>
        <w:spacing w:after="0" w:line="500" w:lineRule="exact"/>
        <w:ind w:left="420"/>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pacing w:after="0" w:line="500" w:lineRule="exact"/>
        <w:ind w:left="420"/>
        <w:rPr>
          <w:spacing w:val="4"/>
          <w:sz w:val="24"/>
        </w:rPr>
      </w:pPr>
      <w:r>
        <w:rPr>
          <w:rFonts w:hint="eastAsia"/>
          <w:spacing w:val="4"/>
          <w:sz w:val="24"/>
        </w:rPr>
        <w:t>日期</w:t>
      </w:r>
    </w:p>
    <w:p>
      <w:pPr>
        <w:snapToGrid w:val="0"/>
        <w:spacing w:after="0" w:line="360" w:lineRule="auto"/>
        <w:ind w:firstLine="494" w:firstLineChars="206"/>
        <w:rPr>
          <w:rFonts w:ascii="黑体" w:eastAsia="黑体"/>
          <w:bCs/>
          <w:sz w:val="24"/>
        </w:rPr>
      </w:pPr>
    </w:p>
    <w:p>
      <w:pPr>
        <w:autoSpaceDE w:val="0"/>
        <w:autoSpaceDN w:val="0"/>
        <w:spacing w:after="0" w:line="360" w:lineRule="auto"/>
        <w:ind w:left="420" w:firstLine="6"/>
        <w:rPr>
          <w:rFonts w:ascii="宋体" w:hAnsi="宋体"/>
          <w:sz w:val="24"/>
        </w:rPr>
      </w:pPr>
      <w:r>
        <w:rPr>
          <w:rFonts w:hint="eastAsia" w:ascii="宋体" w:hAnsi="宋体"/>
          <w:sz w:val="24"/>
        </w:rPr>
        <w:t>备注：投标函中承诺的投标有效期应当不少于招标文件中载明的投标有效期，其他内容不得擅自删改，否则视为无效投标。</w:t>
      </w:r>
    </w:p>
    <w:p>
      <w:pPr>
        <w:snapToGrid w:val="0"/>
        <w:spacing w:after="0" w:line="360" w:lineRule="auto"/>
        <w:ind w:firstLine="494" w:firstLineChars="206"/>
        <w:rPr>
          <w:rFonts w:ascii="黑体" w:eastAsia="黑体"/>
          <w:bCs/>
          <w:sz w:val="24"/>
        </w:rPr>
        <w:sectPr>
          <w:pgSz w:w="11906" w:h="16838"/>
          <w:pgMar w:top="1440" w:right="1286" w:bottom="1440" w:left="1440" w:header="851" w:footer="992" w:gutter="0"/>
          <w:cols w:space="720" w:num="1"/>
          <w:docGrid w:type="lines" w:linePitch="312" w:charSpace="0"/>
        </w:sectPr>
      </w:pP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法定代表人授权委托书</w:t>
      </w:r>
    </w:p>
    <w:p>
      <w:pPr>
        <w:pStyle w:val="20"/>
        <w:spacing w:after="0" w:line="360" w:lineRule="auto"/>
        <w:ind w:firstLine="480" w:firstLineChars="200"/>
        <w:rPr>
          <w:sz w:val="24"/>
          <w:szCs w:val="24"/>
        </w:rPr>
      </w:pPr>
      <w:r>
        <w:rPr>
          <w:rFonts w:hint="eastAsia"/>
          <w:sz w:val="24"/>
          <w:szCs w:val="24"/>
        </w:rPr>
        <w:t>本授权委托书声明：注册于</w:t>
      </w:r>
      <w:r>
        <w:rPr>
          <w:rFonts w:hint="eastAsia"/>
          <w:sz w:val="24"/>
          <w:szCs w:val="24"/>
          <w:u w:val="single"/>
        </w:rPr>
        <w:t xml:space="preserve"> （投标人地址）  </w:t>
      </w:r>
      <w:r>
        <w:rPr>
          <w:rFonts w:hint="eastAsia"/>
          <w:sz w:val="24"/>
          <w:szCs w:val="24"/>
        </w:rPr>
        <w:t>的</w:t>
      </w:r>
      <w:r>
        <w:rPr>
          <w:rFonts w:hint="eastAsia"/>
          <w:sz w:val="24"/>
          <w:szCs w:val="24"/>
          <w:u w:val="single"/>
        </w:rPr>
        <w:t xml:space="preserve">  （单位名称）    </w:t>
      </w:r>
      <w:r>
        <w:rPr>
          <w:rFonts w:hint="eastAsia"/>
          <w:sz w:val="24"/>
          <w:szCs w:val="24"/>
        </w:rPr>
        <w:t>在下面签名的</w:t>
      </w:r>
      <w:r>
        <w:rPr>
          <w:rFonts w:hint="eastAsia"/>
          <w:sz w:val="24"/>
          <w:szCs w:val="24"/>
          <w:u w:val="single"/>
        </w:rPr>
        <w:t>（法定代表人姓名、职务）</w:t>
      </w:r>
      <w:r>
        <w:rPr>
          <w:rFonts w:hint="eastAsia"/>
          <w:sz w:val="24"/>
          <w:szCs w:val="24"/>
        </w:rPr>
        <w:t>在此授权</w:t>
      </w:r>
      <w:r>
        <w:rPr>
          <w:rFonts w:hint="eastAsia"/>
          <w:sz w:val="24"/>
          <w:szCs w:val="24"/>
          <w:u w:val="single"/>
        </w:rPr>
        <w:t>（被授权人姓名、职务）</w:t>
      </w:r>
      <w:r>
        <w:rPr>
          <w:rFonts w:hint="eastAsia"/>
          <w:sz w:val="24"/>
          <w:szCs w:val="24"/>
        </w:rPr>
        <w:t>作为我公司的合法代理人，就</w:t>
      </w:r>
      <w:r>
        <w:rPr>
          <w:rFonts w:hint="eastAsia"/>
          <w:sz w:val="24"/>
          <w:szCs w:val="24"/>
          <w:u w:val="single"/>
        </w:rPr>
        <w:t xml:space="preserve">  广东省英德监狱购买单警装备项目  (项目编号：CLF0123GZ11QY48</w:t>
      </w:r>
      <w:r>
        <w:rPr>
          <w:rFonts w:hint="eastAsia"/>
          <w:sz w:val="24"/>
          <w:szCs w:val="24"/>
        </w:rPr>
        <w:t>）的招投标活动，采购合同的签订、执行、完成和售后服务，作为投标人代表以我方的名义处理一切与之有关的事务。</w:t>
      </w:r>
    </w:p>
    <w:p>
      <w:pPr>
        <w:pStyle w:val="20"/>
        <w:spacing w:after="0" w:line="360" w:lineRule="auto"/>
        <w:ind w:firstLine="480" w:firstLineChars="200"/>
        <w:rPr>
          <w:sz w:val="24"/>
          <w:szCs w:val="24"/>
        </w:rPr>
      </w:pPr>
      <w:r>
        <w:rPr>
          <w:rFonts w:hint="eastAsia"/>
          <w:sz w:val="24"/>
          <w:szCs w:val="24"/>
        </w:rPr>
        <w:t>被授权人（投标人授权代表）无转委托权限。</w:t>
      </w:r>
    </w:p>
    <w:p>
      <w:pPr>
        <w:spacing w:after="0" w:line="360" w:lineRule="auto"/>
        <w:ind w:firstLine="480" w:firstLineChars="200"/>
        <w:rPr>
          <w:rFonts w:ascii="宋体"/>
          <w:sz w:val="24"/>
        </w:rPr>
      </w:pPr>
      <w:r>
        <w:rPr>
          <w:rFonts w:hint="eastAsia" w:ascii="宋体"/>
          <w:sz w:val="24"/>
        </w:rPr>
        <w:t>本授权书自法定代表人签字（或盖个人名章）之日起生效，特此声明。</w:t>
      </w: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r>
        <w:rPr>
          <w:rFonts w:hint="eastAsia" w:ascii="宋体"/>
          <w:sz w:val="24"/>
        </w:rPr>
        <w:t>投标人名称（</w:t>
      </w:r>
      <w:r>
        <w:rPr>
          <w:rFonts w:hint="eastAsia" w:ascii="宋体" w:hAnsi="宋体"/>
          <w:sz w:val="24"/>
        </w:rPr>
        <w:t>单位盖</w:t>
      </w:r>
      <w:r>
        <w:rPr>
          <w:rFonts w:hint="eastAsia"/>
          <w:spacing w:val="4"/>
          <w:sz w:val="24"/>
        </w:rPr>
        <w:t>公章</w:t>
      </w:r>
      <w:r>
        <w:rPr>
          <w:rFonts w:hint="eastAsia" w:ascii="宋体"/>
          <w:sz w:val="24"/>
        </w:rPr>
        <w:t>）：</w:t>
      </w:r>
    </w:p>
    <w:p>
      <w:pPr>
        <w:spacing w:after="0" w:line="360" w:lineRule="auto"/>
        <w:rPr>
          <w:rFonts w:ascii="宋体"/>
          <w:sz w:val="24"/>
        </w:rPr>
      </w:pPr>
      <w:r>
        <w:rPr>
          <w:rFonts w:hint="eastAsia" w:ascii="宋体"/>
          <w:sz w:val="24"/>
        </w:rPr>
        <w:t>地      址：</w:t>
      </w:r>
    </w:p>
    <w:p>
      <w:pPr>
        <w:tabs>
          <w:tab w:val="left" w:pos="3780"/>
        </w:tabs>
        <w:spacing w:after="0" w:line="360" w:lineRule="auto"/>
        <w:rPr>
          <w:rFonts w:ascii="宋体"/>
          <w:sz w:val="24"/>
        </w:rPr>
      </w:pPr>
      <w:r>
        <w:rPr>
          <w:rFonts w:hint="eastAsia" w:ascii="宋体"/>
          <w:sz w:val="24"/>
        </w:rPr>
        <w:t xml:space="preserve">法定代表人（签字或盖个人名章）：                         签字日期：  </w:t>
      </w:r>
      <w:r>
        <w:rPr>
          <w:rFonts w:hint="eastAsia" w:ascii="宋体" w:hAnsi="宋体"/>
          <w:sz w:val="24"/>
        </w:rPr>
        <w:t>年  月  日</w:t>
      </w:r>
    </w:p>
    <w:p>
      <w:pPr>
        <w:spacing w:after="0" w:line="360" w:lineRule="auto"/>
        <w:ind w:left="1104" w:leftChars="552" w:firstLine="2261"/>
        <w:rPr>
          <w:rFonts w:ascii="宋体"/>
          <w:sz w:val="24"/>
        </w:rPr>
      </w:pPr>
    </w:p>
    <w:p>
      <w:pPr>
        <w:spacing w:after="0" w:line="360" w:lineRule="auto"/>
        <w:rPr>
          <w:rFonts w:ascii="宋体"/>
          <w:sz w:val="24"/>
        </w:rPr>
      </w:pPr>
      <w:r>
        <w:rPr>
          <w:rFonts w:ascii="宋体"/>
          <w:sz w:val="24"/>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0" t="0" r="0" b="0"/>
                <wp:wrapNone/>
                <wp:docPr id="9"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pPr>
                              <w:r>
                                <w:rPr>
                                  <w:rFonts w:hint="eastAsia"/>
                                  <w:sz w:val="24"/>
                                </w:rPr>
                                <w:t>（正面）</w:t>
                              </w:r>
                            </w:p>
                            <w:p/>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（反面）</w:t>
                              </w:r>
                            </w:p>
                            <w:p/>
                          </w:txbxContent>
                        </wps:txbx>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1.5pt;margin-top:17.1pt;height:117.15pt;width:439.7pt;z-index:251660288;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NU&#10;aMXaAAAACQEAAA8AAAAAAAAAAQAgAAAAIgAAAGRycy9kb3ducmV2LnhtbFBLAQIUABQAAAAIAIdO&#10;4kDJCBUDzAIAAEsIAAAOAAAAAAAAAAEAIAAAACkBAABkcnMvZTJvRG9jLnhtbFBLBQYAAAAABgAG&#10;AFkBAABnBgAAAAA=&#10;">
                <o:lock v:ext="edit" aspectratio="f"/>
                <v:rect id="矩形 4" o:spid="_x0000_s1026" o:spt="1" style="position:absolute;left:1410;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pPr>
                        <w:r>
                          <w:rPr>
                            <w:rFonts w:hint="eastAsia"/>
                            <w:sz w:val="24"/>
                          </w:rPr>
                          <w:t>（正面）</w:t>
                        </w:r>
                      </w:p>
                      <w:p/>
                    </w:txbxContent>
                  </v:textbox>
                </v:rect>
                <v:rect id="矩形 8" o:spid="_x0000_s1026" o:spt="1" style="position:absolute;left:5867;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（反面）</w:t>
                        </w:r>
                      </w:p>
                      <w:p/>
                    </w:txbxContent>
                  </v:textbox>
                </v:rect>
              </v:group>
            </w:pict>
          </mc:Fallback>
        </mc:AlternateContent>
      </w: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440" w:lineRule="exact"/>
        <w:rPr>
          <w:rFonts w:ascii="宋体"/>
          <w:sz w:val="24"/>
        </w:rPr>
        <w:sectPr>
          <w:pgSz w:w="11906" w:h="16838"/>
          <w:pgMar w:top="1440" w:right="1286" w:bottom="1440" w:left="1440" w:header="851" w:footer="992" w:gutter="0"/>
          <w:cols w:space="720" w:num="1"/>
          <w:docGrid w:type="lines" w:linePitch="312" w:charSpace="0"/>
        </w:sectPr>
      </w:pP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法定代表人证明书</w:t>
      </w:r>
    </w:p>
    <w:p>
      <w:pPr>
        <w:tabs>
          <w:tab w:val="left" w:pos="900"/>
        </w:tabs>
        <w:spacing w:after="0" w:line="480" w:lineRule="auto"/>
        <w:ind w:firstLine="1080" w:firstLineChars="450"/>
        <w:rPr>
          <w:rFonts w:ascii="宋体" w:hAnsi="宋体"/>
          <w:sz w:val="24"/>
        </w:rPr>
      </w:pPr>
      <w:r>
        <w:rPr>
          <w:rFonts w:hint="eastAsia" w:ascii="宋体" w:hAnsi="宋体"/>
          <w:sz w:val="24"/>
        </w:rPr>
        <w:t>______________同志，现任我单位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职务，为法定代表人，特此证明。</w:t>
      </w:r>
    </w:p>
    <w:p>
      <w:pPr>
        <w:spacing w:after="0" w:line="360" w:lineRule="auto"/>
        <w:ind w:firstLine="480" w:firstLineChars="200"/>
        <w:rPr>
          <w:rFonts w:ascii="宋体" w:hAnsi="宋体"/>
          <w:sz w:val="24"/>
        </w:rPr>
      </w:pPr>
      <w:r>
        <w:rPr>
          <w:rFonts w:hint="eastAsia" w:ascii="宋体"/>
          <w:sz w:val="24"/>
        </w:rPr>
        <w:t>本证明书自签发之日起生效，</w:t>
      </w:r>
      <w:r>
        <w:rPr>
          <w:rFonts w:hint="eastAsia" w:ascii="宋体" w:hAnsi="宋体"/>
          <w:sz w:val="24"/>
        </w:rPr>
        <w:t>有效期与本公司投标文件中标注的投标有效期相同。</w:t>
      </w:r>
    </w:p>
    <w:p>
      <w:pPr>
        <w:spacing w:after="0" w:line="480" w:lineRule="auto"/>
        <w:ind w:firstLine="480" w:firstLineChars="200"/>
        <w:rPr>
          <w:rFonts w:ascii="宋体" w:hAnsi="宋体"/>
          <w:sz w:val="24"/>
        </w:rPr>
      </w:pPr>
      <w:r>
        <w:rPr>
          <w:rFonts w:hint="eastAsia" w:ascii="宋体" w:hAnsi="宋体"/>
          <w:sz w:val="24"/>
        </w:rPr>
        <w:t>附：</w:t>
      </w:r>
    </w:p>
    <w:p>
      <w:pPr>
        <w:spacing w:after="0" w:line="480" w:lineRule="auto"/>
        <w:ind w:firstLine="960" w:firstLineChars="400"/>
        <w:rPr>
          <w:rFonts w:ascii="宋体" w:hAnsi="宋体"/>
          <w:sz w:val="24"/>
        </w:rPr>
      </w:pPr>
      <w:r>
        <w:rPr>
          <w:rFonts w:hint="eastAsia" w:ascii="宋体" w:hAnsi="宋体"/>
          <w:sz w:val="24"/>
        </w:rPr>
        <w:t xml:space="preserve">营业执照（注册号）： </w:t>
      </w:r>
    </w:p>
    <w:p>
      <w:pPr>
        <w:spacing w:after="0" w:line="480" w:lineRule="auto"/>
        <w:ind w:firstLine="960" w:firstLineChars="400"/>
        <w:rPr>
          <w:rFonts w:ascii="宋体" w:hAnsi="宋体"/>
          <w:sz w:val="24"/>
        </w:rPr>
      </w:pPr>
      <w:r>
        <w:rPr>
          <w:rFonts w:hint="eastAsia" w:ascii="宋体" w:hAnsi="宋体"/>
          <w:sz w:val="24"/>
        </w:rPr>
        <w:t>经济性质：</w:t>
      </w:r>
    </w:p>
    <w:p>
      <w:pPr>
        <w:spacing w:after="0" w:line="480" w:lineRule="auto"/>
        <w:ind w:firstLine="960" w:firstLineChars="400"/>
        <w:rPr>
          <w:rFonts w:ascii="宋体" w:hAnsi="宋体"/>
          <w:sz w:val="24"/>
        </w:rPr>
      </w:pPr>
      <w:r>
        <w:rPr>
          <w:rFonts w:hint="eastAsia" w:ascii="宋体" w:hAnsi="宋体"/>
          <w:sz w:val="24"/>
        </w:rPr>
        <w:t>主营（产）：</w:t>
      </w:r>
    </w:p>
    <w:p>
      <w:pPr>
        <w:spacing w:after="0" w:line="480" w:lineRule="auto"/>
        <w:ind w:firstLine="960" w:firstLineChars="400"/>
        <w:rPr>
          <w:rFonts w:ascii="宋体" w:hAnsi="宋体"/>
          <w:sz w:val="24"/>
        </w:rPr>
      </w:pPr>
      <w:r>
        <w:rPr>
          <w:rFonts w:hint="eastAsia" w:ascii="宋体" w:hAnsi="宋体"/>
          <w:sz w:val="24"/>
        </w:rPr>
        <w:t>兼营（产）：</w:t>
      </w:r>
    </w:p>
    <w:p>
      <w:pPr>
        <w:spacing w:after="0" w:line="360" w:lineRule="auto"/>
        <w:rPr>
          <w:rFonts w:ascii="宋体"/>
          <w:sz w:val="24"/>
        </w:rPr>
      </w:pPr>
      <w:r>
        <w:rPr>
          <w:rFonts w:ascii="宋体"/>
          <w:sz w:val="24"/>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217170</wp:posOffset>
                </wp:positionV>
                <wp:extent cx="5584190" cy="1487805"/>
                <wp:effectExtent l="0" t="0" r="0" b="0"/>
                <wp:wrapNone/>
                <wp:docPr id="6"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7"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pPr>
                              <w:r>
                                <w:rPr>
                                  <w:rFonts w:hint="eastAsia"/>
                                  <w:sz w:val="24"/>
                                </w:rPr>
                                <w:t>（正面</w:t>
                              </w:r>
                              <w:r>
                                <w:rPr>
                                  <w:rFonts w:hint="eastAsia"/>
                                </w:rPr>
                                <w:t>）</w:t>
                              </w:r>
                            </w:p>
                            <w:p/>
                          </w:txbxContent>
                        </wps:txbx>
                        <wps:bodyPr rot="0" vert="horz" wrap="square" lIns="91440" tIns="45720" rIns="91440" bIns="45720" anchor="t" anchorCtr="0" upright="1">
                          <a:noAutofit/>
                        </wps:bodyPr>
                      </wps:wsp>
                      <wps:wsp>
                        <wps:cNvPr id="8"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rPr>
                                  <w:sz w:val="24"/>
                                </w:rPr>
                              </w:pPr>
                              <w:r>
                                <w:rPr>
                                  <w:rFonts w:hint="eastAsia"/>
                                  <w:sz w:val="24"/>
                                </w:rPr>
                                <w:t>（反面）</w:t>
                              </w:r>
                            </w:p>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1.5pt;margin-top:17.1pt;height:117.15pt;width:439.7pt;z-index:251661312;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A1RoxdoAAAAJAQAADwAAAAAAAAABACAAAAAiAAAAZHJzL2Rvd25yZXYueG1sUEsBAhQAFAAA&#10;AAgAh07iQCcWUHrRAgAASwgAAA4AAAAAAAAAAQAgAAAAKQEAAGRycy9lMm9Eb2MueG1sUEsFBgAA&#10;AAAGAAYAWQEAAGwGAAAAAA==&#10;">
                <o:lock v:ext="edit" aspectratio="f"/>
                <v:rect id="矩形 11" o:spid="_x0000_s1026" o:spt="1" style="position:absolute;left:1410;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pPr>
                        <w:r>
                          <w:rPr>
                            <w:rFonts w:hint="eastAsia"/>
                            <w:sz w:val="24"/>
                          </w:rPr>
                          <w:t>（正面</w:t>
                        </w:r>
                        <w:r>
                          <w:rPr>
                            <w:rFonts w:hint="eastAsia"/>
                          </w:rPr>
                          <w:t>）</w:t>
                        </w:r>
                      </w:p>
                      <w:p/>
                    </w:txbxContent>
                  </v:textbox>
                </v:rect>
                <v:rect id="矩形 12" o:spid="_x0000_s1026" o:spt="1" style="position:absolute;left:5867;top:9240;height:2343;width:4337;"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sz w:val="24"/>
                          </w:rPr>
                        </w:pPr>
                        <w:r>
                          <w:rPr>
                            <w:rFonts w:hint="eastAsia"/>
                            <w:sz w:val="24"/>
                          </w:rPr>
                          <w:t>法定代表人</w:t>
                        </w:r>
                      </w:p>
                      <w:p>
                        <w:pPr>
                          <w:jc w:val="center"/>
                          <w:rPr>
                            <w:sz w:val="24"/>
                          </w:rPr>
                        </w:pPr>
                        <w:r>
                          <w:rPr>
                            <w:rFonts w:hint="eastAsia"/>
                            <w:sz w:val="24"/>
                          </w:rPr>
                          <w:t>居民身份证复印件</w:t>
                        </w:r>
                      </w:p>
                      <w:p>
                        <w:pPr>
                          <w:ind w:firstLine="1200" w:firstLineChars="500"/>
                          <w:rPr>
                            <w:sz w:val="24"/>
                          </w:rPr>
                        </w:pPr>
                      </w:p>
                      <w:p>
                        <w:pPr>
                          <w:jc w:val="center"/>
                          <w:rPr>
                            <w:sz w:val="24"/>
                          </w:rPr>
                        </w:pPr>
                        <w:r>
                          <w:rPr>
                            <w:rFonts w:hint="eastAsia"/>
                            <w:sz w:val="24"/>
                          </w:rPr>
                          <w:t>（反面）</w:t>
                        </w:r>
                      </w:p>
                      <w:p/>
                    </w:txbxContent>
                  </v:textbox>
                </v:rect>
              </v:group>
            </w:pict>
          </mc:Fallback>
        </mc:AlternateContent>
      </w:r>
    </w:p>
    <w:p>
      <w:pPr>
        <w:spacing w:after="0" w:line="360" w:lineRule="auto"/>
        <w:rPr>
          <w:rFonts w:ascii="宋体"/>
          <w:sz w:val="24"/>
        </w:rPr>
      </w:pPr>
    </w:p>
    <w:p>
      <w:pPr>
        <w:spacing w:after="0" w:line="360" w:lineRule="auto"/>
        <w:rPr>
          <w:rFonts w:ascii="宋体"/>
          <w:sz w:val="24"/>
        </w:rPr>
      </w:pPr>
    </w:p>
    <w:p>
      <w:pPr>
        <w:spacing w:after="0" w:line="360" w:lineRule="auto"/>
        <w:rPr>
          <w:rFonts w:ascii="宋体"/>
          <w:sz w:val="24"/>
        </w:rPr>
      </w:pPr>
    </w:p>
    <w:p>
      <w:pPr>
        <w:spacing w:after="0" w:line="500" w:lineRule="exact"/>
        <w:rPr>
          <w:rFonts w:ascii="宋体"/>
          <w:b/>
          <w:bCs/>
          <w:sz w:val="24"/>
        </w:rPr>
      </w:pPr>
    </w:p>
    <w:p>
      <w:pPr>
        <w:spacing w:after="0" w:line="500" w:lineRule="exact"/>
        <w:rPr>
          <w:rFonts w:ascii="宋体"/>
          <w:b/>
          <w:bCs/>
          <w:sz w:val="24"/>
        </w:rPr>
      </w:pPr>
    </w:p>
    <w:p>
      <w:pPr>
        <w:spacing w:after="0" w:line="500" w:lineRule="exact"/>
        <w:rPr>
          <w:rFonts w:ascii="宋体"/>
          <w:b/>
          <w:bCs/>
          <w:sz w:val="24"/>
        </w:rPr>
      </w:pPr>
    </w:p>
    <w:p>
      <w:pPr>
        <w:spacing w:after="0" w:line="500" w:lineRule="exact"/>
        <w:ind w:firstLine="5160" w:firstLineChars="2150"/>
        <w:rPr>
          <w:rFonts w:ascii="宋体" w:hAnsi="宋体"/>
          <w:sz w:val="24"/>
        </w:rPr>
      </w:pPr>
      <w:r>
        <w:rPr>
          <w:rFonts w:hint="eastAsia" w:ascii="宋体" w:hAnsi="宋体"/>
          <w:sz w:val="24"/>
        </w:rPr>
        <w:t>投标人名称（单位盖</w:t>
      </w:r>
      <w:r>
        <w:rPr>
          <w:rFonts w:hint="eastAsia"/>
          <w:spacing w:val="4"/>
          <w:sz w:val="24"/>
        </w:rPr>
        <w:t>公章</w:t>
      </w:r>
      <w:r>
        <w:rPr>
          <w:rFonts w:hint="eastAsia" w:ascii="宋体" w:hAnsi="宋体"/>
          <w:sz w:val="24"/>
        </w:rPr>
        <w:t>）：</w:t>
      </w:r>
    </w:p>
    <w:p>
      <w:pPr>
        <w:spacing w:after="0" w:line="500" w:lineRule="exact"/>
        <w:rPr>
          <w:rFonts w:ascii="宋体" w:hAnsi="宋体"/>
          <w:sz w:val="24"/>
        </w:rPr>
      </w:pPr>
      <w:r>
        <w:rPr>
          <w:rFonts w:hint="eastAsia" w:ascii="宋体" w:hAnsi="宋体"/>
          <w:sz w:val="24"/>
        </w:rPr>
        <w:t xml:space="preserve">                                           地址：</w:t>
      </w:r>
    </w:p>
    <w:p>
      <w:pPr>
        <w:spacing w:after="0" w:line="500" w:lineRule="exact"/>
        <w:rPr>
          <w:rFonts w:ascii="宋体"/>
          <w:b/>
          <w:bCs/>
          <w:sz w:val="24"/>
        </w:rPr>
      </w:pPr>
      <w:r>
        <w:rPr>
          <w:rFonts w:hint="eastAsia" w:ascii="宋体" w:hAnsi="宋体"/>
          <w:sz w:val="24"/>
        </w:rPr>
        <w:t xml:space="preserve">                                           签发日期：</w:t>
      </w:r>
    </w:p>
    <w:p>
      <w:pPr>
        <w:numPr>
          <w:ilvl w:val="0"/>
          <w:numId w:val="90"/>
        </w:numPr>
        <w:spacing w:after="0" w:line="440" w:lineRule="exact"/>
        <w:rPr>
          <w:rFonts w:ascii="宋体"/>
          <w:bCs/>
          <w:sz w:val="24"/>
        </w:rPr>
      </w:pPr>
      <w:r>
        <w:rPr>
          <w:rFonts w:ascii="宋体"/>
          <w:b/>
          <w:bCs/>
          <w:sz w:val="24"/>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采购需求条款响应一览表</w:t>
      </w:r>
    </w:p>
    <w:p>
      <w:pPr>
        <w:spacing w:after="0" w:line="400" w:lineRule="exact"/>
        <w:rPr>
          <w:rFonts w:ascii="宋体" w:hAnsi="宋体"/>
          <w:sz w:val="24"/>
        </w:rPr>
      </w:pPr>
      <w:r>
        <w:rPr>
          <w:rFonts w:hint="eastAsia" w:ascii="宋体" w:hAnsi="宋体"/>
          <w:sz w:val="24"/>
        </w:rPr>
        <w:t>说明：</w:t>
      </w:r>
    </w:p>
    <w:p>
      <w:pPr>
        <w:pStyle w:val="85"/>
        <w:numPr>
          <w:ilvl w:val="0"/>
          <w:numId w:val="91"/>
        </w:numPr>
        <w:snapToGrid w:val="0"/>
        <w:spacing w:after="0" w:line="360" w:lineRule="auto"/>
        <w:ind w:firstLineChars="0"/>
        <w:rPr>
          <w:rFonts w:ascii="宋体" w:hAnsi="宋体"/>
          <w:sz w:val="24"/>
        </w:rPr>
      </w:pPr>
      <w:r>
        <w:rPr>
          <w:rFonts w:hint="eastAsia" w:ascii="宋体" w:hAnsi="宋体"/>
          <w:sz w:val="24"/>
        </w:rPr>
        <w:t>投标人必须对应招标文件条款逐条应答并按要求填写下表。</w:t>
      </w:r>
    </w:p>
    <w:p>
      <w:pPr>
        <w:pStyle w:val="85"/>
        <w:numPr>
          <w:ilvl w:val="0"/>
          <w:numId w:val="91"/>
        </w:numPr>
        <w:snapToGrid w:val="0"/>
        <w:spacing w:after="0" w:line="360" w:lineRule="auto"/>
        <w:ind w:firstLineChars="0"/>
        <w:rPr>
          <w:rFonts w:ascii="宋体" w:hAnsi="宋体"/>
          <w:sz w:val="24"/>
        </w:rPr>
      </w:pPr>
      <w:r>
        <w:rPr>
          <w:rFonts w:hint="eastAsia" w:ascii="宋体" w:hAnsi="宋体"/>
          <w:sz w:val="24"/>
        </w:rPr>
        <w:t>投标人响应描述：</w:t>
      </w:r>
      <w:r>
        <w:rPr>
          <w:rFonts w:hint="eastAsia" w:ascii="宋体" w:hAnsi="宋体"/>
          <w:bCs/>
          <w:sz w:val="24"/>
        </w:rPr>
        <w:t>投标人按响应货物实际数据填写。</w:t>
      </w:r>
    </w:p>
    <w:p>
      <w:pPr>
        <w:pStyle w:val="85"/>
        <w:numPr>
          <w:ilvl w:val="0"/>
          <w:numId w:val="91"/>
        </w:numPr>
        <w:snapToGrid w:val="0"/>
        <w:spacing w:after="0" w:line="360" w:lineRule="auto"/>
        <w:ind w:firstLineChars="0"/>
        <w:rPr>
          <w:rFonts w:ascii="宋体" w:hAnsi="宋体"/>
          <w:sz w:val="24"/>
        </w:rPr>
      </w:pPr>
      <w:r>
        <w:rPr>
          <w:rFonts w:hint="eastAsia" w:ascii="宋体" w:hAnsi="宋体"/>
          <w:sz w:val="24"/>
        </w:rPr>
        <w:t>如下表“招标文件条款描述”列的“实质性条款”数量和内容与《第二章 采购需求》不一致的，请投标人以《第二章 采购需求》的要求为准进行填写并响应。</w:t>
      </w:r>
    </w:p>
    <w:p>
      <w:pPr>
        <w:pStyle w:val="85"/>
        <w:numPr>
          <w:ilvl w:val="0"/>
          <w:numId w:val="91"/>
        </w:numPr>
        <w:snapToGrid w:val="0"/>
        <w:spacing w:after="0" w:line="360" w:lineRule="auto"/>
        <w:ind w:firstLineChars="0"/>
        <w:rPr>
          <w:rFonts w:ascii="宋体" w:hAnsi="宋体"/>
          <w:bCs/>
          <w:sz w:val="24"/>
        </w:rPr>
      </w:pPr>
      <w:r>
        <w:rPr>
          <w:rFonts w:hint="eastAsia" w:ascii="宋体" w:hAnsi="宋体"/>
          <w:bCs/>
          <w:sz w:val="24"/>
        </w:rPr>
        <w:t>投标人应按招标文件要求附相关证明文件，如有任何一项不响应或不满足的视为负偏离。</w:t>
      </w:r>
    </w:p>
    <w:p>
      <w:pPr>
        <w:pStyle w:val="85"/>
        <w:numPr>
          <w:ilvl w:val="0"/>
          <w:numId w:val="91"/>
        </w:numPr>
        <w:snapToGrid w:val="0"/>
        <w:spacing w:after="0" w:line="360" w:lineRule="auto"/>
        <w:ind w:firstLineChars="0"/>
        <w:rPr>
          <w:rFonts w:ascii="宋体" w:hAnsi="宋体"/>
          <w:bCs/>
          <w:snapToGrid w:val="0"/>
          <w:sz w:val="24"/>
        </w:rPr>
      </w:pPr>
      <w:r>
        <w:rPr>
          <w:rFonts w:hint="eastAsia" w:ascii="宋体" w:hAnsi="宋体"/>
          <w:snapToGrid w:val="0"/>
          <w:sz w:val="24"/>
        </w:rPr>
        <w:t>偏离情况说明：投标人根据投标人实际情况填写“</w:t>
      </w:r>
      <w:r>
        <w:rPr>
          <w:rFonts w:hint="eastAsia"/>
          <w:snapToGrid w:val="0"/>
          <w:sz w:val="24"/>
        </w:rPr>
        <w:t>正偏离”“完全响应”或“负偏离</w:t>
      </w:r>
      <w:r>
        <w:rPr>
          <w:rFonts w:hint="eastAsia" w:ascii="宋体" w:hAnsi="宋体"/>
          <w:snapToGrid w:val="0"/>
          <w:sz w:val="24"/>
        </w:rPr>
        <w:t>”。</w:t>
      </w:r>
    </w:p>
    <w:p>
      <w:pPr>
        <w:widowControl/>
        <w:snapToGrid w:val="0"/>
        <w:spacing w:after="0" w:line="360" w:lineRule="auto"/>
        <w:jc w:val="left"/>
        <w:rPr>
          <w:rFonts w:ascii="宋体" w:hAnsi="宋体"/>
          <w:sz w:val="24"/>
        </w:rPr>
      </w:pP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786"/>
        <w:gridCol w:w="2175"/>
        <w:gridCol w:w="2029"/>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92"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序号</w:t>
            </w:r>
          </w:p>
        </w:tc>
        <w:tc>
          <w:tcPr>
            <w:tcW w:w="2786"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招标文件条款描述</w:t>
            </w:r>
          </w:p>
        </w:tc>
        <w:tc>
          <w:tcPr>
            <w:tcW w:w="2175"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投标人响应描述</w:t>
            </w:r>
          </w:p>
        </w:tc>
        <w:tc>
          <w:tcPr>
            <w:tcW w:w="2029"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偏离情况说明</w:t>
            </w:r>
          </w:p>
        </w:tc>
        <w:tc>
          <w:tcPr>
            <w:tcW w:w="1344" w:type="dxa"/>
            <w:tcBorders>
              <w:top w:val="single" w:color="auto" w:sz="12" w:space="0"/>
              <w:bottom w:val="double" w:color="auto" w:sz="4" w:space="0"/>
            </w:tcBorders>
            <w:shd w:val="clear" w:color="auto" w:fill="EEECE1"/>
            <w:vAlign w:val="center"/>
          </w:tcPr>
          <w:p>
            <w:pPr>
              <w:snapToGrid w:val="0"/>
              <w:spacing w:after="0"/>
              <w:ind w:left="-68" w:leftChars="-34" w:right="-70" w:rightChars="-35"/>
              <w:jc w:val="center"/>
              <w:rPr>
                <w:rFonts w:ascii="宋体" w:hAnsi="宋体"/>
                <w:sz w:val="24"/>
              </w:rPr>
            </w:pPr>
            <w:r>
              <w:rPr>
                <w:rFonts w:hint="eastAsia" w:ascii="宋体" w:hAnsi="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026" w:type="dxa"/>
            <w:gridSpan w:val="5"/>
            <w:vAlign w:val="center"/>
          </w:tcPr>
          <w:p>
            <w:pPr>
              <w:spacing w:after="0" w:line="400" w:lineRule="exact"/>
              <w:jc w:val="left"/>
              <w:rPr>
                <w:rFonts w:ascii="宋体" w:hAnsi="宋体" w:cs="宋体"/>
                <w:sz w:val="24"/>
              </w:rPr>
            </w:pPr>
            <w:r>
              <w:rPr>
                <w:rFonts w:hint="eastAsia"/>
                <w:b/>
                <w:sz w:val="24"/>
              </w:rPr>
              <w:t>（一）标注“▲”的重要</w:t>
            </w:r>
            <w:r>
              <w:rPr>
                <w:rFonts w:hint="eastAsia" w:ascii="宋体" w:hAnsi="宋体"/>
                <w:b/>
                <w:sz w:val="24"/>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2"/>
              </w:numPr>
              <w:spacing w:after="0"/>
              <w:jc w:val="center"/>
              <w:rPr>
                <w:rFonts w:ascii="宋体" w:hAnsi="宋体"/>
                <w:sz w:val="24"/>
              </w:rPr>
            </w:pPr>
          </w:p>
        </w:tc>
        <w:tc>
          <w:tcPr>
            <w:tcW w:w="2786" w:type="dxa"/>
            <w:vAlign w:val="center"/>
          </w:tcPr>
          <w:p>
            <w:pPr>
              <w:widowControl/>
              <w:snapToGrid w:val="0"/>
              <w:spacing w:after="0" w:line="360" w:lineRule="auto"/>
              <w:jc w:val="left"/>
              <w:textAlignment w:val="top"/>
              <w:rPr>
                <w:rFonts w:hint="eastAsia" w:ascii="宋体" w:hAnsi="宋体" w:cs="仿宋_GB2312"/>
                <w:color w:val="auto"/>
                <w:sz w:val="24"/>
                <w:highlight w:val="none"/>
                <w:u w:val="none"/>
                <w:lang w:bidi="ar"/>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hint="eastAsia" w:ascii="宋体" w:hAnsi="宋体" w:cs="仿宋_GB2312"/>
                <w:color w:val="auto"/>
                <w:sz w:val="24"/>
                <w:highlight w:val="none"/>
                <w:u w:val="none"/>
                <w:lang w:bidi="ar"/>
              </w:rPr>
              <w:t>抗拉性能：斜挂带卡扣在扣合状态下,拉力为500N并保持30S,卡扣不破损,能正常使用,腰带钎子在扣合状态下,拉力为750N并保持30S,钎子不破损,能正常使用（需提供经CMA或CNAS认证的第三方检测机构出具的检验报告复印件并加盖</w:t>
            </w:r>
            <w:r>
              <w:rPr>
                <w:rFonts w:hint="eastAsia" w:ascii="宋体" w:hAnsi="宋体" w:cs="仿宋_GB2312"/>
                <w:color w:val="auto"/>
                <w:sz w:val="24"/>
                <w:highlight w:val="none"/>
                <w:u w:val="none"/>
                <w:lang w:val="en-US" w:eastAsia="zh-CN" w:bidi="ar"/>
              </w:rPr>
              <w:t>投标人公章</w:t>
            </w:r>
            <w:r>
              <w:rPr>
                <w:rFonts w:hint="eastAsia" w:ascii="宋体" w:hAnsi="宋体" w:cs="仿宋_GB2312"/>
                <w:color w:val="auto"/>
                <w:sz w:val="24"/>
                <w:highlight w:val="none"/>
                <w:u w:val="none"/>
                <w:lang w:bidi="ar"/>
              </w:rPr>
              <w:t>，执行标准：《GA890-2018 公安单警装备 多功能腰带》）；</w:t>
            </w:r>
          </w:p>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2"/>
              </w:numPr>
              <w:spacing w:after="0"/>
              <w:jc w:val="center"/>
              <w:rPr>
                <w:rFonts w:ascii="宋体" w:hAnsi="宋体"/>
                <w:sz w:val="24"/>
              </w:rPr>
            </w:pPr>
          </w:p>
        </w:tc>
        <w:tc>
          <w:tcPr>
            <w:tcW w:w="2786" w:type="dxa"/>
            <w:vAlign w:val="center"/>
          </w:tcPr>
          <w:p>
            <w:pPr>
              <w:spacing w:after="0" w:line="400" w:lineRule="exact"/>
              <w:jc w:val="center"/>
              <w:rPr>
                <w:rFonts w:ascii="宋体" w:hAnsi="宋体"/>
                <w:sz w:val="24"/>
              </w:rPr>
            </w:pPr>
            <w:r>
              <w:rPr>
                <w:rFonts w:hint="eastAsia" w:ascii="宋体" w:hAnsi="宋体"/>
                <w:sz w:val="24"/>
              </w:rPr>
              <w:t>▲7.腰带钎子材质为聚碳酸酯，拉伸弹性模量≥2200MPa，弯曲强度≥60MPa，弯曲弹性模量≥2200Mpa。需提供经CMA或CNAS认证的第三方检测机构出具的检验报告复印件并加盖</w:t>
            </w:r>
            <w:r>
              <w:rPr>
                <w:rFonts w:hint="eastAsia" w:ascii="宋体" w:hAnsi="宋体"/>
                <w:sz w:val="24"/>
                <w:lang w:val="en-US" w:eastAsia="zh-CN"/>
              </w:rPr>
              <w:t>投标人</w:t>
            </w:r>
            <w:r>
              <w:rPr>
                <w:rFonts w:hint="eastAsia" w:ascii="宋体" w:hAnsi="宋体"/>
                <w:sz w:val="24"/>
                <w:highlight w:val="none"/>
              </w:rPr>
              <w:t>公章</w:t>
            </w:r>
            <w:r>
              <w:rPr>
                <w:rFonts w:hint="eastAsia" w:ascii="宋体" w:hAnsi="宋体"/>
                <w:sz w:val="24"/>
              </w:rPr>
              <w:t>，执行标准：执行《JG/T 347-2012聚碳酸酯(PC)实心板》行业标准。</w:t>
            </w: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2"/>
              </w:numPr>
              <w:spacing w:after="0"/>
              <w:jc w:val="center"/>
              <w:rPr>
                <w:rFonts w:ascii="宋体" w:hAnsi="宋体"/>
                <w:sz w:val="24"/>
              </w:rPr>
            </w:pPr>
          </w:p>
        </w:tc>
        <w:tc>
          <w:tcPr>
            <w:tcW w:w="2786" w:type="dxa"/>
            <w:vAlign w:val="center"/>
          </w:tcPr>
          <w:p>
            <w:pPr>
              <w:widowControl/>
              <w:snapToGrid w:val="0"/>
              <w:spacing w:after="0" w:line="360" w:lineRule="auto"/>
              <w:jc w:val="left"/>
              <w:textAlignment w:val="center"/>
              <w:rPr>
                <w:rFonts w:hint="eastAsia" w:ascii="宋体" w:hAnsi="宋体" w:cs="仿宋_GB2312"/>
                <w:color w:val="auto"/>
                <w:sz w:val="24"/>
                <w:highlight w:val="none"/>
                <w:u w:val="none"/>
                <w:lang w:bidi="ar"/>
              </w:rPr>
            </w:pPr>
            <w:r>
              <w:rPr>
                <w:rFonts w:hint="eastAsia" w:ascii="宋体" w:hAnsi="宋体"/>
                <w:sz w:val="24"/>
              </w:rPr>
              <w:t>▲</w:t>
            </w:r>
            <w:r>
              <w:rPr>
                <w:rFonts w:hint="eastAsia" w:ascii="宋体" w:hAnsi="宋体"/>
                <w:sz w:val="24"/>
                <w:lang w:val="en-US" w:eastAsia="zh-CN"/>
              </w:rPr>
              <w:t>2</w:t>
            </w:r>
            <w:r>
              <w:rPr>
                <w:rFonts w:hint="eastAsia" w:ascii="宋体" w:hAnsi="宋体"/>
                <w:sz w:val="24"/>
              </w:rPr>
              <w:t>.</w:t>
            </w:r>
            <w:r>
              <w:rPr>
                <w:rFonts w:hint="eastAsia" w:ascii="宋体" w:hAnsi="宋体" w:cs="仿宋_GB2312"/>
                <w:color w:val="auto"/>
                <w:sz w:val="24"/>
                <w:highlight w:val="none"/>
                <w:u w:val="none"/>
                <w:lang w:bidi="ar"/>
              </w:rPr>
              <w:t>尺寸：H：50mm≤H≤55mm；45mm≤B≤80mm；（需提供经CMA或CNAS认证的第三方检测机构出具的检验报告复印件并加盖</w:t>
            </w:r>
            <w:r>
              <w:rPr>
                <w:rFonts w:hint="eastAsia" w:ascii="宋体" w:hAnsi="宋体" w:cs="仿宋_GB2312"/>
                <w:color w:val="auto"/>
                <w:sz w:val="24"/>
                <w:highlight w:val="none"/>
                <w:u w:val="none"/>
                <w:lang w:val="en-US" w:eastAsia="zh-CN" w:bidi="ar"/>
              </w:rPr>
              <w:t>投标人公章</w:t>
            </w:r>
            <w:r>
              <w:rPr>
                <w:rFonts w:hint="eastAsia" w:ascii="宋体" w:hAnsi="宋体" w:cs="仿宋_GB2312"/>
                <w:color w:val="auto"/>
                <w:sz w:val="24"/>
                <w:highlight w:val="none"/>
                <w:u w:val="none"/>
                <w:lang w:eastAsia="zh-CN" w:bidi="ar"/>
              </w:rPr>
              <w:t>，</w:t>
            </w:r>
            <w:r>
              <w:rPr>
                <w:rFonts w:hint="eastAsia" w:ascii="宋体" w:hAnsi="宋体" w:cs="仿宋_GB2312"/>
                <w:color w:val="auto"/>
                <w:sz w:val="24"/>
                <w:highlight w:val="none"/>
                <w:u w:val="none"/>
                <w:lang w:bidi="ar"/>
              </w:rPr>
              <w:t>执行标准：符合《GA 172-2014金属手铐》）</w:t>
            </w:r>
          </w:p>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2"/>
              </w:numPr>
              <w:spacing w:after="0"/>
              <w:jc w:val="center"/>
              <w:rPr>
                <w:rFonts w:ascii="宋体" w:hAnsi="宋体"/>
                <w:sz w:val="24"/>
              </w:rPr>
            </w:pPr>
          </w:p>
        </w:tc>
        <w:tc>
          <w:tcPr>
            <w:tcW w:w="2786" w:type="dxa"/>
            <w:vAlign w:val="center"/>
          </w:tcPr>
          <w:p>
            <w:pPr>
              <w:widowControl/>
              <w:snapToGrid w:val="0"/>
              <w:spacing w:after="0" w:line="360" w:lineRule="auto"/>
              <w:jc w:val="left"/>
              <w:textAlignment w:val="center"/>
              <w:rPr>
                <w:rFonts w:ascii="宋体" w:hAnsi="宋体" w:cs="仿宋_GB2312"/>
                <w:color w:val="auto"/>
                <w:sz w:val="24"/>
                <w:highlight w:val="none"/>
                <w:u w:val="none"/>
                <w:lang w:bidi="ar"/>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cs="仿宋_GB2312"/>
                <w:color w:val="auto"/>
                <w:sz w:val="24"/>
                <w:highlight w:val="none"/>
                <w:u w:val="none"/>
                <w:lang w:bidi="ar"/>
              </w:rPr>
              <w:t>采用高频振荡电路，</w:t>
            </w:r>
            <w:r>
              <w:rPr>
                <w:rFonts w:hint="eastAsia" w:ascii="宋体" w:hAnsi="宋体" w:cs="宋体"/>
                <w:color w:val="auto"/>
                <w:sz w:val="24"/>
                <w:highlight w:val="none"/>
                <w:u w:val="none"/>
              </w:rPr>
              <w:t>照明</w:t>
            </w:r>
            <w:r>
              <w:rPr>
                <w:rFonts w:hint="eastAsia" w:ascii="宋体" w:hAnsi="宋体" w:cs="仿宋_GB2312"/>
                <w:color w:val="auto"/>
                <w:sz w:val="24"/>
                <w:highlight w:val="none"/>
                <w:u w:val="none"/>
                <w:lang w:bidi="ar"/>
              </w:rPr>
              <w:t>LED灯；高压电击，内置5节高容量电池；</w:t>
            </w:r>
          </w:p>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spacing w:after="0"/>
              <w:jc w:val="center"/>
              <w:rPr>
                <w:rFonts w:hint="default" w:ascii="宋体" w:hAnsi="宋体" w:eastAsia="宋体"/>
                <w:sz w:val="24"/>
                <w:lang w:val="en-US" w:eastAsia="zh-CN"/>
              </w:rPr>
            </w:pPr>
            <w:r>
              <w:rPr>
                <w:rFonts w:ascii="宋体" w:hAnsi="宋体"/>
                <w:sz w:val="24"/>
              </w:rPr>
              <w:t>…</w:t>
            </w: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026" w:type="dxa"/>
            <w:gridSpan w:val="5"/>
            <w:vAlign w:val="center"/>
          </w:tcPr>
          <w:p>
            <w:pPr>
              <w:spacing w:after="0" w:line="400" w:lineRule="exact"/>
              <w:jc w:val="left"/>
              <w:rPr>
                <w:rFonts w:ascii="宋体" w:hAnsi="宋体"/>
                <w:b/>
                <w:sz w:val="24"/>
              </w:rPr>
            </w:pPr>
            <w:r>
              <w:rPr>
                <w:rFonts w:hint="eastAsia" w:ascii="宋体" w:hAnsi="宋体"/>
                <w:b/>
                <w:sz w:val="24"/>
              </w:rPr>
              <w:t>（二）一般技术</w:t>
            </w:r>
            <w:r>
              <w:rPr>
                <w:rFonts w:hint="eastAsia"/>
                <w:b/>
                <w:sz w:val="24"/>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3"/>
              </w:numPr>
              <w:spacing w:after="0"/>
              <w:jc w:val="center"/>
              <w:rPr>
                <w:rFonts w:ascii="宋体" w:hAnsi="宋体"/>
                <w:sz w:val="24"/>
              </w:rPr>
            </w:pP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3"/>
              </w:numPr>
              <w:spacing w:after="0"/>
              <w:jc w:val="center"/>
              <w:rPr>
                <w:rFonts w:ascii="宋体" w:hAnsi="宋体"/>
                <w:sz w:val="24"/>
              </w:rPr>
            </w:pP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spacing w:after="0"/>
              <w:ind w:left="180"/>
              <w:rPr>
                <w:rFonts w:ascii="宋体" w:hAnsi="宋体"/>
                <w:sz w:val="24"/>
              </w:rPr>
            </w:pPr>
            <w:r>
              <w:rPr>
                <w:rFonts w:ascii="宋体" w:hAnsi="宋体"/>
                <w:sz w:val="24"/>
              </w:rPr>
              <w:t>…</w:t>
            </w: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026" w:type="dxa"/>
            <w:gridSpan w:val="5"/>
            <w:vAlign w:val="center"/>
          </w:tcPr>
          <w:p>
            <w:pPr>
              <w:spacing w:after="0" w:line="400" w:lineRule="exact"/>
              <w:jc w:val="left"/>
              <w:rPr>
                <w:rFonts w:ascii="宋体" w:hAnsi="宋体" w:cs="宋体"/>
                <w:sz w:val="24"/>
              </w:rPr>
            </w:pPr>
            <w:r>
              <w:rPr>
                <w:rFonts w:hint="eastAsia" w:ascii="宋体" w:hAnsi="宋体"/>
                <w:b/>
                <w:sz w:val="24"/>
              </w:rPr>
              <w:t>（三）其他条款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94"/>
              </w:numPr>
              <w:spacing w:after="0"/>
              <w:jc w:val="center"/>
              <w:rPr>
                <w:rFonts w:ascii="宋体" w:hAnsi="宋体"/>
                <w:sz w:val="24"/>
              </w:rPr>
            </w:pP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spacing w:after="0"/>
              <w:ind w:left="180"/>
              <w:rPr>
                <w:rFonts w:ascii="宋体" w:hAnsi="宋体"/>
                <w:sz w:val="24"/>
              </w:rPr>
            </w:pPr>
            <w:r>
              <w:rPr>
                <w:rFonts w:ascii="宋体" w:hAnsi="宋体"/>
                <w:sz w:val="24"/>
              </w:rPr>
              <w:t>…</w:t>
            </w:r>
          </w:p>
        </w:tc>
        <w:tc>
          <w:tcPr>
            <w:tcW w:w="2786" w:type="dxa"/>
            <w:vAlign w:val="center"/>
          </w:tcPr>
          <w:p>
            <w:pPr>
              <w:spacing w:after="0" w:line="400" w:lineRule="exact"/>
              <w:jc w:val="center"/>
              <w:rPr>
                <w:rFonts w:ascii="宋体" w:hAnsi="宋体"/>
                <w:sz w:val="24"/>
              </w:rPr>
            </w:pPr>
          </w:p>
        </w:tc>
        <w:tc>
          <w:tcPr>
            <w:tcW w:w="2175" w:type="dxa"/>
            <w:vAlign w:val="center"/>
          </w:tcPr>
          <w:p>
            <w:pPr>
              <w:spacing w:after="0" w:line="400" w:lineRule="exact"/>
              <w:jc w:val="center"/>
              <w:rPr>
                <w:rFonts w:ascii="宋体" w:hAnsi="宋体"/>
                <w:sz w:val="24"/>
              </w:rPr>
            </w:pPr>
          </w:p>
        </w:tc>
        <w:tc>
          <w:tcPr>
            <w:tcW w:w="2029" w:type="dxa"/>
            <w:vAlign w:val="center"/>
          </w:tcPr>
          <w:p>
            <w:pPr>
              <w:spacing w:after="0" w:line="400" w:lineRule="exact"/>
              <w:jc w:val="center"/>
              <w:rPr>
                <w:rFonts w:ascii="宋体" w:hAnsi="宋体"/>
                <w:sz w:val="24"/>
              </w:rPr>
            </w:pPr>
          </w:p>
        </w:tc>
        <w:tc>
          <w:tcPr>
            <w:tcW w:w="1344" w:type="dxa"/>
            <w:vAlign w:val="center"/>
          </w:tcPr>
          <w:p>
            <w:pPr>
              <w:spacing w:after="0" w:line="400" w:lineRule="exact"/>
              <w:jc w:val="center"/>
              <w:rPr>
                <w:rFonts w:ascii="宋体" w:hAnsi="宋体" w:cs="宋体"/>
                <w:sz w:val="24"/>
              </w:rPr>
            </w:pPr>
          </w:p>
        </w:tc>
      </w:tr>
    </w:tbl>
    <w:p>
      <w:pPr>
        <w:spacing w:after="0" w:line="500" w:lineRule="exact"/>
        <w:ind w:firstLine="124" w:firstLineChars="50"/>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ind w:firstLine="124" w:firstLineChars="50"/>
        <w:rPr>
          <w:rFonts w:ascii="Arial" w:hAnsi="Arial" w:eastAsia="黑体"/>
          <w:bCs/>
          <w:sz w:val="32"/>
          <w:szCs w:val="32"/>
        </w:rPr>
      </w:pPr>
      <w:r>
        <w:rPr>
          <w:rFonts w:hint="eastAsia"/>
          <w:spacing w:val="4"/>
          <w:sz w:val="24"/>
        </w:rPr>
        <w:t>日期：</w:t>
      </w:r>
      <w:r>
        <w:rPr>
          <w:b/>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021</w:t>
      </w:r>
      <w:r>
        <w:rPr>
          <w:rFonts w:hint="eastAsia" w:ascii="黑体" w:hAnsi="黑体" w:eastAsia="黑体"/>
          <w:sz w:val="32"/>
          <w:szCs w:val="32"/>
        </w:rPr>
        <w:t>年1月1日至今同类项目情况一览表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022"/>
        <w:gridCol w:w="660"/>
        <w:gridCol w:w="954"/>
        <w:gridCol w:w="1077"/>
        <w:gridCol w:w="953"/>
        <w:gridCol w:w="992"/>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28" w:type="dxa"/>
            <w:vMerge w:val="restart"/>
            <w:tcBorders>
              <w:top w:val="single" w:color="auto" w:sz="12"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854" w:type="dxa"/>
            <w:vMerge w:val="restart"/>
            <w:tcBorders>
              <w:top w:val="single" w:color="auto" w:sz="12"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用户/业主名称</w:t>
            </w:r>
          </w:p>
        </w:tc>
        <w:tc>
          <w:tcPr>
            <w:tcW w:w="966" w:type="dxa"/>
            <w:vMerge w:val="restart"/>
            <w:tcBorders>
              <w:top w:val="single" w:color="auto" w:sz="12"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项目名称</w:t>
            </w:r>
          </w:p>
        </w:tc>
        <w:tc>
          <w:tcPr>
            <w:tcW w:w="1682" w:type="dxa"/>
            <w:gridSpan w:val="2"/>
            <w:tcBorders>
              <w:top w:val="single" w:color="auto" w:sz="12" w:space="0"/>
              <w:bottom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项目内容</w:t>
            </w:r>
          </w:p>
        </w:tc>
        <w:tc>
          <w:tcPr>
            <w:tcW w:w="954" w:type="dxa"/>
            <w:vMerge w:val="restart"/>
            <w:tcBorders>
              <w:top w:val="single" w:color="auto" w:sz="12" w:space="0"/>
              <w:righ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合同总价</w:t>
            </w:r>
          </w:p>
        </w:tc>
        <w:tc>
          <w:tcPr>
            <w:tcW w:w="1077" w:type="dxa"/>
            <w:vMerge w:val="restart"/>
            <w:tcBorders>
              <w:top w:val="single" w:color="auto" w:sz="12" w:space="0"/>
              <w:lef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签订时间</w:t>
            </w:r>
          </w:p>
        </w:tc>
        <w:tc>
          <w:tcPr>
            <w:tcW w:w="953" w:type="dxa"/>
            <w:vMerge w:val="restart"/>
            <w:tcBorders>
              <w:top w:val="single" w:color="auto" w:sz="12" w:space="0"/>
              <w:lef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完成时间</w:t>
            </w:r>
          </w:p>
        </w:tc>
        <w:tc>
          <w:tcPr>
            <w:tcW w:w="992" w:type="dxa"/>
            <w:vMerge w:val="restart"/>
            <w:tcBorders>
              <w:top w:val="single" w:color="auto" w:sz="12" w:space="0"/>
              <w:righ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用户/业主联系人及电话</w:t>
            </w:r>
          </w:p>
        </w:tc>
        <w:tc>
          <w:tcPr>
            <w:tcW w:w="1082" w:type="dxa"/>
            <w:vMerge w:val="restart"/>
            <w:tcBorders>
              <w:top w:val="single" w:color="auto" w:sz="12" w:space="0"/>
              <w:lef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28" w:type="dxa"/>
            <w:vMerge w:val="continue"/>
            <w:tcBorders>
              <w:bottom w:val="double" w:color="auto" w:sz="4"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b/>
                <w:sz w:val="24"/>
              </w:rPr>
            </w:pPr>
          </w:p>
        </w:tc>
        <w:tc>
          <w:tcPr>
            <w:tcW w:w="854" w:type="dxa"/>
            <w:vMerge w:val="continue"/>
            <w:tcBorders>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966" w:type="dxa"/>
            <w:vMerge w:val="continue"/>
            <w:tcBorders>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1022" w:type="dxa"/>
            <w:tcBorders>
              <w:top w:val="single" w:color="auto" w:sz="6" w:space="0"/>
              <w:bottom w:val="double" w:color="auto" w:sz="4" w:space="0"/>
              <w:right w:val="single" w:color="auto" w:sz="6"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产品名称</w:t>
            </w:r>
          </w:p>
        </w:tc>
        <w:tc>
          <w:tcPr>
            <w:tcW w:w="660" w:type="dxa"/>
            <w:tcBorders>
              <w:top w:val="single" w:color="auto" w:sz="6" w:space="0"/>
              <w:left w:val="single" w:color="auto" w:sz="6" w:space="0"/>
              <w:bottom w:val="double" w:color="auto" w:sz="4" w:space="0"/>
            </w:tcBorders>
            <w:shd w:val="clear" w:color="auto" w:fill="EEECE1"/>
            <w:vAlign w:val="center"/>
          </w:tcPr>
          <w:p>
            <w:pPr>
              <w:snapToGrid w:val="0"/>
              <w:spacing w:after="0"/>
              <w:ind w:left="-80" w:leftChars="-40" w:right="-102" w:rightChars="-51"/>
              <w:jc w:val="center"/>
              <w:rPr>
                <w:rFonts w:asciiTheme="majorEastAsia" w:hAnsiTheme="majorEastAsia" w:eastAsiaTheme="majorEastAsia"/>
                <w:sz w:val="24"/>
              </w:rPr>
            </w:pPr>
            <w:r>
              <w:rPr>
                <w:rFonts w:hint="eastAsia" w:asciiTheme="majorEastAsia" w:hAnsiTheme="majorEastAsia" w:eastAsiaTheme="majorEastAsia"/>
                <w:sz w:val="24"/>
              </w:rPr>
              <w:t>型号</w:t>
            </w:r>
          </w:p>
        </w:tc>
        <w:tc>
          <w:tcPr>
            <w:tcW w:w="954" w:type="dxa"/>
            <w:vMerge w:val="continue"/>
            <w:tcBorders>
              <w:bottom w:val="double" w:color="auto" w:sz="4" w:space="0"/>
              <w:right w:val="single" w:color="auto" w:sz="6"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1077" w:type="dxa"/>
            <w:vMerge w:val="continue"/>
            <w:tcBorders>
              <w:left w:val="single" w:color="auto" w:sz="6" w:space="0"/>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953" w:type="dxa"/>
            <w:vMerge w:val="continue"/>
            <w:tcBorders>
              <w:left w:val="single" w:color="auto" w:sz="6" w:space="0"/>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992" w:type="dxa"/>
            <w:vMerge w:val="continue"/>
            <w:tcBorders>
              <w:bottom w:val="double" w:color="auto" w:sz="4" w:space="0"/>
              <w:right w:val="single" w:color="auto" w:sz="6" w:space="0"/>
            </w:tcBorders>
            <w:shd w:val="clear" w:color="auto" w:fill="EEECE1"/>
            <w:vAlign w:val="center"/>
          </w:tcPr>
          <w:p>
            <w:pPr>
              <w:snapToGrid w:val="0"/>
              <w:spacing w:after="0"/>
              <w:jc w:val="center"/>
              <w:rPr>
                <w:rFonts w:asciiTheme="majorEastAsia" w:hAnsiTheme="majorEastAsia" w:eastAsiaTheme="majorEastAsia"/>
                <w:b/>
                <w:sz w:val="24"/>
              </w:rPr>
            </w:pPr>
          </w:p>
        </w:tc>
        <w:tc>
          <w:tcPr>
            <w:tcW w:w="1082" w:type="dxa"/>
            <w:vMerge w:val="continue"/>
            <w:tcBorders>
              <w:left w:val="single" w:color="auto" w:sz="6" w:space="0"/>
              <w:bottom w:val="double" w:color="auto" w:sz="4" w:space="0"/>
            </w:tcBorders>
            <w:shd w:val="clear" w:color="auto" w:fill="EEECE1"/>
            <w:vAlign w:val="center"/>
          </w:tcPr>
          <w:p>
            <w:pPr>
              <w:snapToGrid w:val="0"/>
              <w:spacing w:after="0"/>
              <w:jc w:val="center"/>
              <w:rPr>
                <w:rFonts w:asciiTheme="majorEastAsia" w:hAnsiTheme="majorEastAsia" w:eastAsiaTheme="majorEastAsia"/>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tcBorders>
              <w:top w:val="double" w:color="auto" w:sz="4" w:space="0"/>
            </w:tcBorders>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966"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1022" w:type="dxa"/>
            <w:tcBorders>
              <w:top w:val="doub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top w:val="doub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top w:val="doub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top w:val="double" w:color="auto" w:sz="4" w:space="0"/>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vAlign w:val="center"/>
          </w:tcPr>
          <w:p>
            <w:pPr>
              <w:spacing w:after="0" w:line="400" w:lineRule="exact"/>
              <w:jc w:val="center"/>
              <w:rPr>
                <w:rFonts w:asciiTheme="majorEastAsia" w:hAnsiTheme="majorEastAsia" w:eastAsiaTheme="majorEastAsia"/>
                <w:sz w:val="24"/>
              </w:rPr>
            </w:pPr>
          </w:p>
        </w:tc>
        <w:tc>
          <w:tcPr>
            <w:tcW w:w="966" w:type="dxa"/>
            <w:vAlign w:val="center"/>
          </w:tcPr>
          <w:p>
            <w:pPr>
              <w:spacing w:after="0"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28" w:type="dxa"/>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vAlign w:val="center"/>
          </w:tcPr>
          <w:p>
            <w:pPr>
              <w:spacing w:after="0" w:line="400" w:lineRule="exact"/>
              <w:jc w:val="center"/>
              <w:rPr>
                <w:rFonts w:asciiTheme="majorEastAsia" w:hAnsiTheme="majorEastAsia" w:eastAsiaTheme="majorEastAsia"/>
                <w:sz w:val="24"/>
              </w:rPr>
            </w:pPr>
          </w:p>
        </w:tc>
        <w:tc>
          <w:tcPr>
            <w:tcW w:w="966" w:type="dxa"/>
            <w:vAlign w:val="center"/>
          </w:tcPr>
          <w:p>
            <w:pPr>
              <w:spacing w:after="0"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8" w:type="dxa"/>
            <w:vAlign w:val="center"/>
          </w:tcPr>
          <w:p>
            <w:pPr>
              <w:pStyle w:val="85"/>
              <w:numPr>
                <w:ilvl w:val="0"/>
                <w:numId w:val="95"/>
              </w:numPr>
              <w:spacing w:after="0" w:line="400" w:lineRule="exact"/>
              <w:ind w:firstLineChars="0"/>
              <w:jc w:val="center"/>
              <w:rPr>
                <w:rFonts w:asciiTheme="majorEastAsia" w:hAnsiTheme="majorEastAsia" w:eastAsiaTheme="majorEastAsia"/>
                <w:sz w:val="24"/>
              </w:rPr>
            </w:pPr>
          </w:p>
        </w:tc>
        <w:tc>
          <w:tcPr>
            <w:tcW w:w="854" w:type="dxa"/>
            <w:vAlign w:val="center"/>
          </w:tcPr>
          <w:p>
            <w:pPr>
              <w:spacing w:after="0" w:line="400" w:lineRule="exact"/>
              <w:jc w:val="center"/>
              <w:rPr>
                <w:rFonts w:asciiTheme="majorEastAsia" w:hAnsiTheme="majorEastAsia" w:eastAsiaTheme="majorEastAsia"/>
                <w:sz w:val="24"/>
              </w:rPr>
            </w:pPr>
          </w:p>
        </w:tc>
        <w:tc>
          <w:tcPr>
            <w:tcW w:w="966" w:type="dxa"/>
            <w:vAlign w:val="center"/>
          </w:tcPr>
          <w:p>
            <w:pPr>
              <w:spacing w:after="0"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after="0"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88" w:type="dxa"/>
            <w:gridSpan w:val="10"/>
            <w:vAlign w:val="center"/>
          </w:tcPr>
          <w:p>
            <w:pPr>
              <w:spacing w:after="0" w:line="400" w:lineRule="exac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合计：</w:t>
            </w:r>
            <w:r>
              <w:rPr>
                <w:rFonts w:hint="eastAsia" w:cs="宋体" w:asciiTheme="majorEastAsia" w:hAnsiTheme="majorEastAsia" w:eastAsiaTheme="majorEastAsia"/>
                <w:b/>
                <w:sz w:val="24"/>
                <w:u w:val="single"/>
              </w:rPr>
              <w:t xml:space="preserve">     </w:t>
            </w:r>
            <w:r>
              <w:rPr>
                <w:rFonts w:hint="eastAsia" w:cs="宋体" w:asciiTheme="majorEastAsia" w:hAnsiTheme="majorEastAsia" w:eastAsiaTheme="majorEastAsia"/>
                <w:b/>
                <w:sz w:val="24"/>
              </w:rPr>
              <w:t>个业绩</w:t>
            </w:r>
          </w:p>
        </w:tc>
      </w:tr>
    </w:tbl>
    <w:p>
      <w:pPr>
        <w:spacing w:after="0" w:line="440" w:lineRule="exact"/>
        <w:rPr>
          <w:rFonts w:ascii="宋体" w:hAnsi="宋体"/>
          <w:sz w:val="24"/>
        </w:rPr>
      </w:pPr>
      <w:r>
        <w:rPr>
          <w:rFonts w:hint="eastAsia"/>
          <w:bCs/>
          <w:sz w:val="24"/>
        </w:rPr>
        <w:t>备注：</w:t>
      </w:r>
      <w:r>
        <w:rPr>
          <w:rFonts w:hint="eastAsia" w:ascii="宋体" w:hAnsi="宋体"/>
          <w:sz w:val="24"/>
        </w:rPr>
        <w:t>根据评分表的要求提交相应资料。</w:t>
      </w:r>
    </w:p>
    <w:p>
      <w:pPr>
        <w:spacing w:after="0" w:line="500" w:lineRule="exact"/>
        <w:ind w:firstLine="124" w:firstLineChars="50"/>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ind w:firstLine="124" w:firstLineChars="50"/>
        <w:rPr>
          <w:spacing w:val="4"/>
          <w:sz w:val="24"/>
          <w:u w:val="single"/>
        </w:rPr>
      </w:pPr>
      <w:r>
        <w:rPr>
          <w:rFonts w:hint="eastAsia"/>
          <w:spacing w:val="4"/>
          <w:sz w:val="24"/>
        </w:rPr>
        <w:t>日期：</w:t>
      </w:r>
    </w:p>
    <w:p>
      <w:pPr>
        <w:autoSpaceDE/>
        <w:autoSpaceDN/>
        <w:spacing w:after="0" w:line="240" w:lineRule="auto"/>
        <w:ind w:left="0" w:leftChars="0" w:firstLine="0"/>
        <w:jc w:val="left"/>
        <w:outlineLvl w:val="9"/>
      </w:pPr>
      <w: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项目经理及管理技术人员一览表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72"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序号</w:t>
            </w:r>
          </w:p>
        </w:tc>
        <w:tc>
          <w:tcPr>
            <w:tcW w:w="1034"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姓名</w:t>
            </w:r>
          </w:p>
        </w:tc>
        <w:tc>
          <w:tcPr>
            <w:tcW w:w="662"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性别</w:t>
            </w:r>
          </w:p>
        </w:tc>
        <w:tc>
          <w:tcPr>
            <w:tcW w:w="658"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年龄</w:t>
            </w:r>
          </w:p>
        </w:tc>
        <w:tc>
          <w:tcPr>
            <w:tcW w:w="822"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学历</w:t>
            </w:r>
          </w:p>
        </w:tc>
        <w:tc>
          <w:tcPr>
            <w:tcW w:w="1051"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职称</w:t>
            </w:r>
          </w:p>
        </w:tc>
        <w:tc>
          <w:tcPr>
            <w:tcW w:w="731"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专业</w:t>
            </w:r>
          </w:p>
        </w:tc>
        <w:tc>
          <w:tcPr>
            <w:tcW w:w="579" w:type="dxa"/>
            <w:tcBorders>
              <w:top w:val="single" w:color="auto" w:sz="12"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经验年限</w:t>
            </w:r>
          </w:p>
        </w:tc>
        <w:tc>
          <w:tcPr>
            <w:tcW w:w="924" w:type="dxa"/>
            <w:tcBorders>
              <w:top w:val="single" w:color="auto" w:sz="12" w:space="0"/>
              <w:bottom w:val="double" w:color="auto" w:sz="4" w:space="0"/>
              <w:right w:val="sing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担任职务</w:t>
            </w:r>
          </w:p>
        </w:tc>
        <w:tc>
          <w:tcPr>
            <w:tcW w:w="709" w:type="dxa"/>
            <w:tcBorders>
              <w:top w:val="single" w:color="auto" w:sz="12" w:space="0"/>
              <w:left w:val="single" w:color="auto" w:sz="4" w:space="0"/>
              <w:bottom w:val="double" w:color="auto" w:sz="4" w:space="0"/>
              <w:right w:val="single" w:color="auto" w:sz="6"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承担工作内容</w:t>
            </w:r>
          </w:p>
        </w:tc>
        <w:tc>
          <w:tcPr>
            <w:tcW w:w="1283" w:type="dxa"/>
            <w:tcBorders>
              <w:top w:val="single" w:color="auto" w:sz="12" w:space="0"/>
              <w:left w:val="single" w:color="auto" w:sz="6" w:space="0"/>
              <w:bottom w:val="double" w:color="auto" w:sz="4" w:space="0"/>
            </w:tcBorders>
            <w:shd w:val="clear" w:color="auto" w:fill="EEECE1"/>
            <w:vAlign w:val="center"/>
          </w:tcPr>
          <w:p>
            <w:pPr>
              <w:snapToGrid w:val="0"/>
              <w:spacing w:after="0"/>
              <w:ind w:left="-88" w:leftChars="-44" w:right="-76" w:rightChars="-38"/>
              <w:jc w:val="center"/>
              <w:rPr>
                <w:rFonts w:asciiTheme="majorEastAsia" w:hAnsiTheme="majorEastAsia" w:eastAsiaTheme="majorEastAsia"/>
                <w:b/>
                <w:sz w:val="24"/>
              </w:rPr>
            </w:pPr>
            <w:r>
              <w:rPr>
                <w:rFonts w:hint="eastAsia" w:asciiTheme="majorEastAsia" w:hAnsiTheme="majorEastAsia" w:eastAsiaTheme="majorEastAsia"/>
                <w:b/>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tcBorders>
              <w:top w:val="double" w:color="auto" w:sz="4" w:space="0"/>
            </w:tcBorders>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662"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658"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822"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1051"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731"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579" w:type="dxa"/>
            <w:tcBorders>
              <w:top w:val="double" w:color="auto" w:sz="4" w:space="0"/>
            </w:tcBorders>
            <w:vAlign w:val="center"/>
          </w:tcPr>
          <w:p>
            <w:pPr>
              <w:spacing w:after="0" w:line="400" w:lineRule="exact"/>
              <w:jc w:val="center"/>
              <w:rPr>
                <w:rFonts w:asciiTheme="majorEastAsia" w:hAnsiTheme="majorEastAsia" w:eastAsiaTheme="majorEastAsia"/>
                <w:sz w:val="24"/>
              </w:rPr>
            </w:pPr>
          </w:p>
        </w:tc>
        <w:tc>
          <w:tcPr>
            <w:tcW w:w="924" w:type="dxa"/>
            <w:tcBorders>
              <w:top w:val="double" w:color="auto" w:sz="4" w:space="0"/>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top w:val="double" w:color="auto" w:sz="4" w:space="0"/>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top w:val="double" w:color="auto" w:sz="4" w:space="0"/>
              <w:left w:val="single" w:color="auto" w:sz="6" w:space="0"/>
            </w:tcBorders>
            <w:vAlign w:val="center"/>
          </w:tcPr>
          <w:p>
            <w:pPr>
              <w:snapToGrid w:val="0"/>
              <w:spacing w:after="0"/>
              <w:jc w:val="center"/>
              <w:rPr>
                <w:rFonts w:asciiTheme="majorEastAsia" w:hAnsiTheme="majorEastAsia" w:eastAsiaTheme="majorEastAsia"/>
                <w:b/>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85"/>
              <w:numPr>
                <w:ilvl w:val="0"/>
                <w:numId w:val="96"/>
              </w:numPr>
              <w:spacing w:after="0" w:line="400" w:lineRule="exact"/>
              <w:ind w:firstLineChars="0"/>
              <w:jc w:val="center"/>
              <w:rPr>
                <w:rFonts w:asciiTheme="majorEastAsia" w:hAnsiTheme="majorEastAsia" w:eastAsiaTheme="majorEastAsia"/>
                <w:sz w:val="24"/>
              </w:rPr>
            </w:pPr>
          </w:p>
        </w:tc>
        <w:tc>
          <w:tcPr>
            <w:tcW w:w="1034" w:type="dxa"/>
            <w:vAlign w:val="center"/>
          </w:tcPr>
          <w:p>
            <w:pPr>
              <w:spacing w:after="0" w:line="400" w:lineRule="exact"/>
              <w:jc w:val="center"/>
              <w:rPr>
                <w:rFonts w:asciiTheme="majorEastAsia" w:hAnsiTheme="majorEastAsia" w:eastAsiaTheme="majorEastAsia"/>
                <w:sz w:val="24"/>
              </w:rPr>
            </w:pPr>
          </w:p>
        </w:tc>
        <w:tc>
          <w:tcPr>
            <w:tcW w:w="662" w:type="dxa"/>
            <w:vAlign w:val="center"/>
          </w:tcPr>
          <w:p>
            <w:pPr>
              <w:spacing w:after="0" w:line="400" w:lineRule="exact"/>
              <w:jc w:val="center"/>
              <w:rPr>
                <w:rFonts w:asciiTheme="majorEastAsia" w:hAnsiTheme="majorEastAsia" w:eastAsiaTheme="majorEastAsia"/>
                <w:sz w:val="24"/>
              </w:rPr>
            </w:pPr>
          </w:p>
        </w:tc>
        <w:tc>
          <w:tcPr>
            <w:tcW w:w="658" w:type="dxa"/>
            <w:vAlign w:val="center"/>
          </w:tcPr>
          <w:p>
            <w:pPr>
              <w:spacing w:after="0" w:line="400" w:lineRule="exact"/>
              <w:jc w:val="center"/>
              <w:rPr>
                <w:rFonts w:asciiTheme="majorEastAsia" w:hAnsiTheme="majorEastAsia" w:eastAsiaTheme="majorEastAsia"/>
                <w:sz w:val="24"/>
              </w:rPr>
            </w:pPr>
          </w:p>
        </w:tc>
        <w:tc>
          <w:tcPr>
            <w:tcW w:w="822" w:type="dxa"/>
            <w:vAlign w:val="center"/>
          </w:tcPr>
          <w:p>
            <w:pPr>
              <w:spacing w:after="0" w:line="400" w:lineRule="exact"/>
              <w:jc w:val="center"/>
              <w:rPr>
                <w:rFonts w:asciiTheme="majorEastAsia" w:hAnsiTheme="majorEastAsia" w:eastAsiaTheme="majorEastAsia"/>
                <w:sz w:val="24"/>
              </w:rPr>
            </w:pPr>
          </w:p>
        </w:tc>
        <w:tc>
          <w:tcPr>
            <w:tcW w:w="1051" w:type="dxa"/>
            <w:vAlign w:val="center"/>
          </w:tcPr>
          <w:p>
            <w:pPr>
              <w:spacing w:after="0" w:line="400" w:lineRule="exact"/>
              <w:jc w:val="center"/>
              <w:rPr>
                <w:rFonts w:asciiTheme="majorEastAsia" w:hAnsiTheme="majorEastAsia" w:eastAsiaTheme="majorEastAsia"/>
                <w:sz w:val="24"/>
              </w:rPr>
            </w:pPr>
          </w:p>
        </w:tc>
        <w:tc>
          <w:tcPr>
            <w:tcW w:w="731" w:type="dxa"/>
            <w:vAlign w:val="center"/>
          </w:tcPr>
          <w:p>
            <w:pPr>
              <w:spacing w:after="0" w:line="400" w:lineRule="exact"/>
              <w:jc w:val="center"/>
              <w:rPr>
                <w:rFonts w:asciiTheme="majorEastAsia" w:hAnsiTheme="majorEastAsia" w:eastAsiaTheme="majorEastAsia"/>
                <w:sz w:val="24"/>
              </w:rPr>
            </w:pPr>
          </w:p>
        </w:tc>
        <w:tc>
          <w:tcPr>
            <w:tcW w:w="579" w:type="dxa"/>
            <w:vAlign w:val="center"/>
          </w:tcPr>
          <w:p>
            <w:pPr>
              <w:spacing w:after="0"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after="0"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after="0"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after="0"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bl>
    <w:p>
      <w:pPr>
        <w:spacing w:after="0" w:line="500" w:lineRule="exact"/>
        <w:rPr>
          <w:spacing w:val="4"/>
          <w:sz w:val="24"/>
          <w:u w:val="single"/>
        </w:rPr>
      </w:pPr>
      <w:r>
        <w:rPr>
          <w:rFonts w:hint="eastAsia"/>
          <w:spacing w:val="4"/>
          <w:sz w:val="24"/>
        </w:rPr>
        <w:t>投标人名称（</w:t>
      </w:r>
      <w:r>
        <w:rPr>
          <w:rFonts w:hint="eastAsia" w:ascii="宋体" w:hAnsi="宋体"/>
          <w:sz w:val="24"/>
        </w:rPr>
        <w:t>单位盖</w:t>
      </w:r>
      <w:r>
        <w:rPr>
          <w:rFonts w:hint="eastAsia"/>
          <w:spacing w:val="4"/>
          <w:sz w:val="24"/>
        </w:rPr>
        <w:t>公章）：                 日期：</w:t>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投标人证书一览表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3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946"/>
        <w:gridCol w:w="1948"/>
        <w:gridCol w:w="1764"/>
        <w:gridCol w:w="1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1608"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证书名称</w:t>
            </w:r>
          </w:p>
        </w:tc>
        <w:tc>
          <w:tcPr>
            <w:tcW w:w="1946"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发证单位</w:t>
            </w:r>
          </w:p>
        </w:tc>
        <w:tc>
          <w:tcPr>
            <w:tcW w:w="1948"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证书等级</w:t>
            </w:r>
          </w:p>
        </w:tc>
        <w:tc>
          <w:tcPr>
            <w:tcW w:w="1764"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宋体" w:hAnsi="宋体" w:cs="Arial"/>
                <w:b/>
                <w:bCs/>
                <w:sz w:val="24"/>
                <w:szCs w:val="24"/>
              </w:rPr>
              <w:t>证书有效期</w:t>
            </w:r>
          </w:p>
        </w:tc>
        <w:tc>
          <w:tcPr>
            <w:tcW w:w="1764" w:type="dxa"/>
            <w:shd w:val="clear" w:color="auto" w:fill="EEECE1" w:themeFill="background2"/>
          </w:tcPr>
          <w:p>
            <w:pPr>
              <w:pStyle w:val="131"/>
              <w:spacing w:after="0" w:line="360" w:lineRule="auto"/>
              <w:jc w:val="center"/>
              <w:rPr>
                <w:rFonts w:ascii="宋体" w:hAnsi="宋体" w:cs="Arial"/>
                <w:b/>
                <w:bCs/>
                <w:sz w:val="24"/>
                <w:szCs w:val="24"/>
              </w:rPr>
            </w:pPr>
            <w:r>
              <w:rPr>
                <w:rFonts w:hint="eastAsia" w:asciiTheme="majorEastAsia" w:hAnsiTheme="majorEastAsia" w:eastAsiaTheme="majorEastAsia"/>
                <w:b/>
                <w:sz w:val="24"/>
              </w:rPr>
              <w:t>查阅/指引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8" w:type="dxa"/>
          </w:tcPr>
          <w:p>
            <w:pPr>
              <w:pStyle w:val="131"/>
              <w:spacing w:after="0" w:line="360" w:lineRule="auto"/>
              <w:jc w:val="center"/>
              <w:rPr>
                <w:rFonts w:ascii="宋体" w:hAnsi="宋体" w:cs="Arial"/>
                <w:sz w:val="24"/>
                <w:szCs w:val="24"/>
              </w:rPr>
            </w:pPr>
          </w:p>
        </w:tc>
        <w:tc>
          <w:tcPr>
            <w:tcW w:w="1946" w:type="dxa"/>
          </w:tcPr>
          <w:p>
            <w:pPr>
              <w:pStyle w:val="131"/>
              <w:spacing w:after="0" w:line="360" w:lineRule="auto"/>
              <w:jc w:val="center"/>
              <w:rPr>
                <w:rFonts w:ascii="宋体" w:hAnsi="宋体" w:cs="Arial"/>
                <w:sz w:val="24"/>
                <w:szCs w:val="24"/>
              </w:rPr>
            </w:pPr>
          </w:p>
        </w:tc>
        <w:tc>
          <w:tcPr>
            <w:tcW w:w="1948"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p>
        </w:tc>
        <w:tc>
          <w:tcPr>
            <w:tcW w:w="1764" w:type="dxa"/>
          </w:tcPr>
          <w:p>
            <w:pPr>
              <w:pStyle w:val="131"/>
              <w:spacing w:after="0"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bl>
    <w:p>
      <w:pPr>
        <w:pStyle w:val="85"/>
        <w:widowControl/>
        <w:numPr>
          <w:ilvl w:val="0"/>
          <w:numId w:val="97"/>
        </w:numPr>
        <w:tabs>
          <w:tab w:val="left" w:pos="0"/>
        </w:tabs>
        <w:spacing w:after="0" w:line="360" w:lineRule="auto"/>
        <w:ind w:left="0" w:firstLine="0" w:firstLineChars="0"/>
        <w:rPr>
          <w:rFonts w:ascii="宋体" w:hAnsi="宋体"/>
          <w:sz w:val="24"/>
        </w:rPr>
      </w:pPr>
      <w:r>
        <w:rPr>
          <w:rFonts w:hint="eastAsia" w:ascii="宋体" w:hAnsi="宋体"/>
          <w:sz w:val="24"/>
        </w:rPr>
        <w:t>请根据评分表中要求填写投标人获得资质、认证或企业信誉证书。</w:t>
      </w:r>
    </w:p>
    <w:p>
      <w:pPr>
        <w:pStyle w:val="85"/>
        <w:widowControl/>
        <w:numPr>
          <w:ilvl w:val="0"/>
          <w:numId w:val="97"/>
        </w:numPr>
        <w:tabs>
          <w:tab w:val="left" w:pos="1050"/>
        </w:tabs>
        <w:spacing w:after="0" w:line="360" w:lineRule="auto"/>
        <w:ind w:firstLineChars="0"/>
        <w:rPr>
          <w:rFonts w:ascii="宋体" w:hAnsi="宋体"/>
          <w:sz w:val="24"/>
        </w:rPr>
      </w:pPr>
      <w:r>
        <w:rPr>
          <w:rFonts w:hint="eastAsia" w:ascii="宋体" w:hAnsi="宋体"/>
          <w:sz w:val="24"/>
        </w:rPr>
        <w:t>请提供本表所列的证书资料。</w:t>
      </w:r>
    </w:p>
    <w:p>
      <w:pPr>
        <w:spacing w:after="0"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rPr>
          <w:spacing w:val="4"/>
          <w:sz w:val="24"/>
          <w:u w:val="single"/>
        </w:rPr>
      </w:pPr>
      <w:r>
        <w:rPr>
          <w:rFonts w:hint="eastAsia"/>
          <w:spacing w:val="4"/>
          <w:sz w:val="24"/>
        </w:rPr>
        <w:t>日期：</w:t>
      </w:r>
    </w:p>
    <w:p>
      <w:pPr>
        <w:spacing w:after="0"/>
      </w:pPr>
    </w:p>
    <w:p>
      <w:pPr>
        <w:autoSpaceDE/>
        <w:autoSpaceDN/>
        <w:spacing w:after="0" w:line="240" w:lineRule="auto"/>
        <w:ind w:left="0" w:leftChars="0" w:firstLine="0"/>
        <w:jc w:val="left"/>
        <w:outlineLvl w:val="9"/>
      </w:pPr>
      <w: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合同条款响应一览表</w:t>
      </w:r>
    </w:p>
    <w:p>
      <w:pPr>
        <w:snapToGrid w:val="0"/>
        <w:spacing w:after="0" w:line="360" w:lineRule="auto"/>
        <w:ind w:left="1080" w:hanging="1080" w:hangingChars="450"/>
        <w:rPr>
          <w:rFonts w:ascii="宋体" w:hAnsi="宋体"/>
          <w:sz w:val="24"/>
        </w:rPr>
      </w:pPr>
      <w:r>
        <w:rPr>
          <w:rFonts w:hint="eastAsia" w:ascii="宋体" w:hAnsi="宋体"/>
          <w:sz w:val="24"/>
        </w:rPr>
        <w:t>说明：投标人应对招标文件的</w:t>
      </w:r>
      <w:r>
        <w:rPr>
          <w:rFonts w:hint="eastAsia"/>
          <w:sz w:val="24"/>
        </w:rPr>
        <w:t>合同</w:t>
      </w:r>
      <w:r>
        <w:rPr>
          <w:rFonts w:hint="eastAsia" w:ascii="宋体" w:hAnsi="宋体"/>
          <w:sz w:val="24"/>
        </w:rPr>
        <w:t>条款逐条应答并按要求填写下表。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3"/>
        <w:gridCol w:w="3422"/>
        <w:gridCol w:w="3191"/>
        <w:gridCol w:w="18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583" w:type="dxa"/>
            <w:shd w:val="clear" w:color="auto" w:fill="EEECE1"/>
            <w:vAlign w:val="center"/>
          </w:tcPr>
          <w:p>
            <w:pPr>
              <w:spacing w:after="0" w:line="400" w:lineRule="exact"/>
              <w:ind w:left="-54" w:leftChars="-27" w:right="-64" w:rightChars="-32"/>
              <w:jc w:val="center"/>
              <w:rPr>
                <w:rFonts w:ascii="宋体" w:hAnsi="宋体"/>
                <w:sz w:val="24"/>
              </w:rPr>
            </w:pPr>
            <w:r>
              <w:rPr>
                <w:rFonts w:hint="eastAsia" w:ascii="宋体" w:hAnsi="宋体"/>
                <w:sz w:val="24"/>
              </w:rPr>
              <w:t>序号</w:t>
            </w:r>
          </w:p>
        </w:tc>
        <w:tc>
          <w:tcPr>
            <w:tcW w:w="3422" w:type="dxa"/>
            <w:shd w:val="clear" w:color="auto" w:fill="EEECE1"/>
            <w:vAlign w:val="center"/>
          </w:tcPr>
          <w:p>
            <w:pPr>
              <w:spacing w:after="0"/>
              <w:jc w:val="center"/>
              <w:rPr>
                <w:rFonts w:ascii="宋体" w:hAnsi="宋体"/>
                <w:sz w:val="24"/>
              </w:rPr>
            </w:pPr>
            <w:r>
              <w:rPr>
                <w:rFonts w:hint="eastAsia" w:ascii="宋体" w:hAnsi="宋体"/>
                <w:sz w:val="24"/>
              </w:rPr>
              <w:t>招标文件中合同条款描述</w:t>
            </w:r>
          </w:p>
        </w:tc>
        <w:tc>
          <w:tcPr>
            <w:tcW w:w="3191" w:type="dxa"/>
            <w:shd w:val="clear" w:color="auto" w:fill="EEECE1"/>
            <w:vAlign w:val="center"/>
          </w:tcPr>
          <w:p>
            <w:pPr>
              <w:spacing w:after="0"/>
              <w:jc w:val="center"/>
              <w:rPr>
                <w:rFonts w:ascii="宋体" w:hAnsi="宋体"/>
                <w:sz w:val="24"/>
              </w:rPr>
            </w:pPr>
            <w:r>
              <w:rPr>
                <w:rFonts w:hint="eastAsia" w:ascii="宋体" w:hAnsi="宋体"/>
                <w:sz w:val="24"/>
              </w:rPr>
              <w:t>投标人响应描述</w:t>
            </w:r>
          </w:p>
        </w:tc>
        <w:tc>
          <w:tcPr>
            <w:tcW w:w="1891" w:type="dxa"/>
            <w:shd w:val="clear" w:color="auto" w:fill="EEECE1"/>
            <w:vAlign w:val="center"/>
          </w:tcPr>
          <w:p>
            <w:pPr>
              <w:spacing w:after="0"/>
              <w:jc w:val="center"/>
              <w:rPr>
                <w:rFonts w:ascii="宋体" w:hAnsi="宋体"/>
                <w:sz w:val="24"/>
              </w:rPr>
            </w:pPr>
            <w:r>
              <w:rPr>
                <w:rFonts w:hint="eastAsia" w:ascii="宋体" w:hAnsi="宋体"/>
                <w:sz w:val="24"/>
              </w:rPr>
              <w:t>偏离情况说明</w:t>
            </w:r>
          </w:p>
          <w:p>
            <w:pPr>
              <w:spacing w:after="0"/>
              <w:jc w:val="center"/>
              <w:rPr>
                <w:rFonts w:ascii="宋体" w:hAnsi="宋体"/>
                <w:sz w:val="24"/>
              </w:rPr>
            </w:pPr>
            <w:r>
              <w:rPr>
                <w:rFonts w:hint="eastAsia" w:ascii="宋体" w:hAnsi="宋体"/>
                <w:sz w:val="24"/>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pStyle w:val="20"/>
              <w:tabs>
                <w:tab w:val="left" w:pos="2340"/>
              </w:tabs>
              <w:spacing w:after="0"/>
              <w:rPr>
                <w:rFonts w:hAnsi="宋体"/>
                <w:sz w:val="24"/>
                <w:szCs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98"/>
              </w:numPr>
              <w:spacing w:after="0" w:line="400" w:lineRule="exact"/>
              <w:jc w:val="center"/>
              <w:rPr>
                <w:rFonts w:ascii="宋体" w:hAnsi="宋体"/>
                <w:sz w:val="24"/>
              </w:rPr>
            </w:pPr>
          </w:p>
        </w:tc>
        <w:tc>
          <w:tcPr>
            <w:tcW w:w="3422" w:type="dxa"/>
            <w:vAlign w:val="center"/>
          </w:tcPr>
          <w:p>
            <w:pPr>
              <w:spacing w:after="0"/>
              <w:rPr>
                <w:rFonts w:ascii="宋体" w:hAnsi="宋体"/>
                <w:snapToGrid w:val="0"/>
                <w:sz w:val="24"/>
              </w:rPr>
            </w:pPr>
          </w:p>
        </w:tc>
        <w:tc>
          <w:tcPr>
            <w:tcW w:w="3191" w:type="dxa"/>
            <w:vAlign w:val="center"/>
          </w:tcPr>
          <w:p>
            <w:pPr>
              <w:spacing w:after="0" w:line="400" w:lineRule="exact"/>
              <w:jc w:val="center"/>
              <w:rPr>
                <w:rFonts w:ascii="宋体" w:hAnsi="宋体"/>
                <w:sz w:val="24"/>
              </w:rPr>
            </w:pPr>
          </w:p>
        </w:tc>
        <w:tc>
          <w:tcPr>
            <w:tcW w:w="1891" w:type="dxa"/>
            <w:vAlign w:val="center"/>
          </w:tcPr>
          <w:p>
            <w:pPr>
              <w:spacing w:after="0" w:line="400" w:lineRule="exact"/>
              <w:jc w:val="center"/>
              <w:rPr>
                <w:rFonts w:ascii="宋体" w:hAnsi="宋体"/>
                <w:sz w:val="24"/>
              </w:rPr>
            </w:pPr>
          </w:p>
        </w:tc>
      </w:tr>
    </w:tbl>
    <w:p>
      <w:pPr>
        <w:spacing w:after="0" w:line="500" w:lineRule="exact"/>
        <w:rPr>
          <w:spacing w:val="4"/>
          <w:sz w:val="24"/>
        </w:rPr>
      </w:pPr>
    </w:p>
    <w:p>
      <w:pPr>
        <w:spacing w:after="0" w:line="500" w:lineRule="exact"/>
        <w:ind w:firstLine="124" w:firstLineChars="50"/>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ind w:firstLine="124" w:firstLineChars="50"/>
        <w:rPr>
          <w:spacing w:val="4"/>
          <w:sz w:val="24"/>
        </w:rPr>
      </w:pPr>
      <w:r>
        <w:rPr>
          <w:rFonts w:hint="eastAsia"/>
          <w:spacing w:val="4"/>
          <w:sz w:val="24"/>
        </w:rPr>
        <w:t>日期：</w:t>
      </w:r>
    </w:p>
    <w:p>
      <w:pPr>
        <w:widowControl/>
        <w:spacing w:after="0"/>
        <w:jc w:val="left"/>
        <w:rPr>
          <w:spacing w:val="4"/>
          <w:sz w:val="24"/>
        </w:rPr>
      </w:pPr>
      <w:r>
        <w:rPr>
          <w:spacing w:val="4"/>
          <w:sz w:val="24"/>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售后服务情况表</w:t>
      </w:r>
    </w:p>
    <w:p>
      <w:pPr>
        <w:widowControl/>
        <w:snapToGrid w:val="0"/>
        <w:spacing w:after="0" w:line="360" w:lineRule="auto"/>
        <w:jc w:val="left"/>
        <w:rPr>
          <w:rFonts w:ascii="宋体" w:hAnsi="宋体"/>
          <w:sz w:val="24"/>
        </w:rPr>
      </w:pPr>
      <w:r>
        <w:rPr>
          <w:rFonts w:hint="eastAsia" w:ascii="宋体" w:hAnsi="宋体"/>
          <w:sz w:val="24"/>
        </w:rPr>
        <w:t>项目名称：广东省英德监狱购买单警装备项目</w:t>
      </w:r>
    </w:p>
    <w:tbl>
      <w:tblPr>
        <w:tblStyle w:val="38"/>
        <w:tblW w:w="90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2"/>
        <w:gridCol w:w="2494"/>
        <w:gridCol w:w="4300"/>
        <w:gridCol w:w="1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82"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序号</w:t>
            </w:r>
          </w:p>
        </w:tc>
        <w:tc>
          <w:tcPr>
            <w:tcW w:w="2494"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项目</w:t>
            </w:r>
          </w:p>
        </w:tc>
        <w:tc>
          <w:tcPr>
            <w:tcW w:w="4300"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投标人承诺</w:t>
            </w:r>
          </w:p>
        </w:tc>
        <w:tc>
          <w:tcPr>
            <w:tcW w:w="1454" w:type="dxa"/>
            <w:shd w:val="clear" w:color="auto" w:fill="EEECE1" w:themeFill="background2"/>
            <w:vAlign w:val="center"/>
          </w:tcPr>
          <w:p>
            <w:pPr>
              <w:pStyle w:val="133"/>
              <w:spacing w:after="0" w:line="360" w:lineRule="auto"/>
              <w:jc w:val="center"/>
              <w:rPr>
                <w:rFonts w:ascii="宋体" w:hAnsi="宋体" w:cs="Arial"/>
                <w:b/>
                <w:sz w:val="24"/>
              </w:rPr>
            </w:pPr>
            <w:r>
              <w:rPr>
                <w:rFonts w:hint="eastAsia" w:ascii="宋体" w:hAnsi="宋体" w:cs="Arial"/>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82" w:type="dxa"/>
            <w:vMerge w:val="restart"/>
            <w:vAlign w:val="center"/>
          </w:tcPr>
          <w:p>
            <w:pPr>
              <w:pStyle w:val="133"/>
              <w:spacing w:after="0" w:line="360" w:lineRule="auto"/>
              <w:jc w:val="center"/>
              <w:rPr>
                <w:rFonts w:ascii="宋体" w:hAnsi="宋体" w:cs="Arial"/>
                <w:bCs/>
                <w:sz w:val="24"/>
              </w:rPr>
            </w:pPr>
            <w:r>
              <w:rPr>
                <w:rFonts w:hint="eastAsia" w:ascii="宋体" w:hAnsi="宋体" w:cs="Arial"/>
                <w:bCs/>
                <w:sz w:val="24"/>
              </w:rPr>
              <w:t>1</w:t>
            </w:r>
          </w:p>
        </w:tc>
        <w:tc>
          <w:tcPr>
            <w:tcW w:w="2494" w:type="dxa"/>
            <w:vMerge w:val="restart"/>
            <w:vAlign w:val="center"/>
          </w:tcPr>
          <w:p>
            <w:pPr>
              <w:pStyle w:val="133"/>
              <w:spacing w:after="0" w:line="360" w:lineRule="auto"/>
              <w:rPr>
                <w:rFonts w:ascii="宋体" w:hAnsi="宋体" w:cs="Arial"/>
                <w:bCs/>
                <w:sz w:val="24"/>
              </w:rPr>
            </w:pPr>
            <w:r>
              <w:rPr>
                <w:rFonts w:hint="eastAsia" w:ascii="宋体" w:hAnsi="宋体" w:cs="Arial"/>
                <w:bCs/>
                <w:sz w:val="24"/>
              </w:rPr>
              <w:t>保修期内售后服务情况(可用附页和宣传材料)</w:t>
            </w:r>
          </w:p>
        </w:tc>
        <w:tc>
          <w:tcPr>
            <w:tcW w:w="4300" w:type="dxa"/>
          </w:tcPr>
          <w:p>
            <w:pPr>
              <w:pStyle w:val="133"/>
              <w:spacing w:after="0" w:line="360" w:lineRule="auto"/>
              <w:rPr>
                <w:rFonts w:ascii="宋体" w:hAnsi="宋体" w:cs="Arial"/>
                <w:bCs/>
                <w:sz w:val="24"/>
              </w:rPr>
            </w:pPr>
            <w:r>
              <w:rPr>
                <w:rFonts w:hint="eastAsia" w:ascii="宋体" w:hAnsi="宋体" w:cs="Arial"/>
                <w:bCs/>
                <w:sz w:val="24"/>
              </w:rPr>
              <w:t>生产厂商售后服务情况：</w:t>
            </w:r>
          </w:p>
        </w:tc>
        <w:tc>
          <w:tcPr>
            <w:tcW w:w="1454" w:type="dxa"/>
          </w:tcPr>
          <w:p>
            <w:pPr>
              <w:pStyle w:val="133"/>
              <w:spacing w:after="0" w:line="360" w:lineRule="auto"/>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82" w:type="dxa"/>
            <w:vMerge w:val="continue"/>
            <w:vAlign w:val="center"/>
          </w:tcPr>
          <w:p>
            <w:pPr>
              <w:pStyle w:val="133"/>
              <w:widowControl/>
              <w:spacing w:after="0"/>
              <w:jc w:val="left"/>
              <w:rPr>
                <w:rFonts w:ascii="宋体" w:hAnsi="宋体" w:cs="Arial"/>
                <w:bCs/>
                <w:sz w:val="24"/>
              </w:rPr>
            </w:pPr>
          </w:p>
        </w:tc>
        <w:tc>
          <w:tcPr>
            <w:tcW w:w="2494" w:type="dxa"/>
            <w:vMerge w:val="continue"/>
            <w:vAlign w:val="center"/>
          </w:tcPr>
          <w:p>
            <w:pPr>
              <w:pStyle w:val="133"/>
              <w:widowControl/>
              <w:spacing w:after="0"/>
              <w:jc w:val="left"/>
              <w:rPr>
                <w:rFonts w:ascii="宋体" w:hAnsi="宋体" w:cs="Arial"/>
                <w:bCs/>
                <w:sz w:val="24"/>
              </w:rPr>
            </w:pPr>
          </w:p>
        </w:tc>
        <w:tc>
          <w:tcPr>
            <w:tcW w:w="4300" w:type="dxa"/>
          </w:tcPr>
          <w:p>
            <w:pPr>
              <w:pStyle w:val="133"/>
              <w:spacing w:after="0" w:line="360" w:lineRule="auto"/>
              <w:rPr>
                <w:rFonts w:ascii="宋体" w:hAnsi="宋体" w:cs="Arial"/>
                <w:bCs/>
                <w:sz w:val="24"/>
              </w:rPr>
            </w:pPr>
            <w:r>
              <w:rPr>
                <w:rFonts w:hint="eastAsia" w:ascii="宋体" w:hAnsi="宋体" w:cs="Arial"/>
                <w:bCs/>
                <w:sz w:val="24"/>
              </w:rPr>
              <w:t>投标人售后服务情况：</w:t>
            </w:r>
          </w:p>
        </w:tc>
        <w:tc>
          <w:tcPr>
            <w:tcW w:w="1454" w:type="dxa"/>
          </w:tcPr>
          <w:p>
            <w:pPr>
              <w:pStyle w:val="133"/>
              <w:spacing w:after="0" w:line="360" w:lineRule="auto"/>
              <w:jc w:val="left"/>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exact"/>
          <w:jc w:val="center"/>
        </w:trPr>
        <w:tc>
          <w:tcPr>
            <w:tcW w:w="782" w:type="dxa"/>
            <w:vAlign w:val="center"/>
          </w:tcPr>
          <w:p>
            <w:pPr>
              <w:pStyle w:val="133"/>
              <w:spacing w:after="0" w:line="360" w:lineRule="auto"/>
              <w:jc w:val="center"/>
              <w:rPr>
                <w:rFonts w:ascii="宋体" w:hAnsi="宋体" w:cs="Arial"/>
                <w:bCs/>
                <w:sz w:val="24"/>
              </w:rPr>
            </w:pPr>
            <w:r>
              <w:rPr>
                <w:rFonts w:hint="eastAsia" w:ascii="宋体" w:hAnsi="宋体" w:cs="Arial"/>
                <w:bCs/>
                <w:sz w:val="24"/>
              </w:rPr>
              <w:t>2</w:t>
            </w:r>
          </w:p>
        </w:tc>
        <w:tc>
          <w:tcPr>
            <w:tcW w:w="2494" w:type="dxa"/>
            <w:vAlign w:val="center"/>
          </w:tcPr>
          <w:p>
            <w:pPr>
              <w:pStyle w:val="133"/>
              <w:spacing w:after="0" w:line="360" w:lineRule="auto"/>
              <w:rPr>
                <w:rFonts w:ascii="宋体" w:hAnsi="宋体" w:cs="Arial"/>
                <w:bCs/>
                <w:sz w:val="24"/>
              </w:rPr>
            </w:pPr>
            <w:r>
              <w:rPr>
                <w:rFonts w:hint="eastAsia" w:ascii="宋体" w:hAnsi="宋体" w:cs="Arial"/>
                <w:bCs/>
                <w:sz w:val="24"/>
              </w:rPr>
              <w:t>保修期后售后服务</w:t>
            </w:r>
          </w:p>
        </w:tc>
        <w:tc>
          <w:tcPr>
            <w:tcW w:w="4300" w:type="dxa"/>
          </w:tcPr>
          <w:p>
            <w:pPr>
              <w:pStyle w:val="133"/>
              <w:spacing w:after="0" w:line="360" w:lineRule="auto"/>
              <w:rPr>
                <w:rFonts w:ascii="宋体" w:hAnsi="宋体" w:cs="Arial"/>
                <w:bCs/>
                <w:sz w:val="24"/>
              </w:rPr>
            </w:pPr>
          </w:p>
        </w:tc>
        <w:tc>
          <w:tcPr>
            <w:tcW w:w="1454" w:type="dxa"/>
          </w:tcPr>
          <w:p>
            <w:pPr>
              <w:pStyle w:val="133"/>
              <w:spacing w:after="0" w:line="360" w:lineRule="auto"/>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9" w:hRule="exact"/>
          <w:jc w:val="center"/>
        </w:trPr>
        <w:tc>
          <w:tcPr>
            <w:tcW w:w="782" w:type="dxa"/>
            <w:vAlign w:val="center"/>
          </w:tcPr>
          <w:p>
            <w:pPr>
              <w:pStyle w:val="133"/>
              <w:spacing w:after="0" w:line="360" w:lineRule="auto"/>
              <w:rPr>
                <w:rFonts w:ascii="宋体" w:hAnsi="宋体" w:cs="Arial"/>
                <w:bCs/>
                <w:sz w:val="24"/>
              </w:rPr>
            </w:pPr>
            <w:r>
              <w:rPr>
                <w:rFonts w:hint="eastAsia" w:ascii="宋体" w:hAnsi="宋体" w:cs="Arial"/>
                <w:bCs/>
                <w:sz w:val="24"/>
              </w:rPr>
              <w:t xml:space="preserve">  3</w:t>
            </w:r>
          </w:p>
        </w:tc>
        <w:tc>
          <w:tcPr>
            <w:tcW w:w="2494" w:type="dxa"/>
            <w:vAlign w:val="center"/>
          </w:tcPr>
          <w:p>
            <w:pPr>
              <w:pStyle w:val="133"/>
              <w:spacing w:after="0" w:line="360" w:lineRule="auto"/>
              <w:rPr>
                <w:rFonts w:ascii="宋体" w:hAnsi="宋体" w:cs="Arial"/>
                <w:bCs/>
                <w:sz w:val="24"/>
              </w:rPr>
            </w:pPr>
            <w:r>
              <w:rPr>
                <w:rFonts w:hint="eastAsia" w:ascii="宋体" w:hAnsi="宋体" w:cs="Arial"/>
                <w:bCs/>
                <w:sz w:val="24"/>
              </w:rPr>
              <w:t>培训方案（可用附页）</w:t>
            </w:r>
          </w:p>
        </w:tc>
        <w:tc>
          <w:tcPr>
            <w:tcW w:w="4300" w:type="dxa"/>
          </w:tcPr>
          <w:p>
            <w:pPr>
              <w:pStyle w:val="133"/>
              <w:spacing w:after="0" w:line="360" w:lineRule="auto"/>
              <w:rPr>
                <w:rFonts w:ascii="宋体" w:hAnsi="宋体" w:cs="Arial"/>
                <w:bCs/>
                <w:sz w:val="24"/>
              </w:rPr>
            </w:pPr>
          </w:p>
        </w:tc>
        <w:tc>
          <w:tcPr>
            <w:tcW w:w="1454" w:type="dxa"/>
          </w:tcPr>
          <w:p>
            <w:pPr>
              <w:pStyle w:val="133"/>
              <w:spacing w:after="0" w:line="360" w:lineRule="auto"/>
              <w:rPr>
                <w:rFonts w:ascii="宋体" w:hAnsi="宋体" w:cs="Arial"/>
                <w:bCs/>
                <w:sz w:val="24"/>
              </w:rPr>
            </w:pPr>
          </w:p>
        </w:tc>
      </w:tr>
    </w:tbl>
    <w:p>
      <w:pPr>
        <w:spacing w:after="0"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after="0" w:line="440" w:lineRule="exact"/>
        <w:rPr>
          <w:spacing w:val="4"/>
          <w:sz w:val="24"/>
          <w:u w:val="single"/>
        </w:rPr>
      </w:pPr>
      <w:r>
        <w:rPr>
          <w:rFonts w:hint="eastAsia"/>
          <w:spacing w:val="4"/>
          <w:sz w:val="24"/>
        </w:rPr>
        <w:t>日期：</w:t>
      </w:r>
    </w:p>
    <w:p>
      <w:pPr>
        <w:widowControl/>
        <w:spacing w:after="0"/>
        <w:jc w:val="left"/>
        <w:rPr>
          <w:rFonts w:ascii="黑体" w:hAnsi="黑体" w:eastAsia="黑体"/>
          <w:sz w:val="32"/>
          <w:szCs w:val="32"/>
        </w:rPr>
      </w:pPr>
      <w:r>
        <w:rPr>
          <w:rFonts w:ascii="黑体" w:hAnsi="黑体" w:eastAsia="黑体"/>
          <w:sz w:val="32"/>
          <w:szCs w:val="32"/>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采购代理服务费承诺书</w:t>
      </w:r>
    </w:p>
    <w:p>
      <w:pPr>
        <w:snapToGrid w:val="0"/>
        <w:spacing w:after="0" w:line="360" w:lineRule="auto"/>
        <w:rPr>
          <w:rFonts w:ascii="宋体" w:hAnsi="宋体"/>
          <w:b/>
          <w:sz w:val="24"/>
        </w:rPr>
      </w:pPr>
      <w:r>
        <w:rPr>
          <w:rFonts w:hint="eastAsia" w:ascii="宋体" w:hAnsi="宋体"/>
          <w:b/>
          <w:sz w:val="24"/>
        </w:rPr>
        <w:t>采联国际招标采购集团有限公司:</w:t>
      </w:r>
    </w:p>
    <w:p>
      <w:pPr>
        <w:snapToGrid w:val="0"/>
        <w:spacing w:after="0"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w:t>
      </w:r>
      <w:r>
        <w:rPr>
          <w:rFonts w:hint="eastAsia" w:ascii="宋体" w:hAnsi="宋体"/>
          <w:sz w:val="24"/>
          <w:u w:val="single"/>
        </w:rPr>
        <w:t xml:space="preserve">       广东省英德监狱购买单警装备项目      </w:t>
      </w:r>
      <w:r>
        <w:rPr>
          <w:rFonts w:hint="eastAsia" w:ascii="宋体" w:hAnsi="宋体"/>
          <w:sz w:val="24"/>
        </w:rPr>
        <w:t>(</w:t>
      </w:r>
      <w:r>
        <w:rPr>
          <w:rFonts w:hint="eastAsia"/>
          <w:sz w:val="24"/>
        </w:rPr>
        <w:t>项目编号：</w:t>
      </w:r>
      <w:r>
        <w:rPr>
          <w:rFonts w:hint="eastAsia" w:ascii="宋体" w:hAnsi="宋体"/>
          <w:sz w:val="24"/>
        </w:rPr>
        <w:t>CLF0123GZ11QY48)的招标中如获中标</w:t>
      </w:r>
      <w:r>
        <w:rPr>
          <w:rFonts w:hint="eastAsia" w:ascii="宋体" w:cs="宋体"/>
          <w:sz w:val="24"/>
        </w:rPr>
        <w:t>，我公司保证按照招标文件</w:t>
      </w:r>
      <w:r>
        <w:rPr>
          <w:rFonts w:hint="eastAsia" w:ascii="宋体" w:hAnsi="宋体"/>
          <w:sz w:val="24"/>
        </w:rPr>
        <w:t>的</w:t>
      </w:r>
      <w:r>
        <w:rPr>
          <w:rFonts w:hint="eastAsia" w:ascii="宋体" w:cs="宋体"/>
          <w:sz w:val="24"/>
        </w:rPr>
        <w:t>规定缴纳“采购代理服务费”。如采用电汇或银行转账，我公司将同时递交采购代理服务费缴费凭证复印件。</w:t>
      </w:r>
    </w:p>
    <w:p>
      <w:pPr>
        <w:snapToGrid w:val="0"/>
        <w:spacing w:after="0" w:line="360" w:lineRule="auto"/>
        <w:ind w:firstLine="480" w:firstLineChars="200"/>
        <w:rPr>
          <w:rFonts w:ascii="宋体" w:hAnsi="宋体"/>
          <w:sz w:val="24"/>
        </w:rPr>
      </w:pPr>
      <w:r>
        <w:rPr>
          <w:rFonts w:hint="eastAsia" w:ascii="宋体" w:hAnsi="宋体"/>
          <w:sz w:val="24"/>
        </w:rPr>
        <w:t>如我公司违反上款承诺,</w:t>
      </w:r>
      <w:r>
        <w:rPr>
          <w:rFonts w:ascii="宋体" w:hAnsi="宋体" w:cs="宋体"/>
          <w:spacing w:val="1"/>
          <w:sz w:val="24"/>
        </w:rPr>
        <w:t>愿凭贵单位开出的违约通知，</w:t>
      </w:r>
      <w:r>
        <w:rPr>
          <w:rFonts w:hint="eastAsia" w:ascii="宋体" w:hAnsi="宋体"/>
          <w:sz w:val="24"/>
        </w:rPr>
        <w:t>承担由此引起的一切法律责任。</w:t>
      </w:r>
    </w:p>
    <w:p>
      <w:pPr>
        <w:snapToGrid w:val="0"/>
        <w:spacing w:after="0" w:line="360" w:lineRule="auto"/>
        <w:ind w:firstLine="480" w:firstLineChars="200"/>
        <w:rPr>
          <w:rFonts w:ascii="宋体" w:hAnsi="宋体"/>
          <w:sz w:val="24"/>
        </w:rPr>
      </w:pPr>
      <w:r>
        <w:rPr>
          <w:rFonts w:hint="eastAsia" w:ascii="宋体" w:hAnsi="宋体"/>
          <w:sz w:val="24"/>
        </w:rPr>
        <w:t>特此承诺!</w:t>
      </w:r>
      <w:r>
        <w:rPr>
          <w:rFonts w:ascii="宋体" w:hAnsi="宋体"/>
          <w:sz w:val="24"/>
        </w:rPr>
        <w:tab/>
      </w:r>
    </w:p>
    <w:p>
      <w:pPr>
        <w:spacing w:after="0" w:line="360" w:lineRule="auto"/>
        <w:ind w:left="315"/>
        <w:jc w:val="left"/>
        <w:rPr>
          <w:rFonts w:ascii="宋体" w:hAnsi="宋体"/>
          <w:sz w:val="24"/>
        </w:rPr>
      </w:pPr>
    </w:p>
    <w:p>
      <w:pPr>
        <w:spacing w:after="0" w:line="360" w:lineRule="auto"/>
        <w:ind w:left="315"/>
        <w:jc w:val="left"/>
        <w:rPr>
          <w:rFonts w:ascii="宋体" w:hAnsi="宋体"/>
          <w:sz w:val="24"/>
        </w:rPr>
      </w:pPr>
      <w:r>
        <w:rPr>
          <w:rFonts w:hint="eastAsia" w:ascii="宋体" w:hAnsi="宋体"/>
          <w:sz w:val="24"/>
        </w:rPr>
        <w:t>投标人名称(盖公章):</w:t>
      </w:r>
    </w:p>
    <w:p>
      <w:pPr>
        <w:spacing w:after="0" w:line="360" w:lineRule="auto"/>
        <w:ind w:left="315"/>
        <w:jc w:val="left"/>
        <w:rPr>
          <w:rFonts w:ascii="宋体" w:hAnsi="宋体"/>
          <w:sz w:val="24"/>
        </w:rPr>
      </w:pPr>
      <w:r>
        <w:rPr>
          <w:rFonts w:hint="eastAsia" w:ascii="宋体" w:hAnsi="宋体"/>
          <w:sz w:val="24"/>
        </w:rPr>
        <w:t xml:space="preserve">日期： </w:t>
      </w:r>
      <w:r>
        <w:rPr>
          <w:rFonts w:ascii="宋体" w:hAnsi="宋体"/>
          <w:sz w:val="24"/>
        </w:rPr>
        <w:t xml:space="preserve">  </w:t>
      </w:r>
    </w:p>
    <w:p>
      <w:pPr>
        <w:spacing w:after="0" w:line="360" w:lineRule="auto"/>
        <w:ind w:left="315"/>
        <w:jc w:val="left"/>
        <w:rPr>
          <w:rFonts w:ascii="宋体" w:hAnsi="宋体"/>
          <w:strike/>
          <w:sz w:val="24"/>
        </w:rPr>
      </w:pPr>
    </w:p>
    <w:p>
      <w:pPr>
        <w:widowControl/>
        <w:spacing w:after="0"/>
        <w:jc w:val="left"/>
        <w:rPr>
          <w:rFonts w:ascii="Arial" w:hAnsi="Arial" w:eastAsia="黑体"/>
          <w:bCs/>
          <w:sz w:val="32"/>
          <w:szCs w:val="32"/>
        </w:rPr>
      </w:pPr>
      <w:r>
        <w:rPr>
          <w:b/>
        </w:rPr>
        <w:br w:type="page"/>
      </w:r>
    </w:p>
    <w:p>
      <w:pPr>
        <w:tabs>
          <w:tab w:val="left" w:pos="142"/>
        </w:tabs>
        <w:autoSpaceDE w:val="0"/>
        <w:autoSpaceDN w:val="0"/>
        <w:spacing w:after="0"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开票资料说明函</w:t>
      </w:r>
    </w:p>
    <w:p>
      <w:pPr>
        <w:snapToGrid w:val="0"/>
        <w:spacing w:after="0" w:line="360" w:lineRule="auto"/>
        <w:rPr>
          <w:rFonts w:ascii="宋体" w:hAnsi="宋体"/>
          <w:b/>
          <w:sz w:val="24"/>
        </w:rPr>
      </w:pPr>
      <w:r>
        <w:rPr>
          <w:rFonts w:hint="eastAsia" w:ascii="宋体" w:hAnsi="宋体"/>
          <w:b/>
          <w:sz w:val="24"/>
        </w:rPr>
        <w:t>采联国际招标采购集团有限公司:</w:t>
      </w:r>
    </w:p>
    <w:p>
      <w:pPr>
        <w:snapToGrid w:val="0"/>
        <w:spacing w:after="0"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(供应商名称)      </w:t>
      </w:r>
      <w:r>
        <w:rPr>
          <w:rFonts w:hint="eastAsia" w:ascii="宋体" w:hAnsi="宋体"/>
          <w:sz w:val="24"/>
        </w:rPr>
        <w:t>在参加在贵公司举行的</w:t>
      </w:r>
      <w:r>
        <w:rPr>
          <w:rFonts w:hint="eastAsia" w:ascii="宋体" w:hAnsi="宋体"/>
          <w:sz w:val="24"/>
          <w:u w:val="single"/>
        </w:rPr>
        <w:t xml:space="preserve">   广东省英德监狱购买单警装备项目   </w:t>
      </w:r>
      <w:r>
        <w:rPr>
          <w:rFonts w:hint="eastAsia" w:ascii="宋体" w:hAnsi="宋体"/>
          <w:sz w:val="24"/>
        </w:rPr>
        <w:t>(</w:t>
      </w:r>
      <w:r>
        <w:rPr>
          <w:rFonts w:hint="eastAsia"/>
          <w:sz w:val="24"/>
        </w:rPr>
        <w:t>项目编号：</w:t>
      </w:r>
      <w:r>
        <w:rPr>
          <w:rFonts w:hint="eastAsia" w:ascii="宋体" w:hAnsi="宋体"/>
          <w:sz w:val="24"/>
        </w:rPr>
        <w:t>CLF0123GZ11QY48)的招标中如获中标</w:t>
      </w:r>
      <w:r>
        <w:rPr>
          <w:rFonts w:hint="eastAsia" w:ascii="宋体" w:cs="宋体"/>
          <w:sz w:val="24"/>
        </w:rPr>
        <w:t>，则开票类型选择</w:t>
      </w:r>
      <w:r>
        <w:rPr>
          <w:rFonts w:hint="eastAsia" w:ascii="宋体" w:hAnsi="宋体"/>
          <w:b/>
          <w:sz w:val="24"/>
          <w:u w:val="single"/>
        </w:rPr>
        <w:t>□增值税普通发票□增值税专用发票</w:t>
      </w:r>
      <w:r>
        <w:rPr>
          <w:rFonts w:hint="eastAsia" w:ascii="宋体" w:hAnsi="宋体"/>
          <w:sz w:val="24"/>
        </w:rPr>
        <w:t>（</w:t>
      </w:r>
      <w:r>
        <w:rPr>
          <w:rFonts w:hint="eastAsia" w:ascii="宋体" w:hAnsi="宋体"/>
          <w:b/>
          <w:sz w:val="24"/>
        </w:rPr>
        <w:t>请在对应的“□”打“√”，且只能选择其中一项）</w:t>
      </w:r>
      <w:r>
        <w:rPr>
          <w:rFonts w:hint="eastAsia" w:ascii="宋体" w:cs="宋体"/>
          <w:sz w:val="24"/>
        </w:rPr>
        <w:t>，以及我司的开票资料如下：</w:t>
      </w:r>
    </w:p>
    <w:tbl>
      <w:tblPr>
        <w:tblStyle w:val="38"/>
        <w:tblW w:w="90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740"/>
        <w:gridCol w:w="1174"/>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sz w:val="24"/>
              </w:rPr>
              <w:t>单位名称</w:t>
            </w:r>
          </w:p>
        </w:tc>
        <w:tc>
          <w:tcPr>
            <w:tcW w:w="6570" w:type="dxa"/>
            <w:gridSpan w:val="3"/>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hAnsi="宋体"/>
                <w:sz w:val="24"/>
              </w:rPr>
              <w:t>纳税人识别号</w:t>
            </w:r>
          </w:p>
        </w:tc>
        <w:tc>
          <w:tcPr>
            <w:tcW w:w="6570" w:type="dxa"/>
            <w:gridSpan w:val="3"/>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sz w:val="24"/>
              </w:rPr>
              <w:t>地址</w:t>
            </w:r>
          </w:p>
        </w:tc>
        <w:tc>
          <w:tcPr>
            <w:tcW w:w="6570" w:type="dxa"/>
            <w:gridSpan w:val="3"/>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460" w:type="dxa"/>
            <w:vAlign w:val="center"/>
          </w:tcPr>
          <w:p>
            <w:pPr>
              <w:spacing w:after="0"/>
              <w:jc w:val="center"/>
              <w:rPr>
                <w:rFonts w:ascii="宋体"/>
                <w:sz w:val="24"/>
              </w:rPr>
            </w:pPr>
            <w:r>
              <w:rPr>
                <w:rFonts w:hint="eastAsia" w:ascii="宋体"/>
                <w:sz w:val="24"/>
              </w:rPr>
              <w:t>开户银行</w:t>
            </w:r>
          </w:p>
          <w:p>
            <w:pPr>
              <w:spacing w:after="0"/>
              <w:jc w:val="center"/>
              <w:rPr>
                <w:rFonts w:ascii="宋体"/>
                <w:sz w:val="24"/>
              </w:rPr>
            </w:pPr>
            <w:r>
              <w:rPr>
                <w:rFonts w:hint="eastAsia" w:ascii="宋体" w:hAnsi="宋体"/>
                <w:sz w:val="24"/>
              </w:rPr>
              <w:t>（具体到XX银行XX支行）</w:t>
            </w:r>
          </w:p>
        </w:tc>
        <w:tc>
          <w:tcPr>
            <w:tcW w:w="3740" w:type="dxa"/>
            <w:vAlign w:val="center"/>
          </w:tcPr>
          <w:p>
            <w:pPr>
              <w:spacing w:after="0"/>
              <w:jc w:val="center"/>
              <w:rPr>
                <w:rFonts w:ascii="宋体"/>
                <w:sz w:val="24"/>
              </w:rPr>
            </w:pPr>
          </w:p>
        </w:tc>
        <w:tc>
          <w:tcPr>
            <w:tcW w:w="1174" w:type="dxa"/>
            <w:vAlign w:val="center"/>
          </w:tcPr>
          <w:p>
            <w:pPr>
              <w:spacing w:after="0"/>
              <w:jc w:val="center"/>
              <w:rPr>
                <w:rFonts w:ascii="宋体"/>
                <w:sz w:val="24"/>
              </w:rPr>
            </w:pPr>
            <w:r>
              <w:rPr>
                <w:rFonts w:hint="eastAsia" w:ascii="宋体"/>
                <w:sz w:val="24"/>
              </w:rPr>
              <w:t>联系电话</w:t>
            </w:r>
          </w:p>
        </w:tc>
        <w:tc>
          <w:tcPr>
            <w:tcW w:w="1656" w:type="dxa"/>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60" w:type="dxa"/>
            <w:vAlign w:val="center"/>
          </w:tcPr>
          <w:p>
            <w:pPr>
              <w:spacing w:after="0"/>
              <w:jc w:val="center"/>
              <w:rPr>
                <w:rFonts w:ascii="宋体"/>
                <w:sz w:val="24"/>
              </w:rPr>
            </w:pPr>
            <w:r>
              <w:rPr>
                <w:rFonts w:hint="eastAsia" w:ascii="宋体"/>
                <w:sz w:val="24"/>
              </w:rPr>
              <w:t>账    号</w:t>
            </w:r>
          </w:p>
        </w:tc>
        <w:tc>
          <w:tcPr>
            <w:tcW w:w="3740" w:type="dxa"/>
            <w:vAlign w:val="center"/>
          </w:tcPr>
          <w:p>
            <w:pPr>
              <w:spacing w:after="0"/>
              <w:jc w:val="center"/>
              <w:rPr>
                <w:rFonts w:ascii="宋体"/>
                <w:sz w:val="24"/>
              </w:rPr>
            </w:pPr>
          </w:p>
        </w:tc>
        <w:tc>
          <w:tcPr>
            <w:tcW w:w="1174" w:type="dxa"/>
            <w:vAlign w:val="center"/>
          </w:tcPr>
          <w:p>
            <w:pPr>
              <w:spacing w:after="0"/>
              <w:jc w:val="center"/>
              <w:rPr>
                <w:rFonts w:ascii="宋体"/>
                <w:sz w:val="24"/>
              </w:rPr>
            </w:pPr>
            <w:r>
              <w:rPr>
                <w:rFonts w:hint="eastAsia" w:ascii="宋体"/>
                <w:sz w:val="24"/>
              </w:rPr>
              <w:t>联系人</w:t>
            </w:r>
          </w:p>
        </w:tc>
        <w:tc>
          <w:tcPr>
            <w:tcW w:w="1656" w:type="dxa"/>
            <w:vAlign w:val="center"/>
          </w:tcPr>
          <w:p>
            <w:pPr>
              <w:spacing w:after="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030" w:type="dxa"/>
            <w:gridSpan w:val="4"/>
            <w:vAlign w:val="center"/>
          </w:tcPr>
          <w:p>
            <w:pPr>
              <w:spacing w:after="0"/>
              <w:rPr>
                <w:rFonts w:ascii="宋体"/>
                <w:b/>
                <w:sz w:val="24"/>
              </w:rPr>
            </w:pPr>
            <w:r>
              <w:rPr>
                <w:rFonts w:hint="eastAsia" w:ascii="宋体"/>
                <w:b/>
                <w:sz w:val="24"/>
              </w:rPr>
              <w:t>附件：</w:t>
            </w:r>
            <w:r>
              <w:rPr>
                <w:rFonts w:hint="eastAsia" w:ascii="宋体" w:hAnsi="宋体"/>
                <w:b/>
                <w:sz w:val="24"/>
              </w:rPr>
              <w:t>一般纳税人资格认定税务通知书或其他可证明具有该项资格证明文件的复印件。（加盖公章）</w:t>
            </w:r>
          </w:p>
        </w:tc>
      </w:tr>
    </w:tbl>
    <w:p>
      <w:pPr>
        <w:spacing w:after="0" w:line="360" w:lineRule="auto"/>
        <w:ind w:firstLine="480" w:firstLineChars="200"/>
        <w:rPr>
          <w:rFonts w:ascii="宋体"/>
          <w:sz w:val="24"/>
        </w:rPr>
      </w:pPr>
      <w:r>
        <w:rPr>
          <w:rFonts w:hint="eastAsia" w:ascii="宋体"/>
          <w:sz w:val="24"/>
        </w:rPr>
        <w:t>投标截止日，如我公司未按该要求填写、未提供有效的开票资料、未确认开具发票类型或确认的发票类型有误，则视为开具增值税普通发票。同意采联国际招标采购集团有限公司不予更换发票类型。并愿承担由此引起的一切后果。</w:t>
      </w:r>
    </w:p>
    <w:p>
      <w:pPr>
        <w:spacing w:after="0" w:line="360" w:lineRule="auto"/>
        <w:ind w:firstLine="480" w:firstLineChars="200"/>
        <w:rPr>
          <w:rFonts w:ascii="宋体"/>
          <w:sz w:val="24"/>
        </w:rPr>
      </w:pPr>
    </w:p>
    <w:p>
      <w:pPr>
        <w:snapToGrid w:val="0"/>
        <w:spacing w:after="0" w:line="520" w:lineRule="exact"/>
        <w:ind w:left="780" w:right="480"/>
        <w:jc w:val="center"/>
        <w:rPr>
          <w:rFonts w:ascii="宋体"/>
          <w:sz w:val="24"/>
        </w:rPr>
      </w:pPr>
      <w:r>
        <w:rPr>
          <w:rFonts w:hint="eastAsia"/>
          <w:sz w:val="24"/>
        </w:rPr>
        <w:t>投标人名称</w:t>
      </w:r>
      <w:r>
        <w:rPr>
          <w:rFonts w:hint="eastAsia" w:ascii="宋体"/>
          <w:sz w:val="24"/>
        </w:rPr>
        <w:t>（</w:t>
      </w:r>
      <w:r>
        <w:rPr>
          <w:rFonts w:hint="eastAsia" w:ascii="宋体" w:hAnsi="宋体"/>
          <w:sz w:val="24"/>
        </w:rPr>
        <w:t>单位盖</w:t>
      </w:r>
      <w:r>
        <w:rPr>
          <w:rFonts w:hint="eastAsia"/>
          <w:spacing w:val="4"/>
          <w:sz w:val="24"/>
        </w:rPr>
        <w:t>公章</w:t>
      </w:r>
      <w:r>
        <w:rPr>
          <w:rFonts w:hint="eastAsia" w:ascii="宋体"/>
          <w:sz w:val="24"/>
        </w:rPr>
        <w:t>）：</w:t>
      </w:r>
    </w:p>
    <w:p>
      <w:pPr>
        <w:snapToGrid w:val="0"/>
        <w:spacing w:after="0" w:line="520" w:lineRule="exact"/>
        <w:ind w:firstLine="4800" w:firstLineChars="2000"/>
        <w:rPr>
          <w:rFonts w:ascii="宋体"/>
          <w:sz w:val="24"/>
        </w:rPr>
      </w:pPr>
      <w:r>
        <w:rPr>
          <w:rFonts w:hint="eastAsia" w:ascii="宋体"/>
          <w:sz w:val="24"/>
        </w:rPr>
        <w:t>投标人地址：</w:t>
      </w:r>
    </w:p>
    <w:p>
      <w:pPr>
        <w:snapToGrid w:val="0"/>
        <w:spacing w:after="0" w:line="520" w:lineRule="exact"/>
        <w:ind w:left="780" w:firstLine="5911" w:firstLineChars="2463"/>
        <w:rPr>
          <w:rFonts w:ascii="宋体"/>
          <w:sz w:val="24"/>
        </w:rPr>
      </w:pPr>
    </w:p>
    <w:p>
      <w:pPr>
        <w:spacing w:after="0" w:line="360" w:lineRule="auto"/>
        <w:rPr>
          <w:rFonts w:ascii="宋体" w:hAnsi="宋体"/>
          <w:b/>
          <w:bCs/>
          <w:sz w:val="44"/>
        </w:rPr>
      </w:pPr>
    </w:p>
    <w:sectPr>
      <w:pgSz w:w="11906" w:h="16838"/>
      <w:pgMar w:top="1440" w:right="1286" w:bottom="1440" w:left="156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Bodoni MT Condensed">
    <w:panose1 w:val="02070606080606020203"/>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PingFangSC-Regular">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rPr>
      <w:t>2</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 xml:space="preserve">http://www.chinapsp.cn/                              </w:t>
    </w:r>
    <w:r>
      <w:fldChar w:fldCharType="begin"/>
    </w:r>
    <w:r>
      <w:rPr>
        <w:rStyle w:val="42"/>
      </w:rPr>
      <w:instrText xml:space="preserve"> PAGE </w:instrText>
    </w:r>
    <w:r>
      <w:fldChar w:fldCharType="separate"/>
    </w:r>
    <w:r>
      <w:rPr>
        <w:rStyle w:val="42"/>
      </w:rPr>
      <w:t>2</w:t>
    </w:r>
    <w:r>
      <w:fldChar w:fldCharType="end"/>
    </w:r>
    <w:r>
      <w:rPr>
        <w:rFonts w:hint="eastAsia"/>
      </w:rPr>
      <w:t>（采购代理机构全称）</w:t>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rPr>
      <w:t>http://www.chinapsp.cn/                第</w:t>
    </w:r>
    <w:r>
      <w:fldChar w:fldCharType="begin"/>
    </w:r>
    <w:r>
      <w:rPr>
        <w:rStyle w:val="42"/>
      </w:rPr>
      <w:instrText xml:space="preserve"> PAGE </w:instrText>
    </w:r>
    <w:r>
      <w:fldChar w:fldCharType="separate"/>
    </w:r>
    <w:r>
      <w:rPr>
        <w:rStyle w:val="42"/>
      </w:rPr>
      <w:t>97</w:t>
    </w:r>
    <w:r>
      <w:fldChar w:fldCharType="end"/>
    </w:r>
    <w:r>
      <w:rPr>
        <w:rStyle w:val="42"/>
        <w:rFonts w:hint="eastAsia"/>
      </w:rPr>
      <w:t>页，共</w:t>
    </w:r>
    <w:r>
      <w:fldChar w:fldCharType="begin"/>
    </w:r>
    <w:r>
      <w:rPr>
        <w:rStyle w:val="42"/>
      </w:rPr>
      <w:instrText xml:space="preserve"> NUMPAGES </w:instrText>
    </w:r>
    <w:r>
      <w:fldChar w:fldCharType="separate"/>
    </w:r>
    <w:r>
      <w:rPr>
        <w:rStyle w:val="42"/>
      </w:rPr>
      <w:t>107</w:t>
    </w:r>
    <w:r>
      <w:fldChar w:fldCharType="end"/>
    </w:r>
    <w:r>
      <w:rPr>
        <w:rStyle w:val="42"/>
        <w:rFonts w:hint="eastAsia"/>
      </w:rPr>
      <w:t xml:space="preserve">页                  </w:t>
    </w:r>
    <w:r>
      <w:rPr>
        <w:rFonts w:ascii="PingFangSC-Regular" w:hAnsi="PingFangSC-Regular"/>
        <w:sz w:val="21"/>
        <w:szCs w:val="21"/>
        <w:shd w:val="clear" w:color="auto" w:fill="FFFFFF"/>
      </w:rPr>
      <w:t>采联国际招标采购集团有限公司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http://www.chinapsp.cn/                  第</w:t>
    </w:r>
    <w:r>
      <w:fldChar w:fldCharType="begin"/>
    </w:r>
    <w:r>
      <w:rPr>
        <w:rStyle w:val="42"/>
      </w:rPr>
      <w:instrText xml:space="preserve"> PAGE </w:instrText>
    </w:r>
    <w:r>
      <w:fldChar w:fldCharType="separate"/>
    </w:r>
    <w:r>
      <w:rPr>
        <w:rStyle w:val="42"/>
      </w:rPr>
      <w:t>2</w:t>
    </w:r>
    <w:r>
      <w:fldChar w:fldCharType="end"/>
    </w:r>
    <w:r>
      <w:rPr>
        <w:rStyle w:val="42"/>
        <w:rFonts w:hint="eastAsia"/>
      </w:rPr>
      <w:t>页，共</w:t>
    </w:r>
    <w:r>
      <w:fldChar w:fldCharType="begin"/>
    </w:r>
    <w:r>
      <w:rPr>
        <w:rStyle w:val="42"/>
      </w:rPr>
      <w:instrText xml:space="preserve"> NUMPAGES </w:instrText>
    </w:r>
    <w:r>
      <w:fldChar w:fldCharType="separate"/>
    </w:r>
    <w:r>
      <w:rPr>
        <w:rStyle w:val="42"/>
      </w:rPr>
      <w:t>82</w:t>
    </w:r>
    <w:r>
      <w:fldChar w:fldCharType="end"/>
    </w:r>
    <w:r>
      <w:rPr>
        <w:rStyle w:val="42"/>
        <w:rFonts w:hint="eastAsia"/>
      </w:rPr>
      <w:t>页</w:t>
    </w:r>
    <w:r>
      <w:rPr>
        <w:rFonts w:hint="eastAsia"/>
      </w:rPr>
      <w:t>（采购代理机构全称）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ascii="黑体" w:eastAsia="黑体"/>
        <w:sz w:val="24"/>
      </w:rPr>
      <w:drawing>
        <wp:inline distT="0" distB="0" distL="0" distR="0">
          <wp:extent cx="685800" cy="233680"/>
          <wp:effectExtent l="0" t="0" r="0" b="0"/>
          <wp:docPr id="14" name="图片 14" descr="C:\Users\lsd\AppData\Local\Microsoft\Windows\INetCache\Content.Word\公司LOGO（灰色）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sd\AppData\Local\Microsoft\Windows\INetCache\Content.Word\公司LOGO（灰色）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3396" cy="260348"/>
                  </a:xfrm>
                  <a:prstGeom prst="rect">
                    <a:avLst/>
                  </a:prstGeom>
                  <a:noFill/>
                  <a:ln>
                    <a:noFill/>
                  </a:ln>
                </pic:spPr>
              </pic:pic>
            </a:graphicData>
          </a:graphic>
        </wp:inline>
      </w:drawing>
    </w:r>
    <w:r>
      <w:rPr>
        <w:rFonts w:ascii="黑体" w:eastAsia="黑体"/>
        <w:sz w:val="24"/>
      </w:rPr>
      <w:t xml:space="preserve"> </w:t>
    </w:r>
    <w:r>
      <w:rPr>
        <w:rFonts w:hint="eastAsia" w:ascii="宋体" w:hAnsi="宋体"/>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color w:val="000000" w:themeColor="text1"/>
        <w14:textFill>
          <w14:solidFill>
            <w14:schemeClr w14:val="tx1"/>
          </w14:solidFill>
        </w14:textFill>
      </w:rPr>
    </w:pPr>
    <w:r>
      <w:rPr>
        <w:rFonts w:hint="eastAsia" w:ascii="宋体" w:hAnsi="宋体"/>
      </w:rPr>
      <w:t xml:space="preserve"> </w:t>
    </w:r>
    <w:r>
      <w:rPr>
        <w:rFonts w:ascii="黑体" w:eastAsia="黑体"/>
        <w:szCs w:val="21"/>
      </w:rPr>
      <w:drawing>
        <wp:inline distT="0" distB="0" distL="0" distR="0">
          <wp:extent cx="666750" cy="259715"/>
          <wp:effectExtent l="0" t="0" r="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66958" cy="260348"/>
                  </a:xfrm>
                  <a:prstGeom prst="rect">
                    <a:avLst/>
                  </a:prstGeom>
                  <a:noFill/>
                  <a:ln>
                    <a:noFill/>
                  </a:ln>
                </pic:spPr>
              </pic:pic>
            </a:graphicData>
          </a:graphic>
        </wp:inline>
      </w:drawing>
    </w:r>
    <w:r>
      <w:rPr>
        <w:rFonts w:hint="eastAsia" w:ascii="黑体" w:eastAsia="黑体"/>
        <w:szCs w:val="21"/>
      </w:rPr>
      <w:t xml:space="preserve"> </w:t>
    </w:r>
    <w:r>
      <w:rPr>
        <w:rFonts w:hint="eastAsia" w:ascii="宋体" w:hAnsi="宋体"/>
      </w:rPr>
      <w:t xml:space="preserve">  让︱您︱的︱选︱择︱更︱专︱业︱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915E8"/>
    <w:multiLevelType w:val="multilevel"/>
    <w:tmpl w:val="830915E8"/>
    <w:lvl w:ilvl="0" w:tentative="0">
      <w:start w:val="1"/>
      <w:numFmt w:val="japaneseCounting"/>
      <w:lvlText w:val="%1、"/>
      <w:lvlJc w:val="left"/>
      <w:pPr>
        <w:tabs>
          <w:tab w:val="left" w:pos="420"/>
        </w:tabs>
        <w:ind w:left="420" w:hanging="420"/>
      </w:pPr>
      <w:rPr>
        <w:rFonts w:ascii="宋体" w:hAnsi="宋体" w:eastAsia="宋体" w:cs="Courier New"/>
        <w:color w:val="auto"/>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85B8A693"/>
    <w:multiLevelType w:val="multilevel"/>
    <w:tmpl w:val="85B8A693"/>
    <w:lvl w:ilvl="0" w:tentative="0">
      <w:start w:val="1"/>
      <w:numFmt w:val="decimal"/>
      <w:lvlText w:val="%1."/>
      <w:lvlJc w:val="left"/>
      <w:pPr>
        <w:ind w:left="840" w:hanging="420"/>
      </w:pPr>
      <w:rPr>
        <w:rFonts w:hint="eastAsia" w:ascii="宋体" w:hAnsi="宋体" w:eastAsia="宋体"/>
      </w:rPr>
    </w:lvl>
    <w:lvl w:ilvl="1" w:tentative="0">
      <w:start w:val="1"/>
      <w:numFmt w:val="decimal"/>
      <w:lvlText w:val="（%2)"/>
      <w:lvlJc w:val="left"/>
      <w:pPr>
        <w:ind w:left="42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88BBEA7D"/>
    <w:multiLevelType w:val="multilevel"/>
    <w:tmpl w:val="88BBEA7D"/>
    <w:lvl w:ilvl="0" w:tentative="0">
      <w:start w:val="1"/>
      <w:numFmt w:val="decimal"/>
      <w:suff w:val="nothing"/>
      <w:lvlText w:val="（%1）"/>
      <w:lvlJc w:val="left"/>
      <w:pPr>
        <w:ind w:left="420" w:hanging="420"/>
      </w:pPr>
      <w:rPr>
        <w:rFonts w:hint="default"/>
        <w:i w:val="0"/>
        <w:i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891C81B0"/>
    <w:multiLevelType w:val="multilevel"/>
    <w:tmpl w:val="891C81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894A3A0B"/>
    <w:multiLevelType w:val="multilevel"/>
    <w:tmpl w:val="894A3A0B"/>
    <w:lvl w:ilvl="0" w:tentative="0">
      <w:start w:val="1"/>
      <w:numFmt w:val="japaneseCounting"/>
      <w:lvlText w:val="%1、"/>
      <w:lvlJc w:val="left"/>
      <w:pPr>
        <w:ind w:left="5399" w:hanging="720"/>
      </w:pPr>
      <w:rPr>
        <w:rFonts w:hint="default"/>
        <w:strike w:val="0"/>
        <w:sz w:val="28"/>
        <w:szCs w:val="28"/>
        <w:lang w:val="en-US"/>
      </w:rPr>
    </w:lvl>
    <w:lvl w:ilvl="1" w:tentative="0">
      <w:start w:val="1"/>
      <w:numFmt w:val="decimal"/>
      <w:lvlText w:val="%2."/>
      <w:lvlJc w:val="left"/>
      <w:pPr>
        <w:ind w:left="3534" w:hanging="420"/>
      </w:pPr>
      <w:rPr>
        <w:rFonts w:hint="eastAsia"/>
      </w:rPr>
    </w:lvl>
    <w:lvl w:ilvl="2" w:tentative="0">
      <w:start w:val="1"/>
      <w:numFmt w:val="decimal"/>
      <w:lvlText w:val="（%3)"/>
      <w:lvlJc w:val="left"/>
      <w:pPr>
        <w:ind w:left="3954" w:hanging="420"/>
      </w:pPr>
      <w:rPr>
        <w:rFonts w:hint="eastAsia"/>
      </w:rPr>
    </w:lvl>
    <w:lvl w:ilvl="3" w:tentative="0">
      <w:start w:val="1"/>
      <w:numFmt w:val="decimal"/>
      <w:lvlText w:val="%4)"/>
      <w:lvlJc w:val="left"/>
      <w:pPr>
        <w:ind w:left="4374" w:hanging="420"/>
      </w:pPr>
    </w:lvl>
    <w:lvl w:ilvl="4" w:tentative="0">
      <w:start w:val="1"/>
      <w:numFmt w:val="lowerLetter"/>
      <w:lvlText w:val="%5)"/>
      <w:lvlJc w:val="left"/>
      <w:pPr>
        <w:ind w:left="4794" w:hanging="420"/>
      </w:pPr>
    </w:lvl>
    <w:lvl w:ilvl="5" w:tentative="0">
      <w:start w:val="1"/>
      <w:numFmt w:val="lowerRoman"/>
      <w:lvlText w:val="%6."/>
      <w:lvlJc w:val="right"/>
      <w:pPr>
        <w:ind w:left="5214" w:hanging="420"/>
      </w:pPr>
    </w:lvl>
    <w:lvl w:ilvl="6" w:tentative="0">
      <w:start w:val="1"/>
      <w:numFmt w:val="decimal"/>
      <w:lvlText w:val="%7."/>
      <w:lvlJc w:val="left"/>
      <w:pPr>
        <w:ind w:left="5634" w:hanging="420"/>
      </w:pPr>
    </w:lvl>
    <w:lvl w:ilvl="7" w:tentative="0">
      <w:start w:val="1"/>
      <w:numFmt w:val="lowerLetter"/>
      <w:lvlText w:val="%8)"/>
      <w:lvlJc w:val="left"/>
      <w:pPr>
        <w:ind w:left="6054" w:hanging="420"/>
      </w:pPr>
    </w:lvl>
    <w:lvl w:ilvl="8" w:tentative="0">
      <w:start w:val="1"/>
      <w:numFmt w:val="lowerRoman"/>
      <w:lvlText w:val="%9."/>
      <w:lvlJc w:val="right"/>
      <w:pPr>
        <w:ind w:left="6474" w:hanging="420"/>
      </w:pPr>
    </w:lvl>
  </w:abstractNum>
  <w:abstractNum w:abstractNumId="5">
    <w:nsid w:val="8A061630"/>
    <w:multiLevelType w:val="multilevel"/>
    <w:tmpl w:val="8A061630"/>
    <w:lvl w:ilvl="0" w:tentative="0">
      <w:start w:val="1"/>
      <w:numFmt w:val="decimal"/>
      <w:pStyle w:val="118"/>
      <w:lvlText w:val="%1"/>
      <w:lvlJc w:val="left"/>
      <w:pPr>
        <w:ind w:left="0" w:firstLine="0"/>
      </w:pPr>
      <w:rPr>
        <w:rFonts w:hint="eastAsia"/>
      </w:rPr>
    </w:lvl>
    <w:lvl w:ilvl="1" w:tentative="0">
      <w:start w:val="2"/>
      <w:numFmt w:val="decimal"/>
      <w:pStyle w:val="119"/>
      <w:isLgl/>
      <w:lvlText w:val="%1.%2"/>
      <w:lvlJc w:val="left"/>
      <w:pPr>
        <w:ind w:left="0" w:firstLine="0"/>
      </w:pPr>
      <w:rPr>
        <w:rFonts w:hint="eastAsia"/>
      </w:rPr>
    </w:lvl>
    <w:lvl w:ilvl="2" w:tentative="0">
      <w:start w:val="2"/>
      <w:numFmt w:val="decimal"/>
      <w:pStyle w:val="120"/>
      <w:isLgl/>
      <w:lvlText w:val="%1.%2.%3"/>
      <w:lvlJc w:val="left"/>
      <w:pPr>
        <w:ind w:left="0" w:firstLine="0"/>
      </w:pPr>
      <w:rPr>
        <w:rFonts w:hint="eastAsia"/>
      </w:rPr>
    </w:lvl>
    <w:lvl w:ilvl="3" w:tentative="0">
      <w:start w:val="3"/>
      <w:numFmt w:val="decimal"/>
      <w:isLgl/>
      <w:lvlText w:val="%1.%2.%3.%4"/>
      <w:lvlJc w:val="left"/>
      <w:pPr>
        <w:ind w:left="0" w:firstLine="0"/>
      </w:pPr>
      <w:rPr>
        <w:rFonts w:hint="eastAsia"/>
      </w:rPr>
    </w:lvl>
    <w:lvl w:ilvl="4" w:tentative="0">
      <w:start w:val="0"/>
      <w:numFmt w:val="decimal"/>
      <w:pStyle w:val="121"/>
      <w:isLgl/>
      <w:lvlText w:val="%1.%2.%3.%4.%5"/>
      <w:lvlJc w:val="left"/>
      <w:pPr>
        <w:ind w:left="0" w:firstLine="0"/>
      </w:pPr>
      <w:rPr>
        <w:rFonts w:hint="eastAsia" w:eastAsia="宋体"/>
        <w:b/>
        <w:i w:val="0"/>
        <w:sz w:val="24"/>
      </w:rPr>
    </w:lvl>
    <w:lvl w:ilvl="5" w:tentative="0">
      <w:start w:val="1"/>
      <w:numFmt w:val="decimal"/>
      <w:pStyle w:val="122"/>
      <w:isLgl/>
      <w:lvlText w:val="%1.%2.%3.%4.%5.%6"/>
      <w:lvlJc w:val="left"/>
      <w:pPr>
        <w:ind w:left="0" w:firstLine="0"/>
      </w:pPr>
      <w:rPr>
        <w:rFonts w:hint="eastAsia" w:ascii="宋体" w:eastAsia="宋体"/>
        <w:b/>
        <w:i w:val="0"/>
        <w:sz w:val="24"/>
      </w:rPr>
    </w:lvl>
    <w:lvl w:ilvl="6" w:tentative="0">
      <w:start w:val="0"/>
      <w:numFmt w:val="decimal"/>
      <w:pStyle w:val="123"/>
      <w:lvlText w:val=""/>
      <w:lvlJc w:val="left"/>
      <w:pPr>
        <w:ind w:left="0" w:firstLine="0"/>
      </w:pPr>
      <w:rPr>
        <w:rFonts w:hint="eastAsia"/>
      </w:rPr>
    </w:lvl>
    <w:lvl w:ilvl="7" w:tentative="0">
      <w:start w:val="0"/>
      <w:numFmt w:val="decimal"/>
      <w:pStyle w:val="124"/>
      <w:lvlText w:val=""/>
      <w:lvlJc w:val="left"/>
      <w:pPr>
        <w:ind w:left="0" w:firstLine="0"/>
      </w:pPr>
      <w:rPr>
        <w:rFonts w:hint="eastAsia"/>
      </w:rPr>
    </w:lvl>
    <w:lvl w:ilvl="8" w:tentative="0">
      <w:start w:val="0"/>
      <w:numFmt w:val="decimal"/>
      <w:pStyle w:val="125"/>
      <w:lvlText w:val=""/>
      <w:lvlJc w:val="left"/>
      <w:pPr>
        <w:ind w:left="0" w:firstLine="0"/>
      </w:pPr>
      <w:rPr>
        <w:rFonts w:hint="eastAsia"/>
      </w:rPr>
    </w:lvl>
  </w:abstractNum>
  <w:abstractNum w:abstractNumId="6">
    <w:nsid w:val="8B40482E"/>
    <w:multiLevelType w:val="multilevel"/>
    <w:tmpl w:val="8B40482E"/>
    <w:lvl w:ilvl="0" w:tentative="0">
      <w:start w:val="1"/>
      <w:numFmt w:val="chineseCountingThousand"/>
      <w:lvlText w:val="第%1节 "/>
      <w:lvlJc w:val="left"/>
      <w:pPr>
        <w:ind w:left="420" w:hanging="420"/>
      </w:pPr>
      <w:rPr>
        <w:rFonts w:hint="eastAsia"/>
        <w:b/>
        <w:bCs/>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8C03B37D"/>
    <w:multiLevelType w:val="multilevel"/>
    <w:tmpl w:val="8C03B37D"/>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E7C31880"/>
    <w:multiLevelType w:val="multilevel"/>
    <w:tmpl w:val="E7C31880"/>
    <w:lvl w:ilvl="0" w:tentative="0">
      <w:start w:val="1"/>
      <w:numFmt w:val="decimal"/>
      <w:lvlText w:val="%1."/>
      <w:lvlJc w:val="left"/>
      <w:pPr>
        <w:tabs>
          <w:tab w:val="left" w:pos="425"/>
        </w:tabs>
        <w:ind w:left="425" w:hanging="425"/>
      </w:pPr>
      <w:rPr>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F378437E"/>
    <w:multiLevelType w:val="multilevel"/>
    <w:tmpl w:val="F378437E"/>
    <w:lvl w:ilvl="0" w:tentative="0">
      <w:start w:val="1"/>
      <w:numFmt w:val="japaneseCounting"/>
      <w:suff w:val="nothing"/>
      <w:lvlText w:val="%1、"/>
      <w:lvlJc w:val="left"/>
      <w:pPr>
        <w:ind w:left="360" w:hanging="360"/>
      </w:pPr>
      <w:rPr>
        <w:rFonts w:hint="eastAsia"/>
        <w:color w:val="auto"/>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FA83D6A6"/>
    <w:multiLevelType w:val="multilevel"/>
    <w:tmpl w:val="FA83D6A6"/>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017789D5"/>
    <w:multiLevelType w:val="multilevel"/>
    <w:tmpl w:val="017789D5"/>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等线" w:hAnsi="等线" w:eastAsia="等线"/>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02C7B9E9"/>
    <w:multiLevelType w:val="multilevel"/>
    <w:tmpl w:val="02C7B9E9"/>
    <w:lvl w:ilvl="0" w:tentative="0">
      <w:start w:val="1"/>
      <w:numFmt w:val="decimal"/>
      <w:lvlText w:val="%1."/>
      <w:lvlJc w:val="left"/>
      <w:pPr>
        <w:tabs>
          <w:tab w:val="left" w:pos="425"/>
        </w:tabs>
        <w:ind w:left="425" w:hanging="425"/>
      </w:pPr>
      <w:rPr>
        <w:b w:val="0"/>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04481D36"/>
    <w:multiLevelType w:val="multilevel"/>
    <w:tmpl w:val="04481D36"/>
    <w:lvl w:ilvl="0" w:tentative="0">
      <w:start w:val="1"/>
      <w:numFmt w:val="decimal"/>
      <w:lvlText w:val="%1."/>
      <w:lvlJc w:val="left"/>
      <w:pPr>
        <w:ind w:left="1963" w:hanging="420"/>
      </w:pPr>
    </w:lvl>
    <w:lvl w:ilvl="1" w:tentative="0">
      <w:start w:val="1"/>
      <w:numFmt w:val="lowerLetter"/>
      <w:lvlText w:val="%2)"/>
      <w:lvlJc w:val="left"/>
      <w:pPr>
        <w:ind w:left="2383" w:hanging="420"/>
      </w:pPr>
    </w:lvl>
    <w:lvl w:ilvl="2" w:tentative="0">
      <w:start w:val="1"/>
      <w:numFmt w:val="lowerRoman"/>
      <w:lvlText w:val="%3."/>
      <w:lvlJc w:val="right"/>
      <w:pPr>
        <w:ind w:left="2803" w:hanging="420"/>
      </w:pPr>
    </w:lvl>
    <w:lvl w:ilvl="3" w:tentative="0">
      <w:start w:val="1"/>
      <w:numFmt w:val="decimal"/>
      <w:lvlText w:val="%4."/>
      <w:lvlJc w:val="left"/>
      <w:pPr>
        <w:ind w:left="3223" w:hanging="420"/>
      </w:pPr>
    </w:lvl>
    <w:lvl w:ilvl="4" w:tentative="0">
      <w:start w:val="1"/>
      <w:numFmt w:val="lowerLetter"/>
      <w:lvlText w:val="%5)"/>
      <w:lvlJc w:val="left"/>
      <w:pPr>
        <w:ind w:left="3643" w:hanging="420"/>
      </w:pPr>
    </w:lvl>
    <w:lvl w:ilvl="5" w:tentative="0">
      <w:start w:val="1"/>
      <w:numFmt w:val="lowerRoman"/>
      <w:lvlText w:val="%6."/>
      <w:lvlJc w:val="right"/>
      <w:pPr>
        <w:ind w:left="4063" w:hanging="420"/>
      </w:pPr>
    </w:lvl>
    <w:lvl w:ilvl="6" w:tentative="0">
      <w:start w:val="1"/>
      <w:numFmt w:val="decimal"/>
      <w:lvlText w:val="%7."/>
      <w:lvlJc w:val="left"/>
      <w:pPr>
        <w:ind w:left="4483" w:hanging="420"/>
      </w:pPr>
    </w:lvl>
    <w:lvl w:ilvl="7" w:tentative="0">
      <w:start w:val="1"/>
      <w:numFmt w:val="lowerLetter"/>
      <w:lvlText w:val="%8)"/>
      <w:lvlJc w:val="left"/>
      <w:pPr>
        <w:ind w:left="4903" w:hanging="420"/>
      </w:pPr>
    </w:lvl>
    <w:lvl w:ilvl="8" w:tentative="0">
      <w:start w:val="1"/>
      <w:numFmt w:val="lowerRoman"/>
      <w:lvlText w:val="%9."/>
      <w:lvlJc w:val="right"/>
      <w:pPr>
        <w:ind w:left="5323" w:hanging="420"/>
      </w:pPr>
    </w:lvl>
  </w:abstractNum>
  <w:abstractNum w:abstractNumId="14">
    <w:nsid w:val="050B67CA"/>
    <w:multiLevelType w:val="multilevel"/>
    <w:tmpl w:val="050B67CA"/>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5CE7B37"/>
    <w:multiLevelType w:val="multilevel"/>
    <w:tmpl w:val="05CE7B3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5DF4D32"/>
    <w:multiLevelType w:val="multilevel"/>
    <w:tmpl w:val="05DF4D32"/>
    <w:lvl w:ilvl="0" w:tentative="0">
      <w:start w:val="1"/>
      <w:numFmt w:val="decimal"/>
      <w:lvlText w:val="%1."/>
      <w:lvlJc w:val="left"/>
      <w:pPr>
        <w:ind w:left="840" w:hanging="420"/>
      </w:pPr>
      <w:rPr>
        <w:rFonts w:hint="eastAsia"/>
        <w:b/>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5ED7E17"/>
    <w:multiLevelType w:val="multilevel"/>
    <w:tmpl w:val="05ED7E17"/>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06788D79"/>
    <w:multiLevelType w:val="multilevel"/>
    <w:tmpl w:val="06788D79"/>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703E881"/>
    <w:multiLevelType w:val="multilevel"/>
    <w:tmpl w:val="0703E8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78A54D3"/>
    <w:multiLevelType w:val="multilevel"/>
    <w:tmpl w:val="078A54D3"/>
    <w:lvl w:ilvl="0" w:tentative="0">
      <w:start w:val="1"/>
      <w:numFmt w:val="decimal"/>
      <w:lvlText w:val="%1."/>
      <w:lvlJc w:val="left"/>
      <w:pPr>
        <w:ind w:left="420" w:hanging="420"/>
      </w:pPr>
      <w:rPr>
        <w:rFonts w:hint="eastAsia" w:ascii="宋体" w:hAnsi="宋体" w:eastAsia="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A1A666A"/>
    <w:multiLevelType w:val="multilevel"/>
    <w:tmpl w:val="0A1A666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A2FD347"/>
    <w:multiLevelType w:val="multilevel"/>
    <w:tmpl w:val="0A2FD347"/>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B3A67A5"/>
    <w:multiLevelType w:val="multilevel"/>
    <w:tmpl w:val="0B3A67A5"/>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4">
    <w:nsid w:val="0B9CD9B0"/>
    <w:multiLevelType w:val="multilevel"/>
    <w:tmpl w:val="0B9CD9B0"/>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D9CBADA"/>
    <w:multiLevelType w:val="multilevel"/>
    <w:tmpl w:val="0D9CBADA"/>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6">
    <w:nsid w:val="10B66534"/>
    <w:multiLevelType w:val="multilevel"/>
    <w:tmpl w:val="10B665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1384BD8"/>
    <w:multiLevelType w:val="multilevel"/>
    <w:tmpl w:val="11384BD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24BE87C"/>
    <w:multiLevelType w:val="multilevel"/>
    <w:tmpl w:val="124BE87C"/>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13381051"/>
    <w:multiLevelType w:val="multilevel"/>
    <w:tmpl w:val="1338105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3A62736"/>
    <w:multiLevelType w:val="multilevel"/>
    <w:tmpl w:val="13A62736"/>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149B7C21"/>
    <w:multiLevelType w:val="multilevel"/>
    <w:tmpl w:val="149B7C2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682DFF7"/>
    <w:multiLevelType w:val="multilevel"/>
    <w:tmpl w:val="1682DF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694AB80"/>
    <w:multiLevelType w:val="multilevel"/>
    <w:tmpl w:val="1694AB80"/>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18BEC796"/>
    <w:multiLevelType w:val="multilevel"/>
    <w:tmpl w:val="18BEC796"/>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A0E54CC"/>
    <w:multiLevelType w:val="multilevel"/>
    <w:tmpl w:val="1A0E54CC"/>
    <w:lvl w:ilvl="0" w:tentative="0">
      <w:start w:val="1"/>
      <w:numFmt w:val="chineseCountingThousand"/>
      <w:lvlText w:val="(%1)"/>
      <w:lvlJc w:val="left"/>
      <w:pPr>
        <w:ind w:left="420" w:hanging="420"/>
      </w:pPr>
      <w:rPr>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DE3047C"/>
    <w:multiLevelType w:val="multilevel"/>
    <w:tmpl w:val="1DE3047C"/>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7">
    <w:nsid w:val="249E47B6"/>
    <w:multiLevelType w:val="multilevel"/>
    <w:tmpl w:val="249E47B6"/>
    <w:lvl w:ilvl="0" w:tentative="0">
      <w:start w:val="1"/>
      <w:numFmt w:val="decimal"/>
      <w:lvlText w:val="%1."/>
      <w:lvlJc w:val="left"/>
      <w:pPr>
        <w:tabs>
          <w:tab w:val="left" w:pos="425"/>
        </w:tabs>
        <w:ind w:left="425" w:hanging="425"/>
      </w:pPr>
      <w:rPr>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8">
    <w:nsid w:val="25A97132"/>
    <w:multiLevelType w:val="multilevel"/>
    <w:tmpl w:val="25A97132"/>
    <w:lvl w:ilvl="0" w:tentative="0">
      <w:start w:val="1"/>
      <w:numFmt w:val="decimal"/>
      <w:lvlText w:val="（%1）"/>
      <w:lvlJc w:val="left"/>
      <w:pPr>
        <w:ind w:left="987" w:hanging="420"/>
      </w:pPr>
      <w:rPr>
        <w:rFonts w:hint="eastAsia"/>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6E85B1F"/>
    <w:multiLevelType w:val="multilevel"/>
    <w:tmpl w:val="26E85B1F"/>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0">
    <w:nsid w:val="2B395730"/>
    <w:multiLevelType w:val="multilevel"/>
    <w:tmpl w:val="2B395730"/>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1">
    <w:nsid w:val="2CAF8A40"/>
    <w:multiLevelType w:val="multilevel"/>
    <w:tmpl w:val="2CAF8A40"/>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2">
    <w:nsid w:val="2D97701E"/>
    <w:multiLevelType w:val="multilevel"/>
    <w:tmpl w:val="2D97701E"/>
    <w:lvl w:ilvl="0" w:tentative="0">
      <w:start w:val="1"/>
      <w:numFmt w:val="decimal"/>
      <w:lvlText w:val="%1）"/>
      <w:lvlJc w:val="left"/>
      <w:pPr>
        <w:ind w:left="927" w:hanging="360"/>
      </w:pPr>
      <w:rPr>
        <w:rFonts w:hint="default"/>
      </w:r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abstractNum w:abstractNumId="43">
    <w:nsid w:val="2E1589EB"/>
    <w:multiLevelType w:val="multilevel"/>
    <w:tmpl w:val="2E1589EB"/>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0274B6C"/>
    <w:multiLevelType w:val="multilevel"/>
    <w:tmpl w:val="30274B6C"/>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5">
    <w:nsid w:val="3465A5C2"/>
    <w:multiLevelType w:val="multilevel"/>
    <w:tmpl w:val="3465A5C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49C0831"/>
    <w:multiLevelType w:val="multilevel"/>
    <w:tmpl w:val="349C0831"/>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7">
    <w:nsid w:val="34E959C0"/>
    <w:multiLevelType w:val="multilevel"/>
    <w:tmpl w:val="34E959C0"/>
    <w:lvl w:ilvl="0" w:tentative="0">
      <w:start w:val="1"/>
      <w:numFmt w:val="decimal"/>
      <w:lvlText w:val="（%1）"/>
      <w:lvlJc w:val="left"/>
      <w:pPr>
        <w:ind w:left="840" w:hanging="420"/>
      </w:pPr>
      <w:rPr>
        <w:rFonts w:hint="default" w:asciiTheme="minorEastAsia" w:hAnsiTheme="minorEastAsia" w:eastAsiaTheme="minorEastAsia"/>
        <w:b w:val="0"/>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37A8D901"/>
    <w:multiLevelType w:val="multilevel"/>
    <w:tmpl w:val="37A8D901"/>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9">
    <w:nsid w:val="38685453"/>
    <w:multiLevelType w:val="multilevel"/>
    <w:tmpl w:val="386854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3A433C6A"/>
    <w:multiLevelType w:val="multilevel"/>
    <w:tmpl w:val="3A433C6A"/>
    <w:lvl w:ilvl="0" w:tentative="0">
      <w:start w:val="1"/>
      <w:numFmt w:val="chineseCountingThousand"/>
      <w:suff w:val="nothing"/>
      <w:lvlText w:val="%1、"/>
      <w:lvlJc w:val="left"/>
      <w:pPr>
        <w:ind w:left="720" w:hanging="720"/>
      </w:pPr>
      <w:rPr>
        <w:rFonts w:hint="eastAsia"/>
        <w:b/>
        <w:bCs/>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1">
    <w:nsid w:val="3BD50D7F"/>
    <w:multiLevelType w:val="multilevel"/>
    <w:tmpl w:val="3BD50D7F"/>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52">
    <w:nsid w:val="40E81165"/>
    <w:multiLevelType w:val="multilevel"/>
    <w:tmpl w:val="40E81165"/>
    <w:lvl w:ilvl="0" w:tentative="0">
      <w:start w:val="3"/>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53">
    <w:nsid w:val="40F23EC1"/>
    <w:multiLevelType w:val="multilevel"/>
    <w:tmpl w:val="40F23EC1"/>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42189A6B"/>
    <w:multiLevelType w:val="multilevel"/>
    <w:tmpl w:val="42189A6B"/>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4419F408"/>
    <w:multiLevelType w:val="multilevel"/>
    <w:tmpl w:val="4419F40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44B8FE17"/>
    <w:multiLevelType w:val="multilevel"/>
    <w:tmpl w:val="44B8FE17"/>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45AA5CE6"/>
    <w:multiLevelType w:val="multilevel"/>
    <w:tmpl w:val="45AA5CE6"/>
    <w:lvl w:ilvl="0" w:tentative="0">
      <w:start w:val="1"/>
      <w:numFmt w:val="chineseCountingThousand"/>
      <w:lvlText w:val="(%1)"/>
      <w:lvlJc w:val="left"/>
      <w:pPr>
        <w:ind w:left="360" w:hanging="360"/>
      </w:pPr>
      <w:rPr>
        <w:rFonts w:hint="eastAsia"/>
        <w:i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468B82D2"/>
    <w:multiLevelType w:val="multilevel"/>
    <w:tmpl w:val="468B82D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484448B2"/>
    <w:multiLevelType w:val="multilevel"/>
    <w:tmpl w:val="484448B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4A5A2233"/>
    <w:multiLevelType w:val="multilevel"/>
    <w:tmpl w:val="4A5A2233"/>
    <w:lvl w:ilvl="0" w:tentative="0">
      <w:start w:val="1"/>
      <w:numFmt w:val="decimal"/>
      <w:lvlText w:val="%1."/>
      <w:lvlJc w:val="left"/>
      <w:pPr>
        <w:ind w:left="840" w:hanging="420"/>
      </w:pPr>
      <w:rPr>
        <w:rFonts w:hint="eastAsia"/>
        <w:strike w:val="0"/>
        <w:color w:val="000000" w:themeColor="text1"/>
        <w14:textFill>
          <w14:solidFill>
            <w14:schemeClr w14:val="tx1"/>
          </w14:solidFill>
        </w14:textFill>
      </w:rPr>
    </w:lvl>
    <w:lvl w:ilvl="1" w:tentative="0">
      <w:start w:val="9"/>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4C56470A"/>
    <w:multiLevelType w:val="multilevel"/>
    <w:tmpl w:val="4C56470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53C8F9F1"/>
    <w:multiLevelType w:val="multilevel"/>
    <w:tmpl w:val="53C8F9F1"/>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5418BCF4"/>
    <w:multiLevelType w:val="multilevel"/>
    <w:tmpl w:val="5418BCF4"/>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4">
    <w:nsid w:val="5451F351"/>
    <w:multiLevelType w:val="multilevel"/>
    <w:tmpl w:val="5451F351"/>
    <w:lvl w:ilvl="0" w:tentative="0">
      <w:start w:val="1"/>
      <w:numFmt w:val="decimal"/>
      <w:lvlText w:val="%1."/>
      <w:lvlJc w:val="left"/>
      <w:pPr>
        <w:ind w:left="420" w:hanging="420"/>
      </w:pPr>
      <w:rPr>
        <w:i w:val="0"/>
        <w:iCs w:val="0"/>
        <w:shd w:val="clear" w:color="auto" w:fil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56125AC1"/>
    <w:multiLevelType w:val="multilevel"/>
    <w:tmpl w:val="56125AC1"/>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6">
    <w:nsid w:val="57CA2DF5"/>
    <w:multiLevelType w:val="multilevel"/>
    <w:tmpl w:val="57CA2DF5"/>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5AA2DD92"/>
    <w:multiLevelType w:val="multilevel"/>
    <w:tmpl w:val="5AA2DD9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5BBD7B26"/>
    <w:multiLevelType w:val="multilevel"/>
    <w:tmpl w:val="5BBD7B26"/>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5DABBF18"/>
    <w:multiLevelType w:val="multilevel"/>
    <w:tmpl w:val="5DABBF18"/>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0">
    <w:nsid w:val="5E58B55B"/>
    <w:multiLevelType w:val="multilevel"/>
    <w:tmpl w:val="5E58B55B"/>
    <w:lvl w:ilvl="0" w:tentative="0">
      <w:start w:val="1"/>
      <w:numFmt w:val="chineseCountingThousand"/>
      <w:lvlText w:val="(%1)"/>
      <w:lvlJc w:val="left"/>
      <w:pPr>
        <w:ind w:left="420" w:hanging="420"/>
      </w:pPr>
      <w:rPr>
        <w:rFonts w:asciiTheme="minorEastAsia" w:hAnsiTheme="minorEastAsia" w:eastAsiaTheme="minorEastAsia"/>
      </w:rPr>
    </w:lvl>
    <w:lvl w:ilvl="1" w:tentative="0">
      <w:start w:val="1"/>
      <w:numFmt w:val="japaneseCounting"/>
      <w:lvlText w:val="（%2）"/>
      <w:lvlJc w:val="left"/>
      <w:pPr>
        <w:ind w:left="1140" w:hanging="720"/>
      </w:pPr>
      <w:rPr>
        <w:rFonts w:hint="default"/>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5F7DFB87"/>
    <w:multiLevelType w:val="multilevel"/>
    <w:tmpl w:val="5F7DFB87"/>
    <w:lvl w:ilvl="0" w:tentative="0">
      <w:start w:val="1"/>
      <w:numFmt w:val="decimal"/>
      <w:lvlText w:val="（%1）"/>
      <w:lvlJc w:val="left"/>
      <w:pPr>
        <w:ind w:left="840" w:hanging="420"/>
      </w:pPr>
      <w:rPr>
        <w:rFonts w:hint="default"/>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60722C6C"/>
    <w:multiLevelType w:val="multilevel"/>
    <w:tmpl w:val="60722C6C"/>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3">
    <w:nsid w:val="60CF0D13"/>
    <w:multiLevelType w:val="multilevel"/>
    <w:tmpl w:val="60CF0D13"/>
    <w:lvl w:ilvl="0" w:tentative="0">
      <w:start w:val="1"/>
      <w:numFmt w:val="decimal"/>
      <w:lvlText w:val="%1."/>
      <w:lvlJc w:val="left"/>
      <w:pPr>
        <w:ind w:left="420" w:hanging="420"/>
      </w:pPr>
      <w:rPr>
        <w:rFonts w:hint="eastAsia" w:asciiTheme="majorEastAsia" w:hAnsiTheme="majorEastAsia" w:eastAsiaTheme="majorEastAsia"/>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6155FCDD"/>
    <w:multiLevelType w:val="multilevel"/>
    <w:tmpl w:val="6155FCDD"/>
    <w:lvl w:ilvl="0" w:tentative="0">
      <w:start w:val="1"/>
      <w:numFmt w:val="decimal"/>
      <w:lvlText w:val="%1."/>
      <w:lvlJc w:val="left"/>
      <w:pPr>
        <w:tabs>
          <w:tab w:val="left" w:pos="840"/>
        </w:tabs>
        <w:ind w:left="840" w:hanging="420"/>
      </w:pPr>
      <w:rPr>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5">
    <w:nsid w:val="62130A44"/>
    <w:multiLevelType w:val="multilevel"/>
    <w:tmpl w:val="62130A44"/>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6">
    <w:nsid w:val="642DBEB5"/>
    <w:multiLevelType w:val="singleLevel"/>
    <w:tmpl w:val="642DBEB5"/>
    <w:lvl w:ilvl="0" w:tentative="0">
      <w:start w:val="1"/>
      <w:numFmt w:val="japaneseCounting"/>
      <w:lvlText w:val="%1、"/>
      <w:lvlJc w:val="left"/>
      <w:pPr>
        <w:tabs>
          <w:tab w:val="left" w:pos="960"/>
        </w:tabs>
        <w:ind w:left="960" w:hanging="480"/>
      </w:pPr>
      <w:rPr>
        <w:rFonts w:hint="eastAsia"/>
        <w:color w:val="auto"/>
      </w:rPr>
    </w:lvl>
  </w:abstractNum>
  <w:abstractNum w:abstractNumId="77">
    <w:nsid w:val="64BEC039"/>
    <w:multiLevelType w:val="multilevel"/>
    <w:tmpl w:val="64BEC039"/>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64ECFBE3"/>
    <w:multiLevelType w:val="multilevel"/>
    <w:tmpl w:val="64ECFBE3"/>
    <w:lvl w:ilvl="0" w:tentative="0">
      <w:start w:val="1"/>
      <w:numFmt w:val="decimal"/>
      <w:lvlText w:val="%1."/>
      <w:lvlJc w:val="left"/>
      <w:pPr>
        <w:tabs>
          <w:tab w:val="left" w:pos="425"/>
        </w:tabs>
        <w:ind w:left="425" w:hanging="425"/>
      </w:pPr>
      <w:rPr>
        <w:rFonts w:hint="default" w:asciiTheme="minorEastAsia" w:hAnsiTheme="minorEastAsia" w:eastAsiaTheme="minorEastAsia" w:cstheme="minorEastAsia"/>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9">
    <w:nsid w:val="658E3B34"/>
    <w:multiLevelType w:val="multilevel"/>
    <w:tmpl w:val="658E3B34"/>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0">
    <w:nsid w:val="6768F3D1"/>
    <w:multiLevelType w:val="multilevel"/>
    <w:tmpl w:val="6768F3D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67F7DF05"/>
    <w:multiLevelType w:val="multilevel"/>
    <w:tmpl w:val="67F7DF05"/>
    <w:lvl w:ilvl="0" w:tentative="0">
      <w:start w:val="1"/>
      <w:numFmt w:val="decimal"/>
      <w:lvlText w:val="%1."/>
      <w:lvlJc w:val="left"/>
      <w:pPr>
        <w:ind w:left="420" w:hanging="420"/>
      </w:pPr>
      <w:rPr>
        <w:rFonts w:hint="eastAsia"/>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68AD29A1"/>
    <w:multiLevelType w:val="multilevel"/>
    <w:tmpl w:val="68AD29A1"/>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3">
    <w:nsid w:val="6A11B02E"/>
    <w:multiLevelType w:val="multilevel"/>
    <w:tmpl w:val="6A11B02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6A1D5470"/>
    <w:multiLevelType w:val="multilevel"/>
    <w:tmpl w:val="6A1D5470"/>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6C2B904A"/>
    <w:multiLevelType w:val="multilevel"/>
    <w:tmpl w:val="6C2B904A"/>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726027B5"/>
    <w:multiLevelType w:val="multilevel"/>
    <w:tmpl w:val="726027B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7362392F"/>
    <w:multiLevelType w:val="multilevel"/>
    <w:tmpl w:val="7362392F"/>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8">
    <w:nsid w:val="755C6D49"/>
    <w:multiLevelType w:val="multilevel"/>
    <w:tmpl w:val="755C6D49"/>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9">
    <w:nsid w:val="7567E573"/>
    <w:multiLevelType w:val="multilevel"/>
    <w:tmpl w:val="7567E573"/>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0">
    <w:nsid w:val="783181E5"/>
    <w:multiLevelType w:val="multilevel"/>
    <w:tmpl w:val="783181E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1">
    <w:nsid w:val="788F29E6"/>
    <w:multiLevelType w:val="multilevel"/>
    <w:tmpl w:val="788F29E6"/>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2">
    <w:nsid w:val="7A4A8218"/>
    <w:multiLevelType w:val="multilevel"/>
    <w:tmpl w:val="7A4A821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7B52279E"/>
    <w:multiLevelType w:val="multilevel"/>
    <w:tmpl w:val="7B52279E"/>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4">
    <w:nsid w:val="7C124DB0"/>
    <w:multiLevelType w:val="multilevel"/>
    <w:tmpl w:val="7C124DB0"/>
    <w:lvl w:ilvl="0" w:tentative="0">
      <w:start w:val="1"/>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7C6B59FF"/>
    <w:multiLevelType w:val="multilevel"/>
    <w:tmpl w:val="7C6B59FF"/>
    <w:lvl w:ilvl="0" w:tentative="0">
      <w:start w:val="1"/>
      <w:numFmt w:val="chineseCountingThousand"/>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6">
    <w:nsid w:val="7C7D2C48"/>
    <w:multiLevelType w:val="multilevel"/>
    <w:tmpl w:val="7C7D2C48"/>
    <w:lvl w:ilvl="0" w:tentative="0">
      <w:start w:val="1"/>
      <w:numFmt w:val="decimal"/>
      <w:lvlText w:val="%1）"/>
      <w:lvlJc w:val="left"/>
      <w:pPr>
        <w:ind w:left="927" w:hanging="360"/>
      </w:pPr>
      <w:rPr>
        <w:rFonts w:hint="default"/>
      </w:r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abstractNum w:abstractNumId="97">
    <w:nsid w:val="7E0F505E"/>
    <w:multiLevelType w:val="multilevel"/>
    <w:tmpl w:val="7E0F505E"/>
    <w:lvl w:ilvl="0" w:tentative="0">
      <w:start w:val="1"/>
      <w:numFmt w:val="decimal"/>
      <w:lvlText w:val="%1."/>
      <w:lvlJc w:val="left"/>
      <w:pPr>
        <w:tabs>
          <w:tab w:val="left" w:pos="425"/>
        </w:tabs>
        <w:ind w:left="425" w:hanging="425"/>
      </w:pPr>
      <w:rPr>
        <w:rFonts w:hint="default" w:asciiTheme="minorEastAsia" w:hAnsiTheme="minorEastAsia" w:eastAsiaTheme="minorEastAsia" w:cstheme="minorEastAsia"/>
        <w:b w:val="0"/>
        <w:color w:val="auto"/>
        <w:sz w:val="24"/>
        <w:szCs w:val="24"/>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5"/>
  </w:num>
  <w:num w:numId="2">
    <w:abstractNumId w:val="9"/>
  </w:num>
  <w:num w:numId="3">
    <w:abstractNumId w:val="50"/>
  </w:num>
  <w:num w:numId="4">
    <w:abstractNumId w:val="2"/>
  </w:num>
  <w:num w:numId="5">
    <w:abstractNumId w:val="35"/>
  </w:num>
  <w:num w:numId="6">
    <w:abstractNumId w:val="64"/>
  </w:num>
  <w:num w:numId="7">
    <w:abstractNumId w:val="0"/>
  </w:num>
  <w:num w:numId="8">
    <w:abstractNumId w:val="95"/>
  </w:num>
  <w:num w:numId="9">
    <w:abstractNumId w:val="74"/>
  </w:num>
  <w:num w:numId="10">
    <w:abstractNumId w:val="70"/>
  </w:num>
  <w:num w:numId="11">
    <w:abstractNumId w:val="12"/>
  </w:num>
  <w:num w:numId="12">
    <w:abstractNumId w:val="97"/>
  </w:num>
  <w:num w:numId="13">
    <w:abstractNumId w:val="78"/>
  </w:num>
  <w:num w:numId="14">
    <w:abstractNumId w:val="46"/>
  </w:num>
  <w:num w:numId="15">
    <w:abstractNumId w:val="87"/>
  </w:num>
  <w:num w:numId="16">
    <w:abstractNumId w:val="37"/>
  </w:num>
  <w:num w:numId="17">
    <w:abstractNumId w:val="69"/>
  </w:num>
  <w:num w:numId="18">
    <w:abstractNumId w:val="17"/>
  </w:num>
  <w:num w:numId="19">
    <w:abstractNumId w:val="39"/>
  </w:num>
  <w:num w:numId="20">
    <w:abstractNumId w:val="96"/>
  </w:num>
  <w:num w:numId="21">
    <w:abstractNumId w:val="23"/>
  </w:num>
  <w:num w:numId="22">
    <w:abstractNumId w:val="86"/>
  </w:num>
  <w:num w:numId="23">
    <w:abstractNumId w:val="57"/>
  </w:num>
  <w:num w:numId="24">
    <w:abstractNumId w:val="15"/>
  </w:num>
  <w:num w:numId="25">
    <w:abstractNumId w:val="67"/>
  </w:num>
  <w:num w:numId="26">
    <w:abstractNumId w:val="61"/>
  </w:num>
  <w:num w:numId="27">
    <w:abstractNumId w:val="45"/>
  </w:num>
  <w:num w:numId="28">
    <w:abstractNumId w:val="18"/>
  </w:num>
  <w:num w:numId="29">
    <w:abstractNumId w:val="6"/>
  </w:num>
  <w:num w:numId="30">
    <w:abstractNumId w:val="91"/>
  </w:num>
  <w:num w:numId="31">
    <w:abstractNumId w:val="58"/>
  </w:num>
  <w:num w:numId="32">
    <w:abstractNumId w:val="44"/>
  </w:num>
  <w:num w:numId="33">
    <w:abstractNumId w:val="13"/>
  </w:num>
  <w:num w:numId="34">
    <w:abstractNumId w:val="55"/>
  </w:num>
  <w:num w:numId="35">
    <w:abstractNumId w:val="56"/>
  </w:num>
  <w:num w:numId="36">
    <w:abstractNumId w:val="92"/>
  </w:num>
  <w:num w:numId="37">
    <w:abstractNumId w:val="29"/>
  </w:num>
  <w:num w:numId="38">
    <w:abstractNumId w:val="31"/>
  </w:num>
  <w:num w:numId="39">
    <w:abstractNumId w:val="68"/>
  </w:num>
  <w:num w:numId="40">
    <w:abstractNumId w:val="62"/>
  </w:num>
  <w:num w:numId="41">
    <w:abstractNumId w:val="38"/>
  </w:num>
  <w:num w:numId="42">
    <w:abstractNumId w:val="4"/>
  </w:num>
  <w:num w:numId="43">
    <w:abstractNumId w:val="82"/>
  </w:num>
  <w:num w:numId="44">
    <w:abstractNumId w:val="28"/>
  </w:num>
  <w:num w:numId="45">
    <w:abstractNumId w:val="65"/>
  </w:num>
  <w:num w:numId="46">
    <w:abstractNumId w:val="75"/>
  </w:num>
  <w:num w:numId="47">
    <w:abstractNumId w:val="54"/>
  </w:num>
  <w:num w:numId="48">
    <w:abstractNumId w:val="40"/>
  </w:num>
  <w:num w:numId="49">
    <w:abstractNumId w:val="93"/>
  </w:num>
  <w:num w:numId="50">
    <w:abstractNumId w:val="1"/>
  </w:num>
  <w:num w:numId="51">
    <w:abstractNumId w:val="94"/>
  </w:num>
  <w:num w:numId="52">
    <w:abstractNumId w:val="71"/>
  </w:num>
  <w:num w:numId="53">
    <w:abstractNumId w:val="77"/>
  </w:num>
  <w:num w:numId="54">
    <w:abstractNumId w:val="47"/>
  </w:num>
  <w:num w:numId="55">
    <w:abstractNumId w:val="24"/>
  </w:num>
  <w:num w:numId="56">
    <w:abstractNumId w:val="84"/>
  </w:num>
  <w:num w:numId="57">
    <w:abstractNumId w:val="14"/>
  </w:num>
  <w:num w:numId="58">
    <w:abstractNumId w:val="16"/>
  </w:num>
  <w:num w:numId="59">
    <w:abstractNumId w:val="60"/>
  </w:num>
  <w:num w:numId="60">
    <w:abstractNumId w:val="20"/>
  </w:num>
  <w:num w:numId="61">
    <w:abstractNumId w:val="89"/>
  </w:num>
  <w:num w:numId="62">
    <w:abstractNumId w:val="83"/>
  </w:num>
  <w:num w:numId="63">
    <w:abstractNumId w:val="43"/>
  </w:num>
  <w:num w:numId="64">
    <w:abstractNumId w:val="76"/>
  </w:num>
  <w:num w:numId="65">
    <w:abstractNumId w:val="79"/>
  </w:num>
  <w:num w:numId="66">
    <w:abstractNumId w:val="10"/>
  </w:num>
  <w:num w:numId="67">
    <w:abstractNumId w:val="25"/>
  </w:num>
  <w:num w:numId="68">
    <w:abstractNumId w:val="42"/>
  </w:num>
  <w:num w:numId="69">
    <w:abstractNumId w:val="59"/>
  </w:num>
  <w:num w:numId="70">
    <w:abstractNumId w:val="88"/>
  </w:num>
  <w:num w:numId="71">
    <w:abstractNumId w:val="8"/>
  </w:num>
  <w:num w:numId="72">
    <w:abstractNumId w:val="36"/>
  </w:num>
  <w:num w:numId="73">
    <w:abstractNumId w:val="7"/>
  </w:num>
  <w:num w:numId="74">
    <w:abstractNumId w:val="72"/>
  </w:num>
  <w:num w:numId="75">
    <w:abstractNumId w:val="27"/>
  </w:num>
  <w:num w:numId="76">
    <w:abstractNumId w:val="81"/>
  </w:num>
  <w:num w:numId="77">
    <w:abstractNumId w:val="80"/>
  </w:num>
  <w:num w:numId="78">
    <w:abstractNumId w:val="41"/>
  </w:num>
  <w:num w:numId="79">
    <w:abstractNumId w:val="32"/>
  </w:num>
  <w:num w:numId="80">
    <w:abstractNumId w:val="51"/>
  </w:num>
  <w:num w:numId="81">
    <w:abstractNumId w:val="63"/>
  </w:num>
  <w:num w:numId="82">
    <w:abstractNumId w:val="34"/>
  </w:num>
  <w:num w:numId="83">
    <w:abstractNumId w:val="73"/>
  </w:num>
  <w:num w:numId="84">
    <w:abstractNumId w:val="11"/>
  </w:num>
  <w:num w:numId="85">
    <w:abstractNumId w:val="48"/>
  </w:num>
  <w:num w:numId="86">
    <w:abstractNumId w:val="90"/>
  </w:num>
  <w:num w:numId="87">
    <w:abstractNumId w:val="26"/>
  </w:num>
  <w:num w:numId="88">
    <w:abstractNumId w:val="19"/>
  </w:num>
  <w:num w:numId="89">
    <w:abstractNumId w:val="30"/>
  </w:num>
  <w:num w:numId="90">
    <w:abstractNumId w:val="52"/>
  </w:num>
  <w:num w:numId="91">
    <w:abstractNumId w:val="3"/>
  </w:num>
  <w:num w:numId="92">
    <w:abstractNumId w:val="33"/>
  </w:num>
  <w:num w:numId="93">
    <w:abstractNumId w:val="66"/>
  </w:num>
  <w:num w:numId="94">
    <w:abstractNumId w:val="21"/>
  </w:num>
  <w:num w:numId="95">
    <w:abstractNumId w:val="85"/>
  </w:num>
  <w:num w:numId="96">
    <w:abstractNumId w:val="49"/>
  </w:num>
  <w:num w:numId="97">
    <w:abstractNumId w:val="53"/>
  </w:num>
  <w:num w:numId="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210"/>
  <w:drawingGridHorizontalSpacing w:val="10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NzQ4YzBlNGRhMjY2ZDVhMWU0ZmU0ZWNiMjQ5NTcifQ=="/>
  </w:docVars>
  <w:rsids>
    <w:rsidRoot w:val="0092721E"/>
    <w:rsid w:val="00001700"/>
    <w:rsid w:val="0000174F"/>
    <w:rsid w:val="00001E13"/>
    <w:rsid w:val="00002DDA"/>
    <w:rsid w:val="00002EB2"/>
    <w:rsid w:val="00002F3F"/>
    <w:rsid w:val="000036D2"/>
    <w:rsid w:val="000063B9"/>
    <w:rsid w:val="0000783A"/>
    <w:rsid w:val="00010219"/>
    <w:rsid w:val="000102E1"/>
    <w:rsid w:val="00011524"/>
    <w:rsid w:val="0001184C"/>
    <w:rsid w:val="000125CC"/>
    <w:rsid w:val="000127B8"/>
    <w:rsid w:val="00012F12"/>
    <w:rsid w:val="00014537"/>
    <w:rsid w:val="00014CAB"/>
    <w:rsid w:val="00014ED1"/>
    <w:rsid w:val="00014FE5"/>
    <w:rsid w:val="00015701"/>
    <w:rsid w:val="00015E28"/>
    <w:rsid w:val="0002040E"/>
    <w:rsid w:val="00020619"/>
    <w:rsid w:val="00021301"/>
    <w:rsid w:val="0002140F"/>
    <w:rsid w:val="00021B31"/>
    <w:rsid w:val="00022687"/>
    <w:rsid w:val="00024AF4"/>
    <w:rsid w:val="0002510B"/>
    <w:rsid w:val="0002533E"/>
    <w:rsid w:val="00026703"/>
    <w:rsid w:val="00026C7E"/>
    <w:rsid w:val="00027156"/>
    <w:rsid w:val="0002786C"/>
    <w:rsid w:val="00027922"/>
    <w:rsid w:val="00027DF6"/>
    <w:rsid w:val="00027E85"/>
    <w:rsid w:val="00031395"/>
    <w:rsid w:val="0003204C"/>
    <w:rsid w:val="00033097"/>
    <w:rsid w:val="0003354A"/>
    <w:rsid w:val="000358D2"/>
    <w:rsid w:val="0003598F"/>
    <w:rsid w:val="000368BE"/>
    <w:rsid w:val="0003706F"/>
    <w:rsid w:val="00037154"/>
    <w:rsid w:val="0003727A"/>
    <w:rsid w:val="000408FE"/>
    <w:rsid w:val="00041467"/>
    <w:rsid w:val="0004165B"/>
    <w:rsid w:val="00041A9E"/>
    <w:rsid w:val="00042228"/>
    <w:rsid w:val="00042776"/>
    <w:rsid w:val="00042B40"/>
    <w:rsid w:val="00042CF9"/>
    <w:rsid w:val="000432B2"/>
    <w:rsid w:val="000437EE"/>
    <w:rsid w:val="00043C94"/>
    <w:rsid w:val="00044B13"/>
    <w:rsid w:val="00044EA3"/>
    <w:rsid w:val="00045787"/>
    <w:rsid w:val="00047C41"/>
    <w:rsid w:val="00047DD2"/>
    <w:rsid w:val="00050712"/>
    <w:rsid w:val="000517C7"/>
    <w:rsid w:val="00051B2A"/>
    <w:rsid w:val="00052F73"/>
    <w:rsid w:val="00054202"/>
    <w:rsid w:val="00055068"/>
    <w:rsid w:val="00055562"/>
    <w:rsid w:val="000560B1"/>
    <w:rsid w:val="000563E8"/>
    <w:rsid w:val="00056807"/>
    <w:rsid w:val="00060716"/>
    <w:rsid w:val="000608FC"/>
    <w:rsid w:val="00061A6B"/>
    <w:rsid w:val="00062141"/>
    <w:rsid w:val="000624EC"/>
    <w:rsid w:val="0006314C"/>
    <w:rsid w:val="000639E6"/>
    <w:rsid w:val="00063A84"/>
    <w:rsid w:val="00063D2C"/>
    <w:rsid w:val="000640EF"/>
    <w:rsid w:val="000643AF"/>
    <w:rsid w:val="00065B16"/>
    <w:rsid w:val="000667C3"/>
    <w:rsid w:val="00066989"/>
    <w:rsid w:val="00066991"/>
    <w:rsid w:val="0007035F"/>
    <w:rsid w:val="00070599"/>
    <w:rsid w:val="00070936"/>
    <w:rsid w:val="000716FC"/>
    <w:rsid w:val="0007226C"/>
    <w:rsid w:val="00072CBE"/>
    <w:rsid w:val="0007351B"/>
    <w:rsid w:val="00073764"/>
    <w:rsid w:val="000753EF"/>
    <w:rsid w:val="00075810"/>
    <w:rsid w:val="00077CB8"/>
    <w:rsid w:val="00077DEC"/>
    <w:rsid w:val="00080033"/>
    <w:rsid w:val="00080437"/>
    <w:rsid w:val="00080811"/>
    <w:rsid w:val="000808FD"/>
    <w:rsid w:val="000811ED"/>
    <w:rsid w:val="00081210"/>
    <w:rsid w:val="00081422"/>
    <w:rsid w:val="000825BB"/>
    <w:rsid w:val="00082ABE"/>
    <w:rsid w:val="00083B4B"/>
    <w:rsid w:val="00083F9B"/>
    <w:rsid w:val="000840F1"/>
    <w:rsid w:val="00084BCA"/>
    <w:rsid w:val="00085AED"/>
    <w:rsid w:val="00085E00"/>
    <w:rsid w:val="000860F1"/>
    <w:rsid w:val="00086188"/>
    <w:rsid w:val="00086444"/>
    <w:rsid w:val="000864EA"/>
    <w:rsid w:val="0008669A"/>
    <w:rsid w:val="000870C0"/>
    <w:rsid w:val="000902F5"/>
    <w:rsid w:val="000904F8"/>
    <w:rsid w:val="00090743"/>
    <w:rsid w:val="00090B4C"/>
    <w:rsid w:val="0009106B"/>
    <w:rsid w:val="0009174E"/>
    <w:rsid w:val="000919CB"/>
    <w:rsid w:val="00091C48"/>
    <w:rsid w:val="000922CA"/>
    <w:rsid w:val="00094148"/>
    <w:rsid w:val="000949EA"/>
    <w:rsid w:val="00095259"/>
    <w:rsid w:val="000962C9"/>
    <w:rsid w:val="00096BE0"/>
    <w:rsid w:val="00096DF6"/>
    <w:rsid w:val="0009795D"/>
    <w:rsid w:val="00097ADB"/>
    <w:rsid w:val="000A2225"/>
    <w:rsid w:val="000A36D5"/>
    <w:rsid w:val="000A458C"/>
    <w:rsid w:val="000A5671"/>
    <w:rsid w:val="000A6135"/>
    <w:rsid w:val="000A6B0E"/>
    <w:rsid w:val="000A6DCA"/>
    <w:rsid w:val="000A6DE6"/>
    <w:rsid w:val="000A7023"/>
    <w:rsid w:val="000A73A7"/>
    <w:rsid w:val="000A7679"/>
    <w:rsid w:val="000A7D72"/>
    <w:rsid w:val="000A7EA3"/>
    <w:rsid w:val="000B090B"/>
    <w:rsid w:val="000B0A3F"/>
    <w:rsid w:val="000B14EF"/>
    <w:rsid w:val="000B18B5"/>
    <w:rsid w:val="000B19DF"/>
    <w:rsid w:val="000B2403"/>
    <w:rsid w:val="000B2EDA"/>
    <w:rsid w:val="000B3D27"/>
    <w:rsid w:val="000B4393"/>
    <w:rsid w:val="000B49C9"/>
    <w:rsid w:val="000B593C"/>
    <w:rsid w:val="000B6B49"/>
    <w:rsid w:val="000B6C51"/>
    <w:rsid w:val="000B750C"/>
    <w:rsid w:val="000C0AE8"/>
    <w:rsid w:val="000C1577"/>
    <w:rsid w:val="000C173A"/>
    <w:rsid w:val="000C1964"/>
    <w:rsid w:val="000C24EB"/>
    <w:rsid w:val="000C36D0"/>
    <w:rsid w:val="000C3C6A"/>
    <w:rsid w:val="000C4394"/>
    <w:rsid w:val="000C4802"/>
    <w:rsid w:val="000C4C41"/>
    <w:rsid w:val="000C4C5F"/>
    <w:rsid w:val="000C5139"/>
    <w:rsid w:val="000C5DA9"/>
    <w:rsid w:val="000C5FBD"/>
    <w:rsid w:val="000C6345"/>
    <w:rsid w:val="000C776A"/>
    <w:rsid w:val="000D0061"/>
    <w:rsid w:val="000D0EC5"/>
    <w:rsid w:val="000D0FD6"/>
    <w:rsid w:val="000D161C"/>
    <w:rsid w:val="000D284F"/>
    <w:rsid w:val="000D32D1"/>
    <w:rsid w:val="000D33E8"/>
    <w:rsid w:val="000D3926"/>
    <w:rsid w:val="000D4CCE"/>
    <w:rsid w:val="000D4DC8"/>
    <w:rsid w:val="000D56F8"/>
    <w:rsid w:val="000D5839"/>
    <w:rsid w:val="000D5B96"/>
    <w:rsid w:val="000D6897"/>
    <w:rsid w:val="000D73C5"/>
    <w:rsid w:val="000E11BD"/>
    <w:rsid w:val="000E171F"/>
    <w:rsid w:val="000E1F04"/>
    <w:rsid w:val="000E249E"/>
    <w:rsid w:val="000E24B5"/>
    <w:rsid w:val="000E2D39"/>
    <w:rsid w:val="000E35B4"/>
    <w:rsid w:val="000E3DB8"/>
    <w:rsid w:val="000E4062"/>
    <w:rsid w:val="000E42BB"/>
    <w:rsid w:val="000E511A"/>
    <w:rsid w:val="000E6573"/>
    <w:rsid w:val="000E67A0"/>
    <w:rsid w:val="000E69D6"/>
    <w:rsid w:val="000E7356"/>
    <w:rsid w:val="000E735D"/>
    <w:rsid w:val="000E7D0F"/>
    <w:rsid w:val="000F018F"/>
    <w:rsid w:val="000F02AD"/>
    <w:rsid w:val="000F0687"/>
    <w:rsid w:val="000F1F1D"/>
    <w:rsid w:val="000F2249"/>
    <w:rsid w:val="000F2ADE"/>
    <w:rsid w:val="000F35F1"/>
    <w:rsid w:val="000F3AF8"/>
    <w:rsid w:val="000F425B"/>
    <w:rsid w:val="000F4855"/>
    <w:rsid w:val="000F5A4E"/>
    <w:rsid w:val="000F5D87"/>
    <w:rsid w:val="000F654C"/>
    <w:rsid w:val="000F678B"/>
    <w:rsid w:val="000F6C07"/>
    <w:rsid w:val="000F7245"/>
    <w:rsid w:val="000F755F"/>
    <w:rsid w:val="000F7EE4"/>
    <w:rsid w:val="001014E7"/>
    <w:rsid w:val="001015B6"/>
    <w:rsid w:val="00102296"/>
    <w:rsid w:val="0010245B"/>
    <w:rsid w:val="00102A59"/>
    <w:rsid w:val="00103B70"/>
    <w:rsid w:val="00103DFD"/>
    <w:rsid w:val="001040DC"/>
    <w:rsid w:val="0010433C"/>
    <w:rsid w:val="00104A89"/>
    <w:rsid w:val="001050B4"/>
    <w:rsid w:val="00105F2B"/>
    <w:rsid w:val="0010648E"/>
    <w:rsid w:val="001064CF"/>
    <w:rsid w:val="001066F5"/>
    <w:rsid w:val="00106C14"/>
    <w:rsid w:val="00107E28"/>
    <w:rsid w:val="001101AB"/>
    <w:rsid w:val="00110576"/>
    <w:rsid w:val="00111421"/>
    <w:rsid w:val="001119BE"/>
    <w:rsid w:val="00111F67"/>
    <w:rsid w:val="00111F6B"/>
    <w:rsid w:val="001121F9"/>
    <w:rsid w:val="00113228"/>
    <w:rsid w:val="00113C29"/>
    <w:rsid w:val="00114D0E"/>
    <w:rsid w:val="00115409"/>
    <w:rsid w:val="00115BE4"/>
    <w:rsid w:val="0011699E"/>
    <w:rsid w:val="001175BA"/>
    <w:rsid w:val="001177C7"/>
    <w:rsid w:val="00117E66"/>
    <w:rsid w:val="00117F58"/>
    <w:rsid w:val="00120261"/>
    <w:rsid w:val="00120B88"/>
    <w:rsid w:val="0012114F"/>
    <w:rsid w:val="00121368"/>
    <w:rsid w:val="0012262F"/>
    <w:rsid w:val="00122B16"/>
    <w:rsid w:val="001248D8"/>
    <w:rsid w:val="00125307"/>
    <w:rsid w:val="00125D38"/>
    <w:rsid w:val="00125DB5"/>
    <w:rsid w:val="00127014"/>
    <w:rsid w:val="0012713F"/>
    <w:rsid w:val="00127DE2"/>
    <w:rsid w:val="0013040F"/>
    <w:rsid w:val="0013172A"/>
    <w:rsid w:val="00131A3D"/>
    <w:rsid w:val="00131C37"/>
    <w:rsid w:val="00131F63"/>
    <w:rsid w:val="0013238D"/>
    <w:rsid w:val="00132E82"/>
    <w:rsid w:val="00133165"/>
    <w:rsid w:val="00133659"/>
    <w:rsid w:val="001340D0"/>
    <w:rsid w:val="0013496E"/>
    <w:rsid w:val="00135D41"/>
    <w:rsid w:val="001362D8"/>
    <w:rsid w:val="001372EC"/>
    <w:rsid w:val="0013792D"/>
    <w:rsid w:val="0014073C"/>
    <w:rsid w:val="001408BB"/>
    <w:rsid w:val="00140C8C"/>
    <w:rsid w:val="00140E82"/>
    <w:rsid w:val="001411FA"/>
    <w:rsid w:val="00141E72"/>
    <w:rsid w:val="001423D2"/>
    <w:rsid w:val="00142487"/>
    <w:rsid w:val="001434A5"/>
    <w:rsid w:val="00143653"/>
    <w:rsid w:val="00143702"/>
    <w:rsid w:val="00144E50"/>
    <w:rsid w:val="00145CFE"/>
    <w:rsid w:val="00150F21"/>
    <w:rsid w:val="001525CE"/>
    <w:rsid w:val="00153301"/>
    <w:rsid w:val="001537B6"/>
    <w:rsid w:val="00153B9E"/>
    <w:rsid w:val="00154745"/>
    <w:rsid w:val="00154E66"/>
    <w:rsid w:val="00155CDD"/>
    <w:rsid w:val="001560D9"/>
    <w:rsid w:val="0015649D"/>
    <w:rsid w:val="0015670F"/>
    <w:rsid w:val="001568D1"/>
    <w:rsid w:val="00156E42"/>
    <w:rsid w:val="00157803"/>
    <w:rsid w:val="00157AF3"/>
    <w:rsid w:val="00160379"/>
    <w:rsid w:val="00161C54"/>
    <w:rsid w:val="00162F5B"/>
    <w:rsid w:val="001632B3"/>
    <w:rsid w:val="001637D4"/>
    <w:rsid w:val="00163C81"/>
    <w:rsid w:val="00163DEF"/>
    <w:rsid w:val="00163EE2"/>
    <w:rsid w:val="00163F3B"/>
    <w:rsid w:val="00164514"/>
    <w:rsid w:val="001646E1"/>
    <w:rsid w:val="001650A0"/>
    <w:rsid w:val="001654F7"/>
    <w:rsid w:val="00165B28"/>
    <w:rsid w:val="00165D0F"/>
    <w:rsid w:val="00165D6A"/>
    <w:rsid w:val="00166DFF"/>
    <w:rsid w:val="001671D3"/>
    <w:rsid w:val="00167206"/>
    <w:rsid w:val="00167B4A"/>
    <w:rsid w:val="00167C48"/>
    <w:rsid w:val="00170D22"/>
    <w:rsid w:val="00171AF0"/>
    <w:rsid w:val="00171D72"/>
    <w:rsid w:val="00172213"/>
    <w:rsid w:val="0017265A"/>
    <w:rsid w:val="00173A0E"/>
    <w:rsid w:val="00174167"/>
    <w:rsid w:val="001754F2"/>
    <w:rsid w:val="0017564B"/>
    <w:rsid w:val="00175ACF"/>
    <w:rsid w:val="00180948"/>
    <w:rsid w:val="00180FFD"/>
    <w:rsid w:val="00181061"/>
    <w:rsid w:val="001836B6"/>
    <w:rsid w:val="00183CE3"/>
    <w:rsid w:val="00184A8B"/>
    <w:rsid w:val="00186C6A"/>
    <w:rsid w:val="0019030F"/>
    <w:rsid w:val="001909F4"/>
    <w:rsid w:val="00190B48"/>
    <w:rsid w:val="00191023"/>
    <w:rsid w:val="001918C9"/>
    <w:rsid w:val="00194652"/>
    <w:rsid w:val="0019489D"/>
    <w:rsid w:val="00194ABE"/>
    <w:rsid w:val="00194D3F"/>
    <w:rsid w:val="00195CA6"/>
    <w:rsid w:val="00195DF5"/>
    <w:rsid w:val="0019614A"/>
    <w:rsid w:val="001962BE"/>
    <w:rsid w:val="001962FE"/>
    <w:rsid w:val="00196300"/>
    <w:rsid w:val="00196FAD"/>
    <w:rsid w:val="001A0525"/>
    <w:rsid w:val="001A1083"/>
    <w:rsid w:val="001A1363"/>
    <w:rsid w:val="001A1675"/>
    <w:rsid w:val="001A16E8"/>
    <w:rsid w:val="001A16FB"/>
    <w:rsid w:val="001A185F"/>
    <w:rsid w:val="001A1BCD"/>
    <w:rsid w:val="001A1DD8"/>
    <w:rsid w:val="001A2CB3"/>
    <w:rsid w:val="001A30E4"/>
    <w:rsid w:val="001A3760"/>
    <w:rsid w:val="001A580A"/>
    <w:rsid w:val="001A611C"/>
    <w:rsid w:val="001A616C"/>
    <w:rsid w:val="001A6511"/>
    <w:rsid w:val="001A7884"/>
    <w:rsid w:val="001A7C1E"/>
    <w:rsid w:val="001A7EE5"/>
    <w:rsid w:val="001B047E"/>
    <w:rsid w:val="001B0B4C"/>
    <w:rsid w:val="001B0E95"/>
    <w:rsid w:val="001B0FE1"/>
    <w:rsid w:val="001B127F"/>
    <w:rsid w:val="001B148E"/>
    <w:rsid w:val="001B2082"/>
    <w:rsid w:val="001B335C"/>
    <w:rsid w:val="001B3A69"/>
    <w:rsid w:val="001B4169"/>
    <w:rsid w:val="001B4C3B"/>
    <w:rsid w:val="001B4E91"/>
    <w:rsid w:val="001B4EF0"/>
    <w:rsid w:val="001B4F9A"/>
    <w:rsid w:val="001B5A13"/>
    <w:rsid w:val="001B5E1E"/>
    <w:rsid w:val="001B60F2"/>
    <w:rsid w:val="001B6492"/>
    <w:rsid w:val="001B6E94"/>
    <w:rsid w:val="001B7513"/>
    <w:rsid w:val="001C0972"/>
    <w:rsid w:val="001C0DF0"/>
    <w:rsid w:val="001C203D"/>
    <w:rsid w:val="001C2163"/>
    <w:rsid w:val="001C28BC"/>
    <w:rsid w:val="001C301E"/>
    <w:rsid w:val="001C3B02"/>
    <w:rsid w:val="001C3EF9"/>
    <w:rsid w:val="001C4479"/>
    <w:rsid w:val="001C510A"/>
    <w:rsid w:val="001C5BBC"/>
    <w:rsid w:val="001C5C19"/>
    <w:rsid w:val="001C615C"/>
    <w:rsid w:val="001C6414"/>
    <w:rsid w:val="001C69B0"/>
    <w:rsid w:val="001D016B"/>
    <w:rsid w:val="001D01D4"/>
    <w:rsid w:val="001D0AA3"/>
    <w:rsid w:val="001D1739"/>
    <w:rsid w:val="001D17E8"/>
    <w:rsid w:val="001D1DCB"/>
    <w:rsid w:val="001D2272"/>
    <w:rsid w:val="001D2678"/>
    <w:rsid w:val="001D29E6"/>
    <w:rsid w:val="001D3002"/>
    <w:rsid w:val="001D329E"/>
    <w:rsid w:val="001D4040"/>
    <w:rsid w:val="001D438B"/>
    <w:rsid w:val="001D5BF9"/>
    <w:rsid w:val="001D672C"/>
    <w:rsid w:val="001D6AE5"/>
    <w:rsid w:val="001E00E8"/>
    <w:rsid w:val="001E1547"/>
    <w:rsid w:val="001E1909"/>
    <w:rsid w:val="001E1C69"/>
    <w:rsid w:val="001E265C"/>
    <w:rsid w:val="001E2A2E"/>
    <w:rsid w:val="001E3BA2"/>
    <w:rsid w:val="001E3F6E"/>
    <w:rsid w:val="001E442D"/>
    <w:rsid w:val="001E4AC1"/>
    <w:rsid w:val="001E5601"/>
    <w:rsid w:val="001E5677"/>
    <w:rsid w:val="001E5BF2"/>
    <w:rsid w:val="001E610A"/>
    <w:rsid w:val="001E6F64"/>
    <w:rsid w:val="001E7793"/>
    <w:rsid w:val="001F00DF"/>
    <w:rsid w:val="001F00F1"/>
    <w:rsid w:val="001F0EFC"/>
    <w:rsid w:val="001F12B8"/>
    <w:rsid w:val="001F1D05"/>
    <w:rsid w:val="001F1F84"/>
    <w:rsid w:val="001F2158"/>
    <w:rsid w:val="001F27B6"/>
    <w:rsid w:val="001F29C9"/>
    <w:rsid w:val="001F29CC"/>
    <w:rsid w:val="001F2C42"/>
    <w:rsid w:val="001F2FE6"/>
    <w:rsid w:val="001F3AFD"/>
    <w:rsid w:val="001F448C"/>
    <w:rsid w:val="001F5382"/>
    <w:rsid w:val="001F5705"/>
    <w:rsid w:val="001F60BA"/>
    <w:rsid w:val="001F7923"/>
    <w:rsid w:val="002006E1"/>
    <w:rsid w:val="00200A85"/>
    <w:rsid w:val="00201D27"/>
    <w:rsid w:val="00202E65"/>
    <w:rsid w:val="002030CC"/>
    <w:rsid w:val="00204383"/>
    <w:rsid w:val="00204F6C"/>
    <w:rsid w:val="002050AC"/>
    <w:rsid w:val="0020562F"/>
    <w:rsid w:val="002061F6"/>
    <w:rsid w:val="00206A3C"/>
    <w:rsid w:val="00210332"/>
    <w:rsid w:val="00211293"/>
    <w:rsid w:val="00212191"/>
    <w:rsid w:val="00212A15"/>
    <w:rsid w:val="00212D60"/>
    <w:rsid w:val="00212EAC"/>
    <w:rsid w:val="00212F40"/>
    <w:rsid w:val="00213379"/>
    <w:rsid w:val="00213AA2"/>
    <w:rsid w:val="00213CAA"/>
    <w:rsid w:val="00213E36"/>
    <w:rsid w:val="002144CE"/>
    <w:rsid w:val="00214867"/>
    <w:rsid w:val="00214A86"/>
    <w:rsid w:val="0021575E"/>
    <w:rsid w:val="002168C1"/>
    <w:rsid w:val="00216C00"/>
    <w:rsid w:val="00216F05"/>
    <w:rsid w:val="00216FE4"/>
    <w:rsid w:val="002173FA"/>
    <w:rsid w:val="00217995"/>
    <w:rsid w:val="00220D0A"/>
    <w:rsid w:val="00220E81"/>
    <w:rsid w:val="00221259"/>
    <w:rsid w:val="0022189B"/>
    <w:rsid w:val="00221AF3"/>
    <w:rsid w:val="00222142"/>
    <w:rsid w:val="00222C5C"/>
    <w:rsid w:val="00223671"/>
    <w:rsid w:val="0022377B"/>
    <w:rsid w:val="002248E8"/>
    <w:rsid w:val="00224A08"/>
    <w:rsid w:val="00224BC8"/>
    <w:rsid w:val="00224EAD"/>
    <w:rsid w:val="00224ED6"/>
    <w:rsid w:val="00225083"/>
    <w:rsid w:val="002274EB"/>
    <w:rsid w:val="00227D5B"/>
    <w:rsid w:val="00231903"/>
    <w:rsid w:val="002323C3"/>
    <w:rsid w:val="00234822"/>
    <w:rsid w:val="00235033"/>
    <w:rsid w:val="0023520A"/>
    <w:rsid w:val="0023558A"/>
    <w:rsid w:val="0023573E"/>
    <w:rsid w:val="00236502"/>
    <w:rsid w:val="002368B9"/>
    <w:rsid w:val="002369B8"/>
    <w:rsid w:val="00236E75"/>
    <w:rsid w:val="002379D4"/>
    <w:rsid w:val="00240703"/>
    <w:rsid w:val="00240A0F"/>
    <w:rsid w:val="00241A10"/>
    <w:rsid w:val="00242ACB"/>
    <w:rsid w:val="002434DD"/>
    <w:rsid w:val="00243BF0"/>
    <w:rsid w:val="00244536"/>
    <w:rsid w:val="00245D64"/>
    <w:rsid w:val="00247435"/>
    <w:rsid w:val="00247EE9"/>
    <w:rsid w:val="002501A1"/>
    <w:rsid w:val="00251909"/>
    <w:rsid w:val="00251E25"/>
    <w:rsid w:val="0025208A"/>
    <w:rsid w:val="00252759"/>
    <w:rsid w:val="002529EB"/>
    <w:rsid w:val="00253493"/>
    <w:rsid w:val="002536D8"/>
    <w:rsid w:val="00254D73"/>
    <w:rsid w:val="002552AB"/>
    <w:rsid w:val="002558EC"/>
    <w:rsid w:val="00255BD0"/>
    <w:rsid w:val="0025664A"/>
    <w:rsid w:val="00256E16"/>
    <w:rsid w:val="00257677"/>
    <w:rsid w:val="0026039F"/>
    <w:rsid w:val="002609A1"/>
    <w:rsid w:val="002615ED"/>
    <w:rsid w:val="00262D8B"/>
    <w:rsid w:val="00263209"/>
    <w:rsid w:val="002640A6"/>
    <w:rsid w:val="00264597"/>
    <w:rsid w:val="00264BAA"/>
    <w:rsid w:val="00264C06"/>
    <w:rsid w:val="002660D1"/>
    <w:rsid w:val="0026642C"/>
    <w:rsid w:val="002674D2"/>
    <w:rsid w:val="002704F2"/>
    <w:rsid w:val="00272BF6"/>
    <w:rsid w:val="00272E66"/>
    <w:rsid w:val="0027428C"/>
    <w:rsid w:val="00274D35"/>
    <w:rsid w:val="0027543D"/>
    <w:rsid w:val="002754CC"/>
    <w:rsid w:val="00275E64"/>
    <w:rsid w:val="0027647C"/>
    <w:rsid w:val="002765BC"/>
    <w:rsid w:val="00276D7F"/>
    <w:rsid w:val="002776B2"/>
    <w:rsid w:val="00280001"/>
    <w:rsid w:val="002803EF"/>
    <w:rsid w:val="002804D6"/>
    <w:rsid w:val="00280823"/>
    <w:rsid w:val="00282592"/>
    <w:rsid w:val="0028260A"/>
    <w:rsid w:val="00282EA0"/>
    <w:rsid w:val="0028361C"/>
    <w:rsid w:val="0028405F"/>
    <w:rsid w:val="002841E9"/>
    <w:rsid w:val="0028452A"/>
    <w:rsid w:val="00284602"/>
    <w:rsid w:val="00284DAE"/>
    <w:rsid w:val="002853FF"/>
    <w:rsid w:val="00285C84"/>
    <w:rsid w:val="002861D1"/>
    <w:rsid w:val="00286614"/>
    <w:rsid w:val="00286A79"/>
    <w:rsid w:val="00287447"/>
    <w:rsid w:val="00290091"/>
    <w:rsid w:val="0029015C"/>
    <w:rsid w:val="002907A9"/>
    <w:rsid w:val="002915AA"/>
    <w:rsid w:val="00292487"/>
    <w:rsid w:val="002927D4"/>
    <w:rsid w:val="00293EFB"/>
    <w:rsid w:val="002945EB"/>
    <w:rsid w:val="00294B95"/>
    <w:rsid w:val="00294F7C"/>
    <w:rsid w:val="00296601"/>
    <w:rsid w:val="00296D4F"/>
    <w:rsid w:val="00296F34"/>
    <w:rsid w:val="00297BDD"/>
    <w:rsid w:val="002A00A4"/>
    <w:rsid w:val="002A286B"/>
    <w:rsid w:val="002A2DB3"/>
    <w:rsid w:val="002A380E"/>
    <w:rsid w:val="002A3A4A"/>
    <w:rsid w:val="002A4CA3"/>
    <w:rsid w:val="002A4F24"/>
    <w:rsid w:val="002A5397"/>
    <w:rsid w:val="002A69CE"/>
    <w:rsid w:val="002A6AC9"/>
    <w:rsid w:val="002A6D52"/>
    <w:rsid w:val="002A72E8"/>
    <w:rsid w:val="002A734B"/>
    <w:rsid w:val="002A74EC"/>
    <w:rsid w:val="002A7D01"/>
    <w:rsid w:val="002A7ED1"/>
    <w:rsid w:val="002B11F6"/>
    <w:rsid w:val="002B13A4"/>
    <w:rsid w:val="002B1B9D"/>
    <w:rsid w:val="002B227E"/>
    <w:rsid w:val="002B32B7"/>
    <w:rsid w:val="002B3354"/>
    <w:rsid w:val="002B35E9"/>
    <w:rsid w:val="002B37EA"/>
    <w:rsid w:val="002B432E"/>
    <w:rsid w:val="002B4BB5"/>
    <w:rsid w:val="002B4F7E"/>
    <w:rsid w:val="002B533B"/>
    <w:rsid w:val="002B5B2A"/>
    <w:rsid w:val="002B60E5"/>
    <w:rsid w:val="002B6AC6"/>
    <w:rsid w:val="002B6C2E"/>
    <w:rsid w:val="002B6CDB"/>
    <w:rsid w:val="002B7200"/>
    <w:rsid w:val="002B7916"/>
    <w:rsid w:val="002C008C"/>
    <w:rsid w:val="002C0B0E"/>
    <w:rsid w:val="002C0BD7"/>
    <w:rsid w:val="002C15E4"/>
    <w:rsid w:val="002C1F78"/>
    <w:rsid w:val="002C2877"/>
    <w:rsid w:val="002C3347"/>
    <w:rsid w:val="002C4830"/>
    <w:rsid w:val="002C4C2E"/>
    <w:rsid w:val="002C4E0D"/>
    <w:rsid w:val="002C4F5A"/>
    <w:rsid w:val="002C528E"/>
    <w:rsid w:val="002C5976"/>
    <w:rsid w:val="002C639C"/>
    <w:rsid w:val="002C71AF"/>
    <w:rsid w:val="002C769D"/>
    <w:rsid w:val="002D0172"/>
    <w:rsid w:val="002D030E"/>
    <w:rsid w:val="002D07FB"/>
    <w:rsid w:val="002D09CA"/>
    <w:rsid w:val="002D1179"/>
    <w:rsid w:val="002D1788"/>
    <w:rsid w:val="002D1DF7"/>
    <w:rsid w:val="002D2758"/>
    <w:rsid w:val="002D4667"/>
    <w:rsid w:val="002D4950"/>
    <w:rsid w:val="002D5347"/>
    <w:rsid w:val="002D6847"/>
    <w:rsid w:val="002E19D3"/>
    <w:rsid w:val="002E1A86"/>
    <w:rsid w:val="002E1FE6"/>
    <w:rsid w:val="002E21C0"/>
    <w:rsid w:val="002E22BC"/>
    <w:rsid w:val="002E29C5"/>
    <w:rsid w:val="002E33EA"/>
    <w:rsid w:val="002E44E2"/>
    <w:rsid w:val="002E4BA5"/>
    <w:rsid w:val="002E5333"/>
    <w:rsid w:val="002E54F1"/>
    <w:rsid w:val="002E5BC6"/>
    <w:rsid w:val="002E5D81"/>
    <w:rsid w:val="002E5FE1"/>
    <w:rsid w:val="002E626F"/>
    <w:rsid w:val="002E6315"/>
    <w:rsid w:val="002E68EE"/>
    <w:rsid w:val="002E720B"/>
    <w:rsid w:val="002E7B9E"/>
    <w:rsid w:val="002E7E44"/>
    <w:rsid w:val="002F00D8"/>
    <w:rsid w:val="002F1E32"/>
    <w:rsid w:val="002F22F8"/>
    <w:rsid w:val="002F2CE1"/>
    <w:rsid w:val="002F3741"/>
    <w:rsid w:val="002F3A6B"/>
    <w:rsid w:val="002F5273"/>
    <w:rsid w:val="002F54BA"/>
    <w:rsid w:val="002F565F"/>
    <w:rsid w:val="002F5CC8"/>
    <w:rsid w:val="002F6132"/>
    <w:rsid w:val="002F631B"/>
    <w:rsid w:val="002F65D7"/>
    <w:rsid w:val="002F6822"/>
    <w:rsid w:val="002F6C74"/>
    <w:rsid w:val="002F7647"/>
    <w:rsid w:val="002F7C2C"/>
    <w:rsid w:val="003004AE"/>
    <w:rsid w:val="00300636"/>
    <w:rsid w:val="00303C65"/>
    <w:rsid w:val="003064D2"/>
    <w:rsid w:val="00306918"/>
    <w:rsid w:val="003074A3"/>
    <w:rsid w:val="00307B70"/>
    <w:rsid w:val="00307F36"/>
    <w:rsid w:val="003101A8"/>
    <w:rsid w:val="0031035E"/>
    <w:rsid w:val="0031141F"/>
    <w:rsid w:val="003118F1"/>
    <w:rsid w:val="00311BFC"/>
    <w:rsid w:val="00312181"/>
    <w:rsid w:val="003130C4"/>
    <w:rsid w:val="0031380D"/>
    <w:rsid w:val="00313C65"/>
    <w:rsid w:val="003140C1"/>
    <w:rsid w:val="00314FC4"/>
    <w:rsid w:val="00315617"/>
    <w:rsid w:val="003159FF"/>
    <w:rsid w:val="00316CAB"/>
    <w:rsid w:val="00317367"/>
    <w:rsid w:val="00320690"/>
    <w:rsid w:val="00322C6E"/>
    <w:rsid w:val="0032306E"/>
    <w:rsid w:val="00323DCA"/>
    <w:rsid w:val="00324B55"/>
    <w:rsid w:val="0032542C"/>
    <w:rsid w:val="003260EE"/>
    <w:rsid w:val="003267EA"/>
    <w:rsid w:val="0033023A"/>
    <w:rsid w:val="003309A7"/>
    <w:rsid w:val="00330FDE"/>
    <w:rsid w:val="0033107B"/>
    <w:rsid w:val="0033130B"/>
    <w:rsid w:val="00331E86"/>
    <w:rsid w:val="00332046"/>
    <w:rsid w:val="00332152"/>
    <w:rsid w:val="00332E5C"/>
    <w:rsid w:val="00334159"/>
    <w:rsid w:val="0033452D"/>
    <w:rsid w:val="003362BF"/>
    <w:rsid w:val="003366EA"/>
    <w:rsid w:val="0033678A"/>
    <w:rsid w:val="0033792A"/>
    <w:rsid w:val="00340BEE"/>
    <w:rsid w:val="00340C08"/>
    <w:rsid w:val="003415E6"/>
    <w:rsid w:val="00341753"/>
    <w:rsid w:val="00341D25"/>
    <w:rsid w:val="00341D63"/>
    <w:rsid w:val="00342744"/>
    <w:rsid w:val="00342CA5"/>
    <w:rsid w:val="00342DB9"/>
    <w:rsid w:val="0034325A"/>
    <w:rsid w:val="0034348C"/>
    <w:rsid w:val="0034682F"/>
    <w:rsid w:val="00347D2E"/>
    <w:rsid w:val="003505DC"/>
    <w:rsid w:val="00351B8D"/>
    <w:rsid w:val="0035257D"/>
    <w:rsid w:val="00352FD5"/>
    <w:rsid w:val="00353B81"/>
    <w:rsid w:val="00355129"/>
    <w:rsid w:val="003556B3"/>
    <w:rsid w:val="00355C52"/>
    <w:rsid w:val="00355FDE"/>
    <w:rsid w:val="00355FE8"/>
    <w:rsid w:val="0035665E"/>
    <w:rsid w:val="0036082F"/>
    <w:rsid w:val="003608DA"/>
    <w:rsid w:val="00360AF6"/>
    <w:rsid w:val="003616FE"/>
    <w:rsid w:val="00361D40"/>
    <w:rsid w:val="00361FC4"/>
    <w:rsid w:val="00362593"/>
    <w:rsid w:val="003627CB"/>
    <w:rsid w:val="00362B20"/>
    <w:rsid w:val="003632FB"/>
    <w:rsid w:val="0036344E"/>
    <w:rsid w:val="0036385E"/>
    <w:rsid w:val="003639E6"/>
    <w:rsid w:val="00363A47"/>
    <w:rsid w:val="00363AD7"/>
    <w:rsid w:val="00364770"/>
    <w:rsid w:val="00364A7B"/>
    <w:rsid w:val="003659B8"/>
    <w:rsid w:val="00365CFE"/>
    <w:rsid w:val="003662A4"/>
    <w:rsid w:val="00366470"/>
    <w:rsid w:val="00366F3F"/>
    <w:rsid w:val="00367F19"/>
    <w:rsid w:val="003704AF"/>
    <w:rsid w:val="00370782"/>
    <w:rsid w:val="00370B64"/>
    <w:rsid w:val="00370ED1"/>
    <w:rsid w:val="0037174F"/>
    <w:rsid w:val="00372271"/>
    <w:rsid w:val="0037340E"/>
    <w:rsid w:val="00373D5E"/>
    <w:rsid w:val="00375CDD"/>
    <w:rsid w:val="00375D19"/>
    <w:rsid w:val="00376651"/>
    <w:rsid w:val="00377745"/>
    <w:rsid w:val="00377B58"/>
    <w:rsid w:val="003800F0"/>
    <w:rsid w:val="00380692"/>
    <w:rsid w:val="00380CC6"/>
    <w:rsid w:val="0038148C"/>
    <w:rsid w:val="00381A92"/>
    <w:rsid w:val="0038213F"/>
    <w:rsid w:val="00382B97"/>
    <w:rsid w:val="00382BD8"/>
    <w:rsid w:val="00384123"/>
    <w:rsid w:val="00384457"/>
    <w:rsid w:val="00386788"/>
    <w:rsid w:val="003871EC"/>
    <w:rsid w:val="00387BAD"/>
    <w:rsid w:val="00387CF6"/>
    <w:rsid w:val="003900E3"/>
    <w:rsid w:val="00390499"/>
    <w:rsid w:val="00391238"/>
    <w:rsid w:val="00391590"/>
    <w:rsid w:val="00391D10"/>
    <w:rsid w:val="00391D4E"/>
    <w:rsid w:val="003922AC"/>
    <w:rsid w:val="00392FC8"/>
    <w:rsid w:val="00393ADB"/>
    <w:rsid w:val="00393D3D"/>
    <w:rsid w:val="00394898"/>
    <w:rsid w:val="00394B8A"/>
    <w:rsid w:val="00394D58"/>
    <w:rsid w:val="003950DD"/>
    <w:rsid w:val="00395359"/>
    <w:rsid w:val="00396AFD"/>
    <w:rsid w:val="0039725F"/>
    <w:rsid w:val="003A015C"/>
    <w:rsid w:val="003A0C2E"/>
    <w:rsid w:val="003A114A"/>
    <w:rsid w:val="003A1E2C"/>
    <w:rsid w:val="003A22DD"/>
    <w:rsid w:val="003A2CBB"/>
    <w:rsid w:val="003A4CC0"/>
    <w:rsid w:val="003A74E5"/>
    <w:rsid w:val="003A7A45"/>
    <w:rsid w:val="003A7ED5"/>
    <w:rsid w:val="003A7F4B"/>
    <w:rsid w:val="003B03B6"/>
    <w:rsid w:val="003B0F9C"/>
    <w:rsid w:val="003B0FA3"/>
    <w:rsid w:val="003B186B"/>
    <w:rsid w:val="003B1B88"/>
    <w:rsid w:val="003B2426"/>
    <w:rsid w:val="003B3C82"/>
    <w:rsid w:val="003B41AA"/>
    <w:rsid w:val="003B444D"/>
    <w:rsid w:val="003B4F2F"/>
    <w:rsid w:val="003B5418"/>
    <w:rsid w:val="003B6181"/>
    <w:rsid w:val="003B687E"/>
    <w:rsid w:val="003B7C19"/>
    <w:rsid w:val="003B7D08"/>
    <w:rsid w:val="003C003F"/>
    <w:rsid w:val="003C0812"/>
    <w:rsid w:val="003C0EBC"/>
    <w:rsid w:val="003C12AA"/>
    <w:rsid w:val="003C15FD"/>
    <w:rsid w:val="003C2135"/>
    <w:rsid w:val="003C2744"/>
    <w:rsid w:val="003C337B"/>
    <w:rsid w:val="003C34CE"/>
    <w:rsid w:val="003C3703"/>
    <w:rsid w:val="003C46C2"/>
    <w:rsid w:val="003C4AC5"/>
    <w:rsid w:val="003C4AE8"/>
    <w:rsid w:val="003C4D7C"/>
    <w:rsid w:val="003C59EA"/>
    <w:rsid w:val="003C5D20"/>
    <w:rsid w:val="003C6D08"/>
    <w:rsid w:val="003C7A13"/>
    <w:rsid w:val="003D1948"/>
    <w:rsid w:val="003D287F"/>
    <w:rsid w:val="003D3C0F"/>
    <w:rsid w:val="003D3EC2"/>
    <w:rsid w:val="003D410F"/>
    <w:rsid w:val="003D4308"/>
    <w:rsid w:val="003D44DD"/>
    <w:rsid w:val="003D44FA"/>
    <w:rsid w:val="003D4B7D"/>
    <w:rsid w:val="003D51F5"/>
    <w:rsid w:val="003D62D3"/>
    <w:rsid w:val="003D68E4"/>
    <w:rsid w:val="003D6FAB"/>
    <w:rsid w:val="003D6FE4"/>
    <w:rsid w:val="003D741C"/>
    <w:rsid w:val="003D793A"/>
    <w:rsid w:val="003D7DF4"/>
    <w:rsid w:val="003E09CE"/>
    <w:rsid w:val="003E1256"/>
    <w:rsid w:val="003E16EF"/>
    <w:rsid w:val="003E191D"/>
    <w:rsid w:val="003E1A07"/>
    <w:rsid w:val="003E1D9E"/>
    <w:rsid w:val="003E2050"/>
    <w:rsid w:val="003E2263"/>
    <w:rsid w:val="003E2BA7"/>
    <w:rsid w:val="003E3761"/>
    <w:rsid w:val="003E47F1"/>
    <w:rsid w:val="003E5D04"/>
    <w:rsid w:val="003E6098"/>
    <w:rsid w:val="003E61BE"/>
    <w:rsid w:val="003E7A82"/>
    <w:rsid w:val="003F0AC5"/>
    <w:rsid w:val="003F1BCD"/>
    <w:rsid w:val="003F346F"/>
    <w:rsid w:val="003F3EAB"/>
    <w:rsid w:val="003F4DA6"/>
    <w:rsid w:val="003F4FED"/>
    <w:rsid w:val="003F5132"/>
    <w:rsid w:val="003F5B5D"/>
    <w:rsid w:val="003F6D74"/>
    <w:rsid w:val="003F6EAE"/>
    <w:rsid w:val="003F6F71"/>
    <w:rsid w:val="003F7196"/>
    <w:rsid w:val="003F770C"/>
    <w:rsid w:val="003F7906"/>
    <w:rsid w:val="003F7CF1"/>
    <w:rsid w:val="00400707"/>
    <w:rsid w:val="00400B0C"/>
    <w:rsid w:val="00401B7D"/>
    <w:rsid w:val="00403241"/>
    <w:rsid w:val="004032E1"/>
    <w:rsid w:val="004036EA"/>
    <w:rsid w:val="0040421B"/>
    <w:rsid w:val="00406766"/>
    <w:rsid w:val="00407689"/>
    <w:rsid w:val="004105A4"/>
    <w:rsid w:val="00411B8C"/>
    <w:rsid w:val="0041344C"/>
    <w:rsid w:val="004146C6"/>
    <w:rsid w:val="004152DC"/>
    <w:rsid w:val="00415EAF"/>
    <w:rsid w:val="00416802"/>
    <w:rsid w:val="00416AE7"/>
    <w:rsid w:val="00420F7C"/>
    <w:rsid w:val="00420FF4"/>
    <w:rsid w:val="00421810"/>
    <w:rsid w:val="00421A01"/>
    <w:rsid w:val="00421E4B"/>
    <w:rsid w:val="00422228"/>
    <w:rsid w:val="00422F54"/>
    <w:rsid w:val="0042350F"/>
    <w:rsid w:val="00423610"/>
    <w:rsid w:val="00424034"/>
    <w:rsid w:val="00424286"/>
    <w:rsid w:val="00425182"/>
    <w:rsid w:val="00425997"/>
    <w:rsid w:val="00426B03"/>
    <w:rsid w:val="00426B84"/>
    <w:rsid w:val="00426C8E"/>
    <w:rsid w:val="00426FE0"/>
    <w:rsid w:val="00430066"/>
    <w:rsid w:val="00431241"/>
    <w:rsid w:val="00431308"/>
    <w:rsid w:val="00431932"/>
    <w:rsid w:val="00431F02"/>
    <w:rsid w:val="0043224C"/>
    <w:rsid w:val="004322D9"/>
    <w:rsid w:val="004342B4"/>
    <w:rsid w:val="004348CD"/>
    <w:rsid w:val="00436D87"/>
    <w:rsid w:val="004371F5"/>
    <w:rsid w:val="00437820"/>
    <w:rsid w:val="004405ED"/>
    <w:rsid w:val="004407D8"/>
    <w:rsid w:val="00442180"/>
    <w:rsid w:val="00445BB9"/>
    <w:rsid w:val="00446302"/>
    <w:rsid w:val="00446362"/>
    <w:rsid w:val="00446AF2"/>
    <w:rsid w:val="00447555"/>
    <w:rsid w:val="004475AD"/>
    <w:rsid w:val="00447B17"/>
    <w:rsid w:val="00447D7F"/>
    <w:rsid w:val="00450035"/>
    <w:rsid w:val="0045161B"/>
    <w:rsid w:val="004518B7"/>
    <w:rsid w:val="00451A79"/>
    <w:rsid w:val="004525F3"/>
    <w:rsid w:val="00452C24"/>
    <w:rsid w:val="004537DC"/>
    <w:rsid w:val="00454126"/>
    <w:rsid w:val="00454707"/>
    <w:rsid w:val="00455E21"/>
    <w:rsid w:val="0045726C"/>
    <w:rsid w:val="004605BE"/>
    <w:rsid w:val="004607F4"/>
    <w:rsid w:val="00460F8E"/>
    <w:rsid w:val="00461EE8"/>
    <w:rsid w:val="00462C5D"/>
    <w:rsid w:val="0046302B"/>
    <w:rsid w:val="004637E4"/>
    <w:rsid w:val="00463B17"/>
    <w:rsid w:val="0046419A"/>
    <w:rsid w:val="00465596"/>
    <w:rsid w:val="00466061"/>
    <w:rsid w:val="00466593"/>
    <w:rsid w:val="004667D4"/>
    <w:rsid w:val="00466E4D"/>
    <w:rsid w:val="004700A4"/>
    <w:rsid w:val="0047012A"/>
    <w:rsid w:val="00470425"/>
    <w:rsid w:val="00470D03"/>
    <w:rsid w:val="0047118D"/>
    <w:rsid w:val="00471D87"/>
    <w:rsid w:val="004721EF"/>
    <w:rsid w:val="00472AC0"/>
    <w:rsid w:val="00474379"/>
    <w:rsid w:val="00475AF1"/>
    <w:rsid w:val="00475B5B"/>
    <w:rsid w:val="0047667B"/>
    <w:rsid w:val="00476BB9"/>
    <w:rsid w:val="00477224"/>
    <w:rsid w:val="0047730C"/>
    <w:rsid w:val="004773BB"/>
    <w:rsid w:val="00480D27"/>
    <w:rsid w:val="004821C8"/>
    <w:rsid w:val="00482CA9"/>
    <w:rsid w:val="00482CE5"/>
    <w:rsid w:val="00482E72"/>
    <w:rsid w:val="00483C1D"/>
    <w:rsid w:val="00484795"/>
    <w:rsid w:val="00484A18"/>
    <w:rsid w:val="00484D3F"/>
    <w:rsid w:val="00484E6A"/>
    <w:rsid w:val="004856AA"/>
    <w:rsid w:val="004857AB"/>
    <w:rsid w:val="0049079B"/>
    <w:rsid w:val="004917F1"/>
    <w:rsid w:val="0049235F"/>
    <w:rsid w:val="00492A8C"/>
    <w:rsid w:val="00493E25"/>
    <w:rsid w:val="004940F3"/>
    <w:rsid w:val="00494CC9"/>
    <w:rsid w:val="00494F7C"/>
    <w:rsid w:val="00495BEE"/>
    <w:rsid w:val="00497D74"/>
    <w:rsid w:val="004A110E"/>
    <w:rsid w:val="004A18F0"/>
    <w:rsid w:val="004A2554"/>
    <w:rsid w:val="004A41F0"/>
    <w:rsid w:val="004A4B56"/>
    <w:rsid w:val="004A4C64"/>
    <w:rsid w:val="004A4E9A"/>
    <w:rsid w:val="004A64A8"/>
    <w:rsid w:val="004A663F"/>
    <w:rsid w:val="004A7239"/>
    <w:rsid w:val="004A7F8C"/>
    <w:rsid w:val="004B051F"/>
    <w:rsid w:val="004B06F5"/>
    <w:rsid w:val="004B10B7"/>
    <w:rsid w:val="004B12B8"/>
    <w:rsid w:val="004B17AE"/>
    <w:rsid w:val="004B1D8F"/>
    <w:rsid w:val="004B20DC"/>
    <w:rsid w:val="004B30B7"/>
    <w:rsid w:val="004B3A12"/>
    <w:rsid w:val="004B440D"/>
    <w:rsid w:val="004B657E"/>
    <w:rsid w:val="004B7118"/>
    <w:rsid w:val="004B7336"/>
    <w:rsid w:val="004B7C2D"/>
    <w:rsid w:val="004C0608"/>
    <w:rsid w:val="004C13A8"/>
    <w:rsid w:val="004C14C5"/>
    <w:rsid w:val="004C1801"/>
    <w:rsid w:val="004C202C"/>
    <w:rsid w:val="004C2128"/>
    <w:rsid w:val="004C21FF"/>
    <w:rsid w:val="004C2250"/>
    <w:rsid w:val="004C2334"/>
    <w:rsid w:val="004C2F8D"/>
    <w:rsid w:val="004C3172"/>
    <w:rsid w:val="004C334D"/>
    <w:rsid w:val="004C34EB"/>
    <w:rsid w:val="004C3D6B"/>
    <w:rsid w:val="004C3E0F"/>
    <w:rsid w:val="004C4DB2"/>
    <w:rsid w:val="004C52A0"/>
    <w:rsid w:val="004C54B4"/>
    <w:rsid w:val="004C5C42"/>
    <w:rsid w:val="004C60B9"/>
    <w:rsid w:val="004C60EB"/>
    <w:rsid w:val="004C6364"/>
    <w:rsid w:val="004C772F"/>
    <w:rsid w:val="004C7AB9"/>
    <w:rsid w:val="004C7F13"/>
    <w:rsid w:val="004D0E52"/>
    <w:rsid w:val="004D13C6"/>
    <w:rsid w:val="004D1482"/>
    <w:rsid w:val="004D1A58"/>
    <w:rsid w:val="004D2177"/>
    <w:rsid w:val="004D2988"/>
    <w:rsid w:val="004D32EF"/>
    <w:rsid w:val="004D3BE3"/>
    <w:rsid w:val="004D3CD3"/>
    <w:rsid w:val="004D4BE4"/>
    <w:rsid w:val="004D548B"/>
    <w:rsid w:val="004D626A"/>
    <w:rsid w:val="004D6335"/>
    <w:rsid w:val="004D655F"/>
    <w:rsid w:val="004D6EF2"/>
    <w:rsid w:val="004D7474"/>
    <w:rsid w:val="004D7900"/>
    <w:rsid w:val="004D7A45"/>
    <w:rsid w:val="004E0130"/>
    <w:rsid w:val="004E020F"/>
    <w:rsid w:val="004E063D"/>
    <w:rsid w:val="004E1764"/>
    <w:rsid w:val="004E2335"/>
    <w:rsid w:val="004E34D8"/>
    <w:rsid w:val="004E3843"/>
    <w:rsid w:val="004E3B37"/>
    <w:rsid w:val="004E3E5A"/>
    <w:rsid w:val="004E4191"/>
    <w:rsid w:val="004E4355"/>
    <w:rsid w:val="004E4D4B"/>
    <w:rsid w:val="004E5900"/>
    <w:rsid w:val="004E5BC7"/>
    <w:rsid w:val="004E6B58"/>
    <w:rsid w:val="004E76F2"/>
    <w:rsid w:val="004E772B"/>
    <w:rsid w:val="004F028D"/>
    <w:rsid w:val="004F0DEF"/>
    <w:rsid w:val="004F1703"/>
    <w:rsid w:val="004F1C4D"/>
    <w:rsid w:val="004F2464"/>
    <w:rsid w:val="004F4F61"/>
    <w:rsid w:val="004F63EA"/>
    <w:rsid w:val="004F662D"/>
    <w:rsid w:val="004F6BE1"/>
    <w:rsid w:val="004F7C7F"/>
    <w:rsid w:val="0050139C"/>
    <w:rsid w:val="0050246A"/>
    <w:rsid w:val="00502A46"/>
    <w:rsid w:val="00503174"/>
    <w:rsid w:val="00505CB5"/>
    <w:rsid w:val="00505EFA"/>
    <w:rsid w:val="005060C9"/>
    <w:rsid w:val="00506488"/>
    <w:rsid w:val="005065C7"/>
    <w:rsid w:val="00506A9F"/>
    <w:rsid w:val="005078E9"/>
    <w:rsid w:val="00510BF8"/>
    <w:rsid w:val="00510D23"/>
    <w:rsid w:val="00510EA7"/>
    <w:rsid w:val="00511F29"/>
    <w:rsid w:val="00512092"/>
    <w:rsid w:val="00512A85"/>
    <w:rsid w:val="00513851"/>
    <w:rsid w:val="0051386E"/>
    <w:rsid w:val="00513903"/>
    <w:rsid w:val="00513D44"/>
    <w:rsid w:val="00513E79"/>
    <w:rsid w:val="00514176"/>
    <w:rsid w:val="005146D4"/>
    <w:rsid w:val="00514D54"/>
    <w:rsid w:val="00515F5E"/>
    <w:rsid w:val="0051630B"/>
    <w:rsid w:val="005166E2"/>
    <w:rsid w:val="00516DE9"/>
    <w:rsid w:val="0051712E"/>
    <w:rsid w:val="00517521"/>
    <w:rsid w:val="00520F01"/>
    <w:rsid w:val="0052161C"/>
    <w:rsid w:val="00521A17"/>
    <w:rsid w:val="005222BA"/>
    <w:rsid w:val="00522515"/>
    <w:rsid w:val="005225F2"/>
    <w:rsid w:val="00522D7B"/>
    <w:rsid w:val="00523173"/>
    <w:rsid w:val="005236EF"/>
    <w:rsid w:val="00523B3C"/>
    <w:rsid w:val="005250CD"/>
    <w:rsid w:val="00525D29"/>
    <w:rsid w:val="00527037"/>
    <w:rsid w:val="0052710E"/>
    <w:rsid w:val="005273D5"/>
    <w:rsid w:val="00527519"/>
    <w:rsid w:val="005277CE"/>
    <w:rsid w:val="00527980"/>
    <w:rsid w:val="0053022F"/>
    <w:rsid w:val="00531782"/>
    <w:rsid w:val="00532468"/>
    <w:rsid w:val="0053371F"/>
    <w:rsid w:val="0053568F"/>
    <w:rsid w:val="00537753"/>
    <w:rsid w:val="005400E6"/>
    <w:rsid w:val="00541724"/>
    <w:rsid w:val="00542113"/>
    <w:rsid w:val="0054311B"/>
    <w:rsid w:val="00545525"/>
    <w:rsid w:val="00545939"/>
    <w:rsid w:val="00545B94"/>
    <w:rsid w:val="00545CEF"/>
    <w:rsid w:val="00546284"/>
    <w:rsid w:val="005472A2"/>
    <w:rsid w:val="00547905"/>
    <w:rsid w:val="00547D67"/>
    <w:rsid w:val="005511A1"/>
    <w:rsid w:val="00551B9D"/>
    <w:rsid w:val="00551F18"/>
    <w:rsid w:val="005524CE"/>
    <w:rsid w:val="00552ACA"/>
    <w:rsid w:val="00552F3F"/>
    <w:rsid w:val="00552F70"/>
    <w:rsid w:val="005531F3"/>
    <w:rsid w:val="005532C3"/>
    <w:rsid w:val="00553714"/>
    <w:rsid w:val="00554684"/>
    <w:rsid w:val="005555C6"/>
    <w:rsid w:val="00555B04"/>
    <w:rsid w:val="00555CFB"/>
    <w:rsid w:val="00555F4F"/>
    <w:rsid w:val="0055602B"/>
    <w:rsid w:val="00556439"/>
    <w:rsid w:val="00556687"/>
    <w:rsid w:val="00556939"/>
    <w:rsid w:val="0055781D"/>
    <w:rsid w:val="00557D51"/>
    <w:rsid w:val="0056055F"/>
    <w:rsid w:val="00561341"/>
    <w:rsid w:val="00562939"/>
    <w:rsid w:val="005646C6"/>
    <w:rsid w:val="00564B6F"/>
    <w:rsid w:val="00564E93"/>
    <w:rsid w:val="0056505B"/>
    <w:rsid w:val="00565969"/>
    <w:rsid w:val="00566037"/>
    <w:rsid w:val="005671AA"/>
    <w:rsid w:val="00567770"/>
    <w:rsid w:val="00570BF6"/>
    <w:rsid w:val="00572522"/>
    <w:rsid w:val="00572EA3"/>
    <w:rsid w:val="005733BA"/>
    <w:rsid w:val="00574227"/>
    <w:rsid w:val="00574982"/>
    <w:rsid w:val="00574D5F"/>
    <w:rsid w:val="005758D6"/>
    <w:rsid w:val="00575DCB"/>
    <w:rsid w:val="00576106"/>
    <w:rsid w:val="00576892"/>
    <w:rsid w:val="00577519"/>
    <w:rsid w:val="00577D01"/>
    <w:rsid w:val="00577E81"/>
    <w:rsid w:val="00577EBE"/>
    <w:rsid w:val="00581131"/>
    <w:rsid w:val="0058161C"/>
    <w:rsid w:val="005822BF"/>
    <w:rsid w:val="0058234C"/>
    <w:rsid w:val="00582E2D"/>
    <w:rsid w:val="00583153"/>
    <w:rsid w:val="005831E6"/>
    <w:rsid w:val="0058488F"/>
    <w:rsid w:val="00584B90"/>
    <w:rsid w:val="00584CC6"/>
    <w:rsid w:val="005860CF"/>
    <w:rsid w:val="00586DEB"/>
    <w:rsid w:val="0058716D"/>
    <w:rsid w:val="00587A67"/>
    <w:rsid w:val="00587CCA"/>
    <w:rsid w:val="0059023D"/>
    <w:rsid w:val="0059069B"/>
    <w:rsid w:val="005908ED"/>
    <w:rsid w:val="00591FB9"/>
    <w:rsid w:val="00593FEC"/>
    <w:rsid w:val="00594C50"/>
    <w:rsid w:val="005966E0"/>
    <w:rsid w:val="00597FC8"/>
    <w:rsid w:val="005A1117"/>
    <w:rsid w:val="005A11D1"/>
    <w:rsid w:val="005A11ED"/>
    <w:rsid w:val="005A3DF5"/>
    <w:rsid w:val="005A4211"/>
    <w:rsid w:val="005A45F8"/>
    <w:rsid w:val="005A4A7F"/>
    <w:rsid w:val="005A550A"/>
    <w:rsid w:val="005A5524"/>
    <w:rsid w:val="005A6071"/>
    <w:rsid w:val="005A6E44"/>
    <w:rsid w:val="005A7AFE"/>
    <w:rsid w:val="005A7EC9"/>
    <w:rsid w:val="005B08AF"/>
    <w:rsid w:val="005B1270"/>
    <w:rsid w:val="005B24D2"/>
    <w:rsid w:val="005B256D"/>
    <w:rsid w:val="005B3863"/>
    <w:rsid w:val="005B393E"/>
    <w:rsid w:val="005B3DCE"/>
    <w:rsid w:val="005B4814"/>
    <w:rsid w:val="005B4C6A"/>
    <w:rsid w:val="005B50CA"/>
    <w:rsid w:val="005B5388"/>
    <w:rsid w:val="005B5E2D"/>
    <w:rsid w:val="005B604D"/>
    <w:rsid w:val="005B60BE"/>
    <w:rsid w:val="005B6300"/>
    <w:rsid w:val="005B673D"/>
    <w:rsid w:val="005B6FE9"/>
    <w:rsid w:val="005B7A82"/>
    <w:rsid w:val="005B7C3F"/>
    <w:rsid w:val="005C2428"/>
    <w:rsid w:val="005C26CB"/>
    <w:rsid w:val="005C3B52"/>
    <w:rsid w:val="005C41E3"/>
    <w:rsid w:val="005C4B38"/>
    <w:rsid w:val="005C4FD8"/>
    <w:rsid w:val="005C510A"/>
    <w:rsid w:val="005C53B8"/>
    <w:rsid w:val="005C5B75"/>
    <w:rsid w:val="005C64BE"/>
    <w:rsid w:val="005C79E0"/>
    <w:rsid w:val="005C7E6A"/>
    <w:rsid w:val="005C7FDB"/>
    <w:rsid w:val="005D1BF5"/>
    <w:rsid w:val="005D260E"/>
    <w:rsid w:val="005D261E"/>
    <w:rsid w:val="005D2895"/>
    <w:rsid w:val="005D3279"/>
    <w:rsid w:val="005D34E1"/>
    <w:rsid w:val="005D37BA"/>
    <w:rsid w:val="005D39C9"/>
    <w:rsid w:val="005D3DBB"/>
    <w:rsid w:val="005D4F66"/>
    <w:rsid w:val="005D5188"/>
    <w:rsid w:val="005D54EF"/>
    <w:rsid w:val="005D55D0"/>
    <w:rsid w:val="005D71EE"/>
    <w:rsid w:val="005D7D3D"/>
    <w:rsid w:val="005E05B0"/>
    <w:rsid w:val="005E06E8"/>
    <w:rsid w:val="005E07B9"/>
    <w:rsid w:val="005E1018"/>
    <w:rsid w:val="005E1E68"/>
    <w:rsid w:val="005E2169"/>
    <w:rsid w:val="005E3019"/>
    <w:rsid w:val="005E460A"/>
    <w:rsid w:val="005E46D6"/>
    <w:rsid w:val="005E4D9D"/>
    <w:rsid w:val="005E611A"/>
    <w:rsid w:val="005E6711"/>
    <w:rsid w:val="005E706A"/>
    <w:rsid w:val="005E753B"/>
    <w:rsid w:val="005F08C4"/>
    <w:rsid w:val="005F1427"/>
    <w:rsid w:val="005F16D1"/>
    <w:rsid w:val="005F1841"/>
    <w:rsid w:val="005F1CF2"/>
    <w:rsid w:val="005F208D"/>
    <w:rsid w:val="005F2DCF"/>
    <w:rsid w:val="005F3388"/>
    <w:rsid w:val="005F3ACB"/>
    <w:rsid w:val="005F426A"/>
    <w:rsid w:val="005F445F"/>
    <w:rsid w:val="005F58B7"/>
    <w:rsid w:val="005F6032"/>
    <w:rsid w:val="005F63EB"/>
    <w:rsid w:val="005F7FA6"/>
    <w:rsid w:val="006000D1"/>
    <w:rsid w:val="006022CE"/>
    <w:rsid w:val="00602EC4"/>
    <w:rsid w:val="00603607"/>
    <w:rsid w:val="00603926"/>
    <w:rsid w:val="00603F49"/>
    <w:rsid w:val="006043C0"/>
    <w:rsid w:val="006044DC"/>
    <w:rsid w:val="00604ECA"/>
    <w:rsid w:val="00605012"/>
    <w:rsid w:val="00605633"/>
    <w:rsid w:val="00606978"/>
    <w:rsid w:val="006069B8"/>
    <w:rsid w:val="00607C64"/>
    <w:rsid w:val="00607E28"/>
    <w:rsid w:val="0061036A"/>
    <w:rsid w:val="0061039D"/>
    <w:rsid w:val="006107F6"/>
    <w:rsid w:val="00610975"/>
    <w:rsid w:val="00611688"/>
    <w:rsid w:val="006117A3"/>
    <w:rsid w:val="006131AD"/>
    <w:rsid w:val="00613F1C"/>
    <w:rsid w:val="006142BA"/>
    <w:rsid w:val="00614BFD"/>
    <w:rsid w:val="0061544F"/>
    <w:rsid w:val="00615656"/>
    <w:rsid w:val="00615BFC"/>
    <w:rsid w:val="006160F0"/>
    <w:rsid w:val="0061614C"/>
    <w:rsid w:val="0061644F"/>
    <w:rsid w:val="00616D8C"/>
    <w:rsid w:val="00617813"/>
    <w:rsid w:val="0062125E"/>
    <w:rsid w:val="0062166A"/>
    <w:rsid w:val="0062180C"/>
    <w:rsid w:val="00621ECD"/>
    <w:rsid w:val="0062212B"/>
    <w:rsid w:val="0062260D"/>
    <w:rsid w:val="00622A73"/>
    <w:rsid w:val="006232ED"/>
    <w:rsid w:val="00623369"/>
    <w:rsid w:val="006234E7"/>
    <w:rsid w:val="00623972"/>
    <w:rsid w:val="006251CE"/>
    <w:rsid w:val="00625247"/>
    <w:rsid w:val="00625FCE"/>
    <w:rsid w:val="0062646C"/>
    <w:rsid w:val="00626C16"/>
    <w:rsid w:val="00627177"/>
    <w:rsid w:val="00627C71"/>
    <w:rsid w:val="006301CB"/>
    <w:rsid w:val="0063161F"/>
    <w:rsid w:val="006319CC"/>
    <w:rsid w:val="0063219A"/>
    <w:rsid w:val="006329B1"/>
    <w:rsid w:val="00634178"/>
    <w:rsid w:val="006345A9"/>
    <w:rsid w:val="00635660"/>
    <w:rsid w:val="006357E2"/>
    <w:rsid w:val="00635C84"/>
    <w:rsid w:val="006365A0"/>
    <w:rsid w:val="00637069"/>
    <w:rsid w:val="00640EDB"/>
    <w:rsid w:val="00640F6C"/>
    <w:rsid w:val="00641797"/>
    <w:rsid w:val="006421B9"/>
    <w:rsid w:val="00642358"/>
    <w:rsid w:val="006435B5"/>
    <w:rsid w:val="00644032"/>
    <w:rsid w:val="00644CA9"/>
    <w:rsid w:val="0064512A"/>
    <w:rsid w:val="0064514B"/>
    <w:rsid w:val="00645E37"/>
    <w:rsid w:val="006462DB"/>
    <w:rsid w:val="00646E03"/>
    <w:rsid w:val="00647D69"/>
    <w:rsid w:val="006506D0"/>
    <w:rsid w:val="00650779"/>
    <w:rsid w:val="006517AB"/>
    <w:rsid w:val="006518DE"/>
    <w:rsid w:val="00654217"/>
    <w:rsid w:val="00655130"/>
    <w:rsid w:val="00655503"/>
    <w:rsid w:val="00655A34"/>
    <w:rsid w:val="00655F37"/>
    <w:rsid w:val="006565FC"/>
    <w:rsid w:val="00656666"/>
    <w:rsid w:val="006570B9"/>
    <w:rsid w:val="00657B40"/>
    <w:rsid w:val="00660DAE"/>
    <w:rsid w:val="00661134"/>
    <w:rsid w:val="00661D81"/>
    <w:rsid w:val="006621E8"/>
    <w:rsid w:val="00662669"/>
    <w:rsid w:val="00662F14"/>
    <w:rsid w:val="00663BB8"/>
    <w:rsid w:val="006650C1"/>
    <w:rsid w:val="006663BA"/>
    <w:rsid w:val="00667569"/>
    <w:rsid w:val="006702B3"/>
    <w:rsid w:val="00671968"/>
    <w:rsid w:val="00672224"/>
    <w:rsid w:val="00672610"/>
    <w:rsid w:val="00672767"/>
    <w:rsid w:val="006727F3"/>
    <w:rsid w:val="00672D19"/>
    <w:rsid w:val="00672DE4"/>
    <w:rsid w:val="006733BA"/>
    <w:rsid w:val="00674492"/>
    <w:rsid w:val="00675A9C"/>
    <w:rsid w:val="00676A64"/>
    <w:rsid w:val="006777A1"/>
    <w:rsid w:val="00680312"/>
    <w:rsid w:val="006807E4"/>
    <w:rsid w:val="00681029"/>
    <w:rsid w:val="00681418"/>
    <w:rsid w:val="00681801"/>
    <w:rsid w:val="00681DA4"/>
    <w:rsid w:val="00682AC9"/>
    <w:rsid w:val="006835FA"/>
    <w:rsid w:val="00683C00"/>
    <w:rsid w:val="00684039"/>
    <w:rsid w:val="00684178"/>
    <w:rsid w:val="00684324"/>
    <w:rsid w:val="006844D1"/>
    <w:rsid w:val="00686119"/>
    <w:rsid w:val="00686CE8"/>
    <w:rsid w:val="00686D2B"/>
    <w:rsid w:val="00690473"/>
    <w:rsid w:val="006904D9"/>
    <w:rsid w:val="00690885"/>
    <w:rsid w:val="00690C66"/>
    <w:rsid w:val="00690CDC"/>
    <w:rsid w:val="00691429"/>
    <w:rsid w:val="00691CF8"/>
    <w:rsid w:val="00692A58"/>
    <w:rsid w:val="00693DA2"/>
    <w:rsid w:val="006941A5"/>
    <w:rsid w:val="00694C3A"/>
    <w:rsid w:val="00695308"/>
    <w:rsid w:val="006964E2"/>
    <w:rsid w:val="006967FA"/>
    <w:rsid w:val="00697D12"/>
    <w:rsid w:val="00697E59"/>
    <w:rsid w:val="006A039D"/>
    <w:rsid w:val="006A0AE1"/>
    <w:rsid w:val="006A1CE7"/>
    <w:rsid w:val="006A1DFE"/>
    <w:rsid w:val="006A2EB4"/>
    <w:rsid w:val="006A3255"/>
    <w:rsid w:val="006A368A"/>
    <w:rsid w:val="006A3FE3"/>
    <w:rsid w:val="006A4110"/>
    <w:rsid w:val="006A44C7"/>
    <w:rsid w:val="006A517B"/>
    <w:rsid w:val="006A53F3"/>
    <w:rsid w:val="006A5E12"/>
    <w:rsid w:val="006A6CA7"/>
    <w:rsid w:val="006B03AA"/>
    <w:rsid w:val="006B1BD1"/>
    <w:rsid w:val="006B1DD6"/>
    <w:rsid w:val="006B24E4"/>
    <w:rsid w:val="006B2677"/>
    <w:rsid w:val="006B2ABE"/>
    <w:rsid w:val="006B344A"/>
    <w:rsid w:val="006B41AE"/>
    <w:rsid w:val="006B431C"/>
    <w:rsid w:val="006B45C8"/>
    <w:rsid w:val="006B4C45"/>
    <w:rsid w:val="006B54E0"/>
    <w:rsid w:val="006B5C39"/>
    <w:rsid w:val="006B7EC4"/>
    <w:rsid w:val="006C00C6"/>
    <w:rsid w:val="006C06A9"/>
    <w:rsid w:val="006C1CD6"/>
    <w:rsid w:val="006C358F"/>
    <w:rsid w:val="006C3A36"/>
    <w:rsid w:val="006C45BC"/>
    <w:rsid w:val="006C45EA"/>
    <w:rsid w:val="006C4D57"/>
    <w:rsid w:val="006C5158"/>
    <w:rsid w:val="006C53D6"/>
    <w:rsid w:val="006C5E32"/>
    <w:rsid w:val="006C5EBC"/>
    <w:rsid w:val="006C72B4"/>
    <w:rsid w:val="006C7EE6"/>
    <w:rsid w:val="006D0394"/>
    <w:rsid w:val="006D24C9"/>
    <w:rsid w:val="006D255E"/>
    <w:rsid w:val="006D35A1"/>
    <w:rsid w:val="006D4038"/>
    <w:rsid w:val="006D4312"/>
    <w:rsid w:val="006D4E85"/>
    <w:rsid w:val="006D5D42"/>
    <w:rsid w:val="006E026D"/>
    <w:rsid w:val="006E034B"/>
    <w:rsid w:val="006E179B"/>
    <w:rsid w:val="006E23FA"/>
    <w:rsid w:val="006E256D"/>
    <w:rsid w:val="006E2A62"/>
    <w:rsid w:val="006E31B7"/>
    <w:rsid w:val="006E3D06"/>
    <w:rsid w:val="006E55B7"/>
    <w:rsid w:val="006E5768"/>
    <w:rsid w:val="006E5BEA"/>
    <w:rsid w:val="006E5EED"/>
    <w:rsid w:val="006E6160"/>
    <w:rsid w:val="006E63DF"/>
    <w:rsid w:val="006E710E"/>
    <w:rsid w:val="006F0218"/>
    <w:rsid w:val="006F1AC0"/>
    <w:rsid w:val="006F1F91"/>
    <w:rsid w:val="006F387C"/>
    <w:rsid w:val="006F428C"/>
    <w:rsid w:val="006F444A"/>
    <w:rsid w:val="006F4756"/>
    <w:rsid w:val="006F4A35"/>
    <w:rsid w:val="006F55C7"/>
    <w:rsid w:val="006F69AB"/>
    <w:rsid w:val="006F799A"/>
    <w:rsid w:val="006F7AAE"/>
    <w:rsid w:val="007014BA"/>
    <w:rsid w:val="00701945"/>
    <w:rsid w:val="00702378"/>
    <w:rsid w:val="0070392D"/>
    <w:rsid w:val="00703EE9"/>
    <w:rsid w:val="00704AF9"/>
    <w:rsid w:val="007061B3"/>
    <w:rsid w:val="00706428"/>
    <w:rsid w:val="007117F6"/>
    <w:rsid w:val="00711B41"/>
    <w:rsid w:val="0071309B"/>
    <w:rsid w:val="00713A01"/>
    <w:rsid w:val="007154FA"/>
    <w:rsid w:val="00715646"/>
    <w:rsid w:val="007162E1"/>
    <w:rsid w:val="007167E2"/>
    <w:rsid w:val="00716CD2"/>
    <w:rsid w:val="00716EAD"/>
    <w:rsid w:val="007170B2"/>
    <w:rsid w:val="007171B6"/>
    <w:rsid w:val="00717993"/>
    <w:rsid w:val="00720709"/>
    <w:rsid w:val="0072185F"/>
    <w:rsid w:val="00722013"/>
    <w:rsid w:val="00722E93"/>
    <w:rsid w:val="007250BD"/>
    <w:rsid w:val="007256B7"/>
    <w:rsid w:val="00725775"/>
    <w:rsid w:val="00726056"/>
    <w:rsid w:val="0072645D"/>
    <w:rsid w:val="00726BDB"/>
    <w:rsid w:val="007272A0"/>
    <w:rsid w:val="0072745A"/>
    <w:rsid w:val="00730D79"/>
    <w:rsid w:val="00730FD6"/>
    <w:rsid w:val="0073176E"/>
    <w:rsid w:val="00731DD1"/>
    <w:rsid w:val="00732F5A"/>
    <w:rsid w:val="007341EF"/>
    <w:rsid w:val="00734ACE"/>
    <w:rsid w:val="00735D72"/>
    <w:rsid w:val="0073739F"/>
    <w:rsid w:val="00737931"/>
    <w:rsid w:val="00737D57"/>
    <w:rsid w:val="00737FC4"/>
    <w:rsid w:val="007405CC"/>
    <w:rsid w:val="00740AE4"/>
    <w:rsid w:val="00741FD2"/>
    <w:rsid w:val="00742982"/>
    <w:rsid w:val="00743A6C"/>
    <w:rsid w:val="00744006"/>
    <w:rsid w:val="007442C4"/>
    <w:rsid w:val="007447EC"/>
    <w:rsid w:val="0074554E"/>
    <w:rsid w:val="00745A37"/>
    <w:rsid w:val="00745FF5"/>
    <w:rsid w:val="0074649C"/>
    <w:rsid w:val="00746CD2"/>
    <w:rsid w:val="00746E10"/>
    <w:rsid w:val="007473BE"/>
    <w:rsid w:val="007478D2"/>
    <w:rsid w:val="007478EA"/>
    <w:rsid w:val="00747EB3"/>
    <w:rsid w:val="00751A41"/>
    <w:rsid w:val="00751DD8"/>
    <w:rsid w:val="00752255"/>
    <w:rsid w:val="007525DC"/>
    <w:rsid w:val="007526F1"/>
    <w:rsid w:val="00752BE7"/>
    <w:rsid w:val="00752C8A"/>
    <w:rsid w:val="00752E2B"/>
    <w:rsid w:val="007530B1"/>
    <w:rsid w:val="00753B1D"/>
    <w:rsid w:val="0075422B"/>
    <w:rsid w:val="007555D9"/>
    <w:rsid w:val="00755D5F"/>
    <w:rsid w:val="00756214"/>
    <w:rsid w:val="00756C85"/>
    <w:rsid w:val="00757462"/>
    <w:rsid w:val="00757EED"/>
    <w:rsid w:val="00760BFA"/>
    <w:rsid w:val="00760C47"/>
    <w:rsid w:val="00760EF1"/>
    <w:rsid w:val="00761412"/>
    <w:rsid w:val="00761FC1"/>
    <w:rsid w:val="007628AE"/>
    <w:rsid w:val="007630EE"/>
    <w:rsid w:val="00765DFB"/>
    <w:rsid w:val="00765F75"/>
    <w:rsid w:val="00766080"/>
    <w:rsid w:val="007662E8"/>
    <w:rsid w:val="00767DFF"/>
    <w:rsid w:val="00770288"/>
    <w:rsid w:val="00770D55"/>
    <w:rsid w:val="00771F76"/>
    <w:rsid w:val="0077324C"/>
    <w:rsid w:val="00773C81"/>
    <w:rsid w:val="00773EB9"/>
    <w:rsid w:val="00774808"/>
    <w:rsid w:val="0077519D"/>
    <w:rsid w:val="00775367"/>
    <w:rsid w:val="00775603"/>
    <w:rsid w:val="00776370"/>
    <w:rsid w:val="00777956"/>
    <w:rsid w:val="00780115"/>
    <w:rsid w:val="00780D6E"/>
    <w:rsid w:val="00781730"/>
    <w:rsid w:val="00781936"/>
    <w:rsid w:val="00781C87"/>
    <w:rsid w:val="00781CFB"/>
    <w:rsid w:val="00781FA1"/>
    <w:rsid w:val="00783E27"/>
    <w:rsid w:val="00784182"/>
    <w:rsid w:val="00784210"/>
    <w:rsid w:val="0078421C"/>
    <w:rsid w:val="0078497A"/>
    <w:rsid w:val="007856BD"/>
    <w:rsid w:val="007856DC"/>
    <w:rsid w:val="00785957"/>
    <w:rsid w:val="0078670F"/>
    <w:rsid w:val="0078698F"/>
    <w:rsid w:val="00786BA0"/>
    <w:rsid w:val="0078775B"/>
    <w:rsid w:val="007879FB"/>
    <w:rsid w:val="0079025A"/>
    <w:rsid w:val="007906A8"/>
    <w:rsid w:val="00790BFB"/>
    <w:rsid w:val="00790D91"/>
    <w:rsid w:val="00791A49"/>
    <w:rsid w:val="00791B01"/>
    <w:rsid w:val="00791C76"/>
    <w:rsid w:val="00793D27"/>
    <w:rsid w:val="00794072"/>
    <w:rsid w:val="00794171"/>
    <w:rsid w:val="00794263"/>
    <w:rsid w:val="007949D8"/>
    <w:rsid w:val="00794A33"/>
    <w:rsid w:val="00794FA6"/>
    <w:rsid w:val="00795069"/>
    <w:rsid w:val="007956BB"/>
    <w:rsid w:val="00795C62"/>
    <w:rsid w:val="00796388"/>
    <w:rsid w:val="007966F9"/>
    <w:rsid w:val="007971BC"/>
    <w:rsid w:val="007971FB"/>
    <w:rsid w:val="00797959"/>
    <w:rsid w:val="007A03E1"/>
    <w:rsid w:val="007A084F"/>
    <w:rsid w:val="007A0AFB"/>
    <w:rsid w:val="007A0CEE"/>
    <w:rsid w:val="007A0D89"/>
    <w:rsid w:val="007A1386"/>
    <w:rsid w:val="007A3CDC"/>
    <w:rsid w:val="007A3FF3"/>
    <w:rsid w:val="007A4247"/>
    <w:rsid w:val="007A4EDB"/>
    <w:rsid w:val="007A4F47"/>
    <w:rsid w:val="007A5299"/>
    <w:rsid w:val="007A5A97"/>
    <w:rsid w:val="007A5AF5"/>
    <w:rsid w:val="007A61B8"/>
    <w:rsid w:val="007A6763"/>
    <w:rsid w:val="007A71C2"/>
    <w:rsid w:val="007A7268"/>
    <w:rsid w:val="007A7AA1"/>
    <w:rsid w:val="007B003F"/>
    <w:rsid w:val="007B02BA"/>
    <w:rsid w:val="007B0467"/>
    <w:rsid w:val="007B04BF"/>
    <w:rsid w:val="007B0787"/>
    <w:rsid w:val="007B0CAA"/>
    <w:rsid w:val="007B12B1"/>
    <w:rsid w:val="007B135D"/>
    <w:rsid w:val="007B26C7"/>
    <w:rsid w:val="007B2B61"/>
    <w:rsid w:val="007B3AD9"/>
    <w:rsid w:val="007B4E19"/>
    <w:rsid w:val="007B5358"/>
    <w:rsid w:val="007B57AB"/>
    <w:rsid w:val="007B5FE1"/>
    <w:rsid w:val="007B6676"/>
    <w:rsid w:val="007B6FC2"/>
    <w:rsid w:val="007B7022"/>
    <w:rsid w:val="007B7AF5"/>
    <w:rsid w:val="007B7FD1"/>
    <w:rsid w:val="007C0D11"/>
    <w:rsid w:val="007C0D69"/>
    <w:rsid w:val="007C0EAF"/>
    <w:rsid w:val="007C14E7"/>
    <w:rsid w:val="007C150C"/>
    <w:rsid w:val="007C257D"/>
    <w:rsid w:val="007C2638"/>
    <w:rsid w:val="007C27E1"/>
    <w:rsid w:val="007C3019"/>
    <w:rsid w:val="007C37CB"/>
    <w:rsid w:val="007C3ADE"/>
    <w:rsid w:val="007C4857"/>
    <w:rsid w:val="007C58D1"/>
    <w:rsid w:val="007C5EBB"/>
    <w:rsid w:val="007C679F"/>
    <w:rsid w:val="007D07F2"/>
    <w:rsid w:val="007D0F5E"/>
    <w:rsid w:val="007D2343"/>
    <w:rsid w:val="007D351D"/>
    <w:rsid w:val="007D5DA8"/>
    <w:rsid w:val="007D72BA"/>
    <w:rsid w:val="007D786E"/>
    <w:rsid w:val="007E02D8"/>
    <w:rsid w:val="007E11A7"/>
    <w:rsid w:val="007E23AB"/>
    <w:rsid w:val="007E315C"/>
    <w:rsid w:val="007E348D"/>
    <w:rsid w:val="007E359B"/>
    <w:rsid w:val="007E4321"/>
    <w:rsid w:val="007E4953"/>
    <w:rsid w:val="007E4E5C"/>
    <w:rsid w:val="007E5E5C"/>
    <w:rsid w:val="007E66CE"/>
    <w:rsid w:val="007E67CC"/>
    <w:rsid w:val="007E7630"/>
    <w:rsid w:val="007E76F6"/>
    <w:rsid w:val="007E7B53"/>
    <w:rsid w:val="007F06FC"/>
    <w:rsid w:val="007F0E5E"/>
    <w:rsid w:val="007F1014"/>
    <w:rsid w:val="007F14D4"/>
    <w:rsid w:val="007F165A"/>
    <w:rsid w:val="007F17BF"/>
    <w:rsid w:val="007F27D8"/>
    <w:rsid w:val="007F2BDA"/>
    <w:rsid w:val="007F2E5B"/>
    <w:rsid w:val="007F30C5"/>
    <w:rsid w:val="007F3939"/>
    <w:rsid w:val="007F4723"/>
    <w:rsid w:val="007F6492"/>
    <w:rsid w:val="007F690C"/>
    <w:rsid w:val="007F698A"/>
    <w:rsid w:val="007F6F0B"/>
    <w:rsid w:val="007F77FA"/>
    <w:rsid w:val="0080043C"/>
    <w:rsid w:val="00800464"/>
    <w:rsid w:val="00800504"/>
    <w:rsid w:val="008030D9"/>
    <w:rsid w:val="008031E1"/>
    <w:rsid w:val="00803782"/>
    <w:rsid w:val="0080582E"/>
    <w:rsid w:val="00807330"/>
    <w:rsid w:val="00807584"/>
    <w:rsid w:val="008077C8"/>
    <w:rsid w:val="00807B71"/>
    <w:rsid w:val="00810778"/>
    <w:rsid w:val="0081157D"/>
    <w:rsid w:val="00811E21"/>
    <w:rsid w:val="00812129"/>
    <w:rsid w:val="008125C7"/>
    <w:rsid w:val="00812E1B"/>
    <w:rsid w:val="00813A8D"/>
    <w:rsid w:val="0081440F"/>
    <w:rsid w:val="00814708"/>
    <w:rsid w:val="00815180"/>
    <w:rsid w:val="00816157"/>
    <w:rsid w:val="00816E4B"/>
    <w:rsid w:val="00817E86"/>
    <w:rsid w:val="00820899"/>
    <w:rsid w:val="00820BB3"/>
    <w:rsid w:val="0082191E"/>
    <w:rsid w:val="00821EF7"/>
    <w:rsid w:val="0082260A"/>
    <w:rsid w:val="00823068"/>
    <w:rsid w:val="00823F3A"/>
    <w:rsid w:val="00824ED2"/>
    <w:rsid w:val="008250BA"/>
    <w:rsid w:val="0082675F"/>
    <w:rsid w:val="00826999"/>
    <w:rsid w:val="00826A54"/>
    <w:rsid w:val="00826E83"/>
    <w:rsid w:val="00827512"/>
    <w:rsid w:val="008307F5"/>
    <w:rsid w:val="00830852"/>
    <w:rsid w:val="0083144A"/>
    <w:rsid w:val="008323BF"/>
    <w:rsid w:val="00832835"/>
    <w:rsid w:val="00832C22"/>
    <w:rsid w:val="00832EC4"/>
    <w:rsid w:val="008334BA"/>
    <w:rsid w:val="008358EE"/>
    <w:rsid w:val="00835E00"/>
    <w:rsid w:val="00835FA6"/>
    <w:rsid w:val="0083614F"/>
    <w:rsid w:val="0083628B"/>
    <w:rsid w:val="0083630A"/>
    <w:rsid w:val="00837FCF"/>
    <w:rsid w:val="00840683"/>
    <w:rsid w:val="008406EE"/>
    <w:rsid w:val="00840865"/>
    <w:rsid w:val="00841344"/>
    <w:rsid w:val="008415AA"/>
    <w:rsid w:val="0084164E"/>
    <w:rsid w:val="0084167A"/>
    <w:rsid w:val="00841878"/>
    <w:rsid w:val="00841B30"/>
    <w:rsid w:val="0084392B"/>
    <w:rsid w:val="00843AB1"/>
    <w:rsid w:val="0084431C"/>
    <w:rsid w:val="008445D7"/>
    <w:rsid w:val="00844AF3"/>
    <w:rsid w:val="00845050"/>
    <w:rsid w:val="00845516"/>
    <w:rsid w:val="0084690F"/>
    <w:rsid w:val="00846CE8"/>
    <w:rsid w:val="00846E9C"/>
    <w:rsid w:val="00847334"/>
    <w:rsid w:val="00847B07"/>
    <w:rsid w:val="00850EBE"/>
    <w:rsid w:val="008510B0"/>
    <w:rsid w:val="00853725"/>
    <w:rsid w:val="0085527F"/>
    <w:rsid w:val="0085548C"/>
    <w:rsid w:val="0085553C"/>
    <w:rsid w:val="00855893"/>
    <w:rsid w:val="00855C6B"/>
    <w:rsid w:val="00855F99"/>
    <w:rsid w:val="00856F2A"/>
    <w:rsid w:val="00857D42"/>
    <w:rsid w:val="00857D92"/>
    <w:rsid w:val="0086120F"/>
    <w:rsid w:val="00861A70"/>
    <w:rsid w:val="008620DB"/>
    <w:rsid w:val="00862106"/>
    <w:rsid w:val="0086284B"/>
    <w:rsid w:val="00863CAD"/>
    <w:rsid w:val="008653ED"/>
    <w:rsid w:val="008673DB"/>
    <w:rsid w:val="0086746B"/>
    <w:rsid w:val="00867664"/>
    <w:rsid w:val="00867A02"/>
    <w:rsid w:val="00867BCE"/>
    <w:rsid w:val="008714F7"/>
    <w:rsid w:val="008722B7"/>
    <w:rsid w:val="0087485B"/>
    <w:rsid w:val="00875548"/>
    <w:rsid w:val="00880861"/>
    <w:rsid w:val="00880C67"/>
    <w:rsid w:val="0088159C"/>
    <w:rsid w:val="0088190F"/>
    <w:rsid w:val="00881E8A"/>
    <w:rsid w:val="0088232A"/>
    <w:rsid w:val="00882D06"/>
    <w:rsid w:val="00883163"/>
    <w:rsid w:val="008836AE"/>
    <w:rsid w:val="00883EC5"/>
    <w:rsid w:val="008848C2"/>
    <w:rsid w:val="00884E8A"/>
    <w:rsid w:val="0088638A"/>
    <w:rsid w:val="0088661E"/>
    <w:rsid w:val="00886670"/>
    <w:rsid w:val="008876C2"/>
    <w:rsid w:val="00887E4C"/>
    <w:rsid w:val="00892484"/>
    <w:rsid w:val="0089290E"/>
    <w:rsid w:val="00893204"/>
    <w:rsid w:val="008958B7"/>
    <w:rsid w:val="008959D8"/>
    <w:rsid w:val="00895D61"/>
    <w:rsid w:val="008962ED"/>
    <w:rsid w:val="00897B9F"/>
    <w:rsid w:val="008A051A"/>
    <w:rsid w:val="008A0AE8"/>
    <w:rsid w:val="008A1AF1"/>
    <w:rsid w:val="008A2485"/>
    <w:rsid w:val="008A33E0"/>
    <w:rsid w:val="008A4379"/>
    <w:rsid w:val="008A46F4"/>
    <w:rsid w:val="008A52A3"/>
    <w:rsid w:val="008A54D1"/>
    <w:rsid w:val="008A5AD7"/>
    <w:rsid w:val="008A646F"/>
    <w:rsid w:val="008A6890"/>
    <w:rsid w:val="008A7382"/>
    <w:rsid w:val="008B0EE7"/>
    <w:rsid w:val="008B1097"/>
    <w:rsid w:val="008B1A33"/>
    <w:rsid w:val="008B2806"/>
    <w:rsid w:val="008B2F8E"/>
    <w:rsid w:val="008B3A71"/>
    <w:rsid w:val="008B3C3D"/>
    <w:rsid w:val="008B4BA3"/>
    <w:rsid w:val="008B4DA0"/>
    <w:rsid w:val="008B5273"/>
    <w:rsid w:val="008B5430"/>
    <w:rsid w:val="008B5533"/>
    <w:rsid w:val="008B637F"/>
    <w:rsid w:val="008B7271"/>
    <w:rsid w:val="008C071C"/>
    <w:rsid w:val="008C0799"/>
    <w:rsid w:val="008C0A38"/>
    <w:rsid w:val="008C0C31"/>
    <w:rsid w:val="008C2590"/>
    <w:rsid w:val="008C2827"/>
    <w:rsid w:val="008C3BCA"/>
    <w:rsid w:val="008C3C0E"/>
    <w:rsid w:val="008C499E"/>
    <w:rsid w:val="008C49D3"/>
    <w:rsid w:val="008C4E9D"/>
    <w:rsid w:val="008C5021"/>
    <w:rsid w:val="008C5B36"/>
    <w:rsid w:val="008C6A90"/>
    <w:rsid w:val="008C6CFC"/>
    <w:rsid w:val="008C72A2"/>
    <w:rsid w:val="008C72B9"/>
    <w:rsid w:val="008D0551"/>
    <w:rsid w:val="008D0800"/>
    <w:rsid w:val="008D098D"/>
    <w:rsid w:val="008D0F72"/>
    <w:rsid w:val="008D2B3C"/>
    <w:rsid w:val="008D599A"/>
    <w:rsid w:val="008D64F8"/>
    <w:rsid w:val="008D6D25"/>
    <w:rsid w:val="008E1020"/>
    <w:rsid w:val="008E1189"/>
    <w:rsid w:val="008E178D"/>
    <w:rsid w:val="008E1E6C"/>
    <w:rsid w:val="008E2A8C"/>
    <w:rsid w:val="008E4571"/>
    <w:rsid w:val="008E4FB6"/>
    <w:rsid w:val="008E60B0"/>
    <w:rsid w:val="008E6AAB"/>
    <w:rsid w:val="008E7CA1"/>
    <w:rsid w:val="008E7E92"/>
    <w:rsid w:val="008E7F88"/>
    <w:rsid w:val="008F105C"/>
    <w:rsid w:val="008F1884"/>
    <w:rsid w:val="008F1E07"/>
    <w:rsid w:val="008F3669"/>
    <w:rsid w:val="008F38E5"/>
    <w:rsid w:val="008F3BA9"/>
    <w:rsid w:val="008F3D90"/>
    <w:rsid w:val="008F4B48"/>
    <w:rsid w:val="008F6723"/>
    <w:rsid w:val="008F6DF2"/>
    <w:rsid w:val="008F706B"/>
    <w:rsid w:val="008F737E"/>
    <w:rsid w:val="00901BA0"/>
    <w:rsid w:val="00901BFC"/>
    <w:rsid w:val="009027AF"/>
    <w:rsid w:val="009033FC"/>
    <w:rsid w:val="0090416B"/>
    <w:rsid w:val="00904673"/>
    <w:rsid w:val="009054FA"/>
    <w:rsid w:val="00905CB2"/>
    <w:rsid w:val="00906619"/>
    <w:rsid w:val="00911A08"/>
    <w:rsid w:val="00912959"/>
    <w:rsid w:val="00912CF1"/>
    <w:rsid w:val="00913AD5"/>
    <w:rsid w:val="0091455D"/>
    <w:rsid w:val="0091469C"/>
    <w:rsid w:val="00914903"/>
    <w:rsid w:val="00914B8B"/>
    <w:rsid w:val="0091601F"/>
    <w:rsid w:val="009169FA"/>
    <w:rsid w:val="00916A6A"/>
    <w:rsid w:val="00917609"/>
    <w:rsid w:val="00917E47"/>
    <w:rsid w:val="00920F79"/>
    <w:rsid w:val="00921F09"/>
    <w:rsid w:val="00922F42"/>
    <w:rsid w:val="00922FEC"/>
    <w:rsid w:val="0092471A"/>
    <w:rsid w:val="0092501C"/>
    <w:rsid w:val="009253D6"/>
    <w:rsid w:val="00926F17"/>
    <w:rsid w:val="00926F67"/>
    <w:rsid w:val="0092710A"/>
    <w:rsid w:val="0092721E"/>
    <w:rsid w:val="00931A80"/>
    <w:rsid w:val="00932B30"/>
    <w:rsid w:val="00932F1F"/>
    <w:rsid w:val="00932F3D"/>
    <w:rsid w:val="00932FA2"/>
    <w:rsid w:val="009336C8"/>
    <w:rsid w:val="00933C43"/>
    <w:rsid w:val="00935908"/>
    <w:rsid w:val="009361EB"/>
    <w:rsid w:val="0093763F"/>
    <w:rsid w:val="00937D5D"/>
    <w:rsid w:val="00940943"/>
    <w:rsid w:val="00940969"/>
    <w:rsid w:val="00940B51"/>
    <w:rsid w:val="0094111A"/>
    <w:rsid w:val="00941999"/>
    <w:rsid w:val="00942A5A"/>
    <w:rsid w:val="00942E89"/>
    <w:rsid w:val="0094309C"/>
    <w:rsid w:val="0094361E"/>
    <w:rsid w:val="00943D80"/>
    <w:rsid w:val="00943E97"/>
    <w:rsid w:val="00945824"/>
    <w:rsid w:val="00945B95"/>
    <w:rsid w:val="00945BC4"/>
    <w:rsid w:val="00945F83"/>
    <w:rsid w:val="00945F96"/>
    <w:rsid w:val="0094696D"/>
    <w:rsid w:val="00946BF2"/>
    <w:rsid w:val="00946C44"/>
    <w:rsid w:val="009507D4"/>
    <w:rsid w:val="00950FBB"/>
    <w:rsid w:val="0095155D"/>
    <w:rsid w:val="009515A8"/>
    <w:rsid w:val="00951EF6"/>
    <w:rsid w:val="00952CD7"/>
    <w:rsid w:val="00952F1B"/>
    <w:rsid w:val="0095383D"/>
    <w:rsid w:val="00953856"/>
    <w:rsid w:val="00954308"/>
    <w:rsid w:val="00954FEB"/>
    <w:rsid w:val="00956CF8"/>
    <w:rsid w:val="00956E40"/>
    <w:rsid w:val="0095700E"/>
    <w:rsid w:val="009578E1"/>
    <w:rsid w:val="00957D5C"/>
    <w:rsid w:val="00960247"/>
    <w:rsid w:val="00961055"/>
    <w:rsid w:val="00962D6E"/>
    <w:rsid w:val="0096329C"/>
    <w:rsid w:val="00963F01"/>
    <w:rsid w:val="0096498C"/>
    <w:rsid w:val="0096534D"/>
    <w:rsid w:val="0096543B"/>
    <w:rsid w:val="00965DAA"/>
    <w:rsid w:val="009660E0"/>
    <w:rsid w:val="0096656E"/>
    <w:rsid w:val="00966A25"/>
    <w:rsid w:val="0096749B"/>
    <w:rsid w:val="0096797E"/>
    <w:rsid w:val="00970010"/>
    <w:rsid w:val="0097031F"/>
    <w:rsid w:val="00970A9E"/>
    <w:rsid w:val="00971455"/>
    <w:rsid w:val="0097174A"/>
    <w:rsid w:val="00971BE1"/>
    <w:rsid w:val="00971D84"/>
    <w:rsid w:val="009737E4"/>
    <w:rsid w:val="009745B8"/>
    <w:rsid w:val="00975217"/>
    <w:rsid w:val="00975E55"/>
    <w:rsid w:val="0097609C"/>
    <w:rsid w:val="00976113"/>
    <w:rsid w:val="00976874"/>
    <w:rsid w:val="0097750C"/>
    <w:rsid w:val="00977BFA"/>
    <w:rsid w:val="00982129"/>
    <w:rsid w:val="0098352D"/>
    <w:rsid w:val="00983FED"/>
    <w:rsid w:val="0098423E"/>
    <w:rsid w:val="00986AEC"/>
    <w:rsid w:val="00986FD0"/>
    <w:rsid w:val="00987FEC"/>
    <w:rsid w:val="00990429"/>
    <w:rsid w:val="00990B82"/>
    <w:rsid w:val="00990B8F"/>
    <w:rsid w:val="00990C1C"/>
    <w:rsid w:val="0099171F"/>
    <w:rsid w:val="00991773"/>
    <w:rsid w:val="00991939"/>
    <w:rsid w:val="00991ACF"/>
    <w:rsid w:val="009927A3"/>
    <w:rsid w:val="0099287A"/>
    <w:rsid w:val="009933D9"/>
    <w:rsid w:val="00993579"/>
    <w:rsid w:val="00993A0F"/>
    <w:rsid w:val="00995EDC"/>
    <w:rsid w:val="00997BC4"/>
    <w:rsid w:val="009A08BB"/>
    <w:rsid w:val="009A219A"/>
    <w:rsid w:val="009A3283"/>
    <w:rsid w:val="009A337D"/>
    <w:rsid w:val="009A415B"/>
    <w:rsid w:val="009A54A8"/>
    <w:rsid w:val="009A5606"/>
    <w:rsid w:val="009A5D20"/>
    <w:rsid w:val="009A62C6"/>
    <w:rsid w:val="009A630F"/>
    <w:rsid w:val="009A6502"/>
    <w:rsid w:val="009A65B1"/>
    <w:rsid w:val="009A6914"/>
    <w:rsid w:val="009A72C7"/>
    <w:rsid w:val="009A781C"/>
    <w:rsid w:val="009B0371"/>
    <w:rsid w:val="009B0FBB"/>
    <w:rsid w:val="009B1647"/>
    <w:rsid w:val="009B166F"/>
    <w:rsid w:val="009B27D3"/>
    <w:rsid w:val="009B2EC5"/>
    <w:rsid w:val="009B3293"/>
    <w:rsid w:val="009B3841"/>
    <w:rsid w:val="009B3DEE"/>
    <w:rsid w:val="009B5318"/>
    <w:rsid w:val="009B5DD1"/>
    <w:rsid w:val="009B6720"/>
    <w:rsid w:val="009B6985"/>
    <w:rsid w:val="009B6A9E"/>
    <w:rsid w:val="009B79AC"/>
    <w:rsid w:val="009B7F45"/>
    <w:rsid w:val="009C0890"/>
    <w:rsid w:val="009C0DCF"/>
    <w:rsid w:val="009C15F6"/>
    <w:rsid w:val="009C19ED"/>
    <w:rsid w:val="009C35D9"/>
    <w:rsid w:val="009C3CFE"/>
    <w:rsid w:val="009C45A9"/>
    <w:rsid w:val="009C48E2"/>
    <w:rsid w:val="009C5636"/>
    <w:rsid w:val="009C5989"/>
    <w:rsid w:val="009C69B9"/>
    <w:rsid w:val="009C6AB2"/>
    <w:rsid w:val="009C7A54"/>
    <w:rsid w:val="009D0410"/>
    <w:rsid w:val="009D1B3D"/>
    <w:rsid w:val="009D1F2F"/>
    <w:rsid w:val="009D2CFF"/>
    <w:rsid w:val="009D34BA"/>
    <w:rsid w:val="009D3B80"/>
    <w:rsid w:val="009D4A82"/>
    <w:rsid w:val="009D4B28"/>
    <w:rsid w:val="009D571B"/>
    <w:rsid w:val="009D590B"/>
    <w:rsid w:val="009D67A4"/>
    <w:rsid w:val="009E1F41"/>
    <w:rsid w:val="009E2432"/>
    <w:rsid w:val="009E28B5"/>
    <w:rsid w:val="009E2E3D"/>
    <w:rsid w:val="009E34B3"/>
    <w:rsid w:val="009E3FFF"/>
    <w:rsid w:val="009E46B5"/>
    <w:rsid w:val="009E5524"/>
    <w:rsid w:val="009E55F7"/>
    <w:rsid w:val="009E5FA8"/>
    <w:rsid w:val="009E62B5"/>
    <w:rsid w:val="009E6A6A"/>
    <w:rsid w:val="009E78D5"/>
    <w:rsid w:val="009E78FB"/>
    <w:rsid w:val="009E7C3C"/>
    <w:rsid w:val="009E7EFF"/>
    <w:rsid w:val="009F0EC6"/>
    <w:rsid w:val="009F1167"/>
    <w:rsid w:val="009F11A5"/>
    <w:rsid w:val="009F14CE"/>
    <w:rsid w:val="009F156D"/>
    <w:rsid w:val="009F185D"/>
    <w:rsid w:val="009F18C5"/>
    <w:rsid w:val="009F1C68"/>
    <w:rsid w:val="009F2391"/>
    <w:rsid w:val="009F3518"/>
    <w:rsid w:val="009F3FD0"/>
    <w:rsid w:val="009F53D8"/>
    <w:rsid w:val="009F5D0F"/>
    <w:rsid w:val="009F5E00"/>
    <w:rsid w:val="009F6069"/>
    <w:rsid w:val="009F60B2"/>
    <w:rsid w:val="009F6A19"/>
    <w:rsid w:val="009F6FE2"/>
    <w:rsid w:val="009F7051"/>
    <w:rsid w:val="00A00158"/>
    <w:rsid w:val="00A011CD"/>
    <w:rsid w:val="00A01774"/>
    <w:rsid w:val="00A01CBA"/>
    <w:rsid w:val="00A0213A"/>
    <w:rsid w:val="00A0302B"/>
    <w:rsid w:val="00A03275"/>
    <w:rsid w:val="00A0410C"/>
    <w:rsid w:val="00A044C9"/>
    <w:rsid w:val="00A046E6"/>
    <w:rsid w:val="00A0478D"/>
    <w:rsid w:val="00A0565B"/>
    <w:rsid w:val="00A05EFF"/>
    <w:rsid w:val="00A0621D"/>
    <w:rsid w:val="00A07BFD"/>
    <w:rsid w:val="00A102AD"/>
    <w:rsid w:val="00A11B64"/>
    <w:rsid w:val="00A11C38"/>
    <w:rsid w:val="00A12941"/>
    <w:rsid w:val="00A12DE6"/>
    <w:rsid w:val="00A138C0"/>
    <w:rsid w:val="00A13C3D"/>
    <w:rsid w:val="00A1455D"/>
    <w:rsid w:val="00A14AF8"/>
    <w:rsid w:val="00A14B7F"/>
    <w:rsid w:val="00A15CAC"/>
    <w:rsid w:val="00A15D08"/>
    <w:rsid w:val="00A16D33"/>
    <w:rsid w:val="00A171FB"/>
    <w:rsid w:val="00A17681"/>
    <w:rsid w:val="00A17BB8"/>
    <w:rsid w:val="00A20CA9"/>
    <w:rsid w:val="00A20E84"/>
    <w:rsid w:val="00A21DC1"/>
    <w:rsid w:val="00A220FA"/>
    <w:rsid w:val="00A23CED"/>
    <w:rsid w:val="00A24163"/>
    <w:rsid w:val="00A24E3E"/>
    <w:rsid w:val="00A2528C"/>
    <w:rsid w:val="00A25878"/>
    <w:rsid w:val="00A25D28"/>
    <w:rsid w:val="00A267BE"/>
    <w:rsid w:val="00A26810"/>
    <w:rsid w:val="00A26A05"/>
    <w:rsid w:val="00A26ED7"/>
    <w:rsid w:val="00A2721E"/>
    <w:rsid w:val="00A274B6"/>
    <w:rsid w:val="00A276AE"/>
    <w:rsid w:val="00A278DE"/>
    <w:rsid w:val="00A30A95"/>
    <w:rsid w:val="00A31DC0"/>
    <w:rsid w:val="00A32BC0"/>
    <w:rsid w:val="00A32F90"/>
    <w:rsid w:val="00A336E0"/>
    <w:rsid w:val="00A354A5"/>
    <w:rsid w:val="00A356AA"/>
    <w:rsid w:val="00A36183"/>
    <w:rsid w:val="00A379E7"/>
    <w:rsid w:val="00A41947"/>
    <w:rsid w:val="00A41E2B"/>
    <w:rsid w:val="00A42F52"/>
    <w:rsid w:val="00A42F68"/>
    <w:rsid w:val="00A430A3"/>
    <w:rsid w:val="00A43938"/>
    <w:rsid w:val="00A44AD4"/>
    <w:rsid w:val="00A45A5E"/>
    <w:rsid w:val="00A45A71"/>
    <w:rsid w:val="00A469C7"/>
    <w:rsid w:val="00A474FD"/>
    <w:rsid w:val="00A47F53"/>
    <w:rsid w:val="00A5002F"/>
    <w:rsid w:val="00A509F1"/>
    <w:rsid w:val="00A511BD"/>
    <w:rsid w:val="00A51646"/>
    <w:rsid w:val="00A519DF"/>
    <w:rsid w:val="00A5261B"/>
    <w:rsid w:val="00A52C65"/>
    <w:rsid w:val="00A52E52"/>
    <w:rsid w:val="00A5331C"/>
    <w:rsid w:val="00A53ACB"/>
    <w:rsid w:val="00A53F57"/>
    <w:rsid w:val="00A54045"/>
    <w:rsid w:val="00A543B5"/>
    <w:rsid w:val="00A5471A"/>
    <w:rsid w:val="00A5637D"/>
    <w:rsid w:val="00A5648C"/>
    <w:rsid w:val="00A6037E"/>
    <w:rsid w:val="00A6330F"/>
    <w:rsid w:val="00A63741"/>
    <w:rsid w:val="00A63BAB"/>
    <w:rsid w:val="00A64F97"/>
    <w:rsid w:val="00A6524E"/>
    <w:rsid w:val="00A65723"/>
    <w:rsid w:val="00A65EEE"/>
    <w:rsid w:val="00A66587"/>
    <w:rsid w:val="00A6660D"/>
    <w:rsid w:val="00A70495"/>
    <w:rsid w:val="00A70508"/>
    <w:rsid w:val="00A7103B"/>
    <w:rsid w:val="00A7182E"/>
    <w:rsid w:val="00A71966"/>
    <w:rsid w:val="00A71A62"/>
    <w:rsid w:val="00A72630"/>
    <w:rsid w:val="00A7363C"/>
    <w:rsid w:val="00A73A9B"/>
    <w:rsid w:val="00A73BED"/>
    <w:rsid w:val="00A743F1"/>
    <w:rsid w:val="00A74F80"/>
    <w:rsid w:val="00A757C9"/>
    <w:rsid w:val="00A75ABD"/>
    <w:rsid w:val="00A75CF3"/>
    <w:rsid w:val="00A7640E"/>
    <w:rsid w:val="00A777C7"/>
    <w:rsid w:val="00A77AF6"/>
    <w:rsid w:val="00A77F61"/>
    <w:rsid w:val="00A8098C"/>
    <w:rsid w:val="00A813B2"/>
    <w:rsid w:val="00A83585"/>
    <w:rsid w:val="00A83FD6"/>
    <w:rsid w:val="00A84831"/>
    <w:rsid w:val="00A84884"/>
    <w:rsid w:val="00A84E11"/>
    <w:rsid w:val="00A86554"/>
    <w:rsid w:val="00A8691B"/>
    <w:rsid w:val="00A87E0A"/>
    <w:rsid w:val="00A90466"/>
    <w:rsid w:val="00A90A57"/>
    <w:rsid w:val="00A91FC7"/>
    <w:rsid w:val="00A92976"/>
    <w:rsid w:val="00A93464"/>
    <w:rsid w:val="00A93643"/>
    <w:rsid w:val="00A94347"/>
    <w:rsid w:val="00A944EB"/>
    <w:rsid w:val="00A94A64"/>
    <w:rsid w:val="00A953F1"/>
    <w:rsid w:val="00A95530"/>
    <w:rsid w:val="00A965E9"/>
    <w:rsid w:val="00A9747B"/>
    <w:rsid w:val="00A9786B"/>
    <w:rsid w:val="00AA0039"/>
    <w:rsid w:val="00AA0587"/>
    <w:rsid w:val="00AA19E8"/>
    <w:rsid w:val="00AA1B1C"/>
    <w:rsid w:val="00AA1E92"/>
    <w:rsid w:val="00AA20CF"/>
    <w:rsid w:val="00AA23D5"/>
    <w:rsid w:val="00AA2949"/>
    <w:rsid w:val="00AA2B72"/>
    <w:rsid w:val="00AA2C17"/>
    <w:rsid w:val="00AA5CD1"/>
    <w:rsid w:val="00AA5E34"/>
    <w:rsid w:val="00AA62EF"/>
    <w:rsid w:val="00AA761E"/>
    <w:rsid w:val="00AA76F3"/>
    <w:rsid w:val="00AB0E7F"/>
    <w:rsid w:val="00AB0F6A"/>
    <w:rsid w:val="00AB1142"/>
    <w:rsid w:val="00AB1284"/>
    <w:rsid w:val="00AB14F4"/>
    <w:rsid w:val="00AB241B"/>
    <w:rsid w:val="00AB3BD9"/>
    <w:rsid w:val="00AB3EA6"/>
    <w:rsid w:val="00AB50CF"/>
    <w:rsid w:val="00AB5869"/>
    <w:rsid w:val="00AB6BB4"/>
    <w:rsid w:val="00AB73A7"/>
    <w:rsid w:val="00AB7C9D"/>
    <w:rsid w:val="00AC0692"/>
    <w:rsid w:val="00AC093D"/>
    <w:rsid w:val="00AC0D3B"/>
    <w:rsid w:val="00AC11D1"/>
    <w:rsid w:val="00AC11DB"/>
    <w:rsid w:val="00AC139C"/>
    <w:rsid w:val="00AC21D5"/>
    <w:rsid w:val="00AC23EB"/>
    <w:rsid w:val="00AC403F"/>
    <w:rsid w:val="00AC46F6"/>
    <w:rsid w:val="00AC4D90"/>
    <w:rsid w:val="00AC4E83"/>
    <w:rsid w:val="00AC5C09"/>
    <w:rsid w:val="00AC60AF"/>
    <w:rsid w:val="00AC640A"/>
    <w:rsid w:val="00AC68C7"/>
    <w:rsid w:val="00AC6B5B"/>
    <w:rsid w:val="00AC6C24"/>
    <w:rsid w:val="00AC7362"/>
    <w:rsid w:val="00AC75CD"/>
    <w:rsid w:val="00AC7B8F"/>
    <w:rsid w:val="00AC7E29"/>
    <w:rsid w:val="00AD0106"/>
    <w:rsid w:val="00AD0A3A"/>
    <w:rsid w:val="00AD1790"/>
    <w:rsid w:val="00AD19A1"/>
    <w:rsid w:val="00AD1D64"/>
    <w:rsid w:val="00AD2418"/>
    <w:rsid w:val="00AD3444"/>
    <w:rsid w:val="00AD45EF"/>
    <w:rsid w:val="00AD4CC8"/>
    <w:rsid w:val="00AD4FB6"/>
    <w:rsid w:val="00AD5047"/>
    <w:rsid w:val="00AD54B6"/>
    <w:rsid w:val="00AD586C"/>
    <w:rsid w:val="00AD59D4"/>
    <w:rsid w:val="00AD5E45"/>
    <w:rsid w:val="00AD62AC"/>
    <w:rsid w:val="00AD6B3D"/>
    <w:rsid w:val="00AD732A"/>
    <w:rsid w:val="00AD7A21"/>
    <w:rsid w:val="00AE0E97"/>
    <w:rsid w:val="00AE1253"/>
    <w:rsid w:val="00AE286F"/>
    <w:rsid w:val="00AE2DE4"/>
    <w:rsid w:val="00AE3D2F"/>
    <w:rsid w:val="00AE4B53"/>
    <w:rsid w:val="00AE5977"/>
    <w:rsid w:val="00AE6DB7"/>
    <w:rsid w:val="00AF06AD"/>
    <w:rsid w:val="00AF07EC"/>
    <w:rsid w:val="00AF0F28"/>
    <w:rsid w:val="00AF100B"/>
    <w:rsid w:val="00AF11B0"/>
    <w:rsid w:val="00AF2B18"/>
    <w:rsid w:val="00AF2B99"/>
    <w:rsid w:val="00AF2D33"/>
    <w:rsid w:val="00AF395F"/>
    <w:rsid w:val="00AF45C0"/>
    <w:rsid w:val="00AF4A9F"/>
    <w:rsid w:val="00AF4F05"/>
    <w:rsid w:val="00AF56F3"/>
    <w:rsid w:val="00AF617C"/>
    <w:rsid w:val="00B000EB"/>
    <w:rsid w:val="00B00181"/>
    <w:rsid w:val="00B004A7"/>
    <w:rsid w:val="00B0065E"/>
    <w:rsid w:val="00B00F4B"/>
    <w:rsid w:val="00B010DA"/>
    <w:rsid w:val="00B01AA9"/>
    <w:rsid w:val="00B01B10"/>
    <w:rsid w:val="00B024C1"/>
    <w:rsid w:val="00B02A32"/>
    <w:rsid w:val="00B030CC"/>
    <w:rsid w:val="00B03352"/>
    <w:rsid w:val="00B034BF"/>
    <w:rsid w:val="00B0395D"/>
    <w:rsid w:val="00B03D31"/>
    <w:rsid w:val="00B04299"/>
    <w:rsid w:val="00B0623E"/>
    <w:rsid w:val="00B06394"/>
    <w:rsid w:val="00B066CD"/>
    <w:rsid w:val="00B07715"/>
    <w:rsid w:val="00B1057E"/>
    <w:rsid w:val="00B11117"/>
    <w:rsid w:val="00B1116F"/>
    <w:rsid w:val="00B12D96"/>
    <w:rsid w:val="00B12FDE"/>
    <w:rsid w:val="00B1334C"/>
    <w:rsid w:val="00B1385E"/>
    <w:rsid w:val="00B14D11"/>
    <w:rsid w:val="00B16118"/>
    <w:rsid w:val="00B17A59"/>
    <w:rsid w:val="00B20BF2"/>
    <w:rsid w:val="00B220AC"/>
    <w:rsid w:val="00B2249C"/>
    <w:rsid w:val="00B22B9E"/>
    <w:rsid w:val="00B233CA"/>
    <w:rsid w:val="00B236A6"/>
    <w:rsid w:val="00B23837"/>
    <w:rsid w:val="00B24091"/>
    <w:rsid w:val="00B2473A"/>
    <w:rsid w:val="00B24CDD"/>
    <w:rsid w:val="00B25F83"/>
    <w:rsid w:val="00B26411"/>
    <w:rsid w:val="00B2686C"/>
    <w:rsid w:val="00B275A2"/>
    <w:rsid w:val="00B3066A"/>
    <w:rsid w:val="00B307CA"/>
    <w:rsid w:val="00B309CF"/>
    <w:rsid w:val="00B31D23"/>
    <w:rsid w:val="00B334D9"/>
    <w:rsid w:val="00B35B8E"/>
    <w:rsid w:val="00B37C85"/>
    <w:rsid w:val="00B4038B"/>
    <w:rsid w:val="00B40D33"/>
    <w:rsid w:val="00B40D8B"/>
    <w:rsid w:val="00B41CDD"/>
    <w:rsid w:val="00B41D45"/>
    <w:rsid w:val="00B421A6"/>
    <w:rsid w:val="00B42917"/>
    <w:rsid w:val="00B42942"/>
    <w:rsid w:val="00B4386B"/>
    <w:rsid w:val="00B44ABF"/>
    <w:rsid w:val="00B47675"/>
    <w:rsid w:val="00B47897"/>
    <w:rsid w:val="00B47B44"/>
    <w:rsid w:val="00B47DEC"/>
    <w:rsid w:val="00B50155"/>
    <w:rsid w:val="00B502CC"/>
    <w:rsid w:val="00B50445"/>
    <w:rsid w:val="00B508CE"/>
    <w:rsid w:val="00B5096A"/>
    <w:rsid w:val="00B50C0A"/>
    <w:rsid w:val="00B50DE2"/>
    <w:rsid w:val="00B51418"/>
    <w:rsid w:val="00B51E95"/>
    <w:rsid w:val="00B52266"/>
    <w:rsid w:val="00B52399"/>
    <w:rsid w:val="00B52A0A"/>
    <w:rsid w:val="00B531F3"/>
    <w:rsid w:val="00B53351"/>
    <w:rsid w:val="00B53AB7"/>
    <w:rsid w:val="00B53B2B"/>
    <w:rsid w:val="00B54330"/>
    <w:rsid w:val="00B54389"/>
    <w:rsid w:val="00B55683"/>
    <w:rsid w:val="00B5646B"/>
    <w:rsid w:val="00B5697D"/>
    <w:rsid w:val="00B56AC8"/>
    <w:rsid w:val="00B572DA"/>
    <w:rsid w:val="00B57B44"/>
    <w:rsid w:val="00B57D27"/>
    <w:rsid w:val="00B60E64"/>
    <w:rsid w:val="00B61612"/>
    <w:rsid w:val="00B623C0"/>
    <w:rsid w:val="00B62558"/>
    <w:rsid w:val="00B62894"/>
    <w:rsid w:val="00B62D9F"/>
    <w:rsid w:val="00B63AED"/>
    <w:rsid w:val="00B654D7"/>
    <w:rsid w:val="00B657EF"/>
    <w:rsid w:val="00B65ACC"/>
    <w:rsid w:val="00B66401"/>
    <w:rsid w:val="00B664D3"/>
    <w:rsid w:val="00B67D39"/>
    <w:rsid w:val="00B707B7"/>
    <w:rsid w:val="00B70ACD"/>
    <w:rsid w:val="00B70B04"/>
    <w:rsid w:val="00B70BD3"/>
    <w:rsid w:val="00B721B8"/>
    <w:rsid w:val="00B73941"/>
    <w:rsid w:val="00B74143"/>
    <w:rsid w:val="00B74513"/>
    <w:rsid w:val="00B74637"/>
    <w:rsid w:val="00B746BA"/>
    <w:rsid w:val="00B75C7C"/>
    <w:rsid w:val="00B76172"/>
    <w:rsid w:val="00B76315"/>
    <w:rsid w:val="00B7656E"/>
    <w:rsid w:val="00B76F41"/>
    <w:rsid w:val="00B80F06"/>
    <w:rsid w:val="00B81238"/>
    <w:rsid w:val="00B8227B"/>
    <w:rsid w:val="00B830C6"/>
    <w:rsid w:val="00B83788"/>
    <w:rsid w:val="00B84B3E"/>
    <w:rsid w:val="00B85ABB"/>
    <w:rsid w:val="00B862E4"/>
    <w:rsid w:val="00B901BB"/>
    <w:rsid w:val="00B90AFC"/>
    <w:rsid w:val="00B91082"/>
    <w:rsid w:val="00B921E6"/>
    <w:rsid w:val="00B92881"/>
    <w:rsid w:val="00B92CA9"/>
    <w:rsid w:val="00B92FE1"/>
    <w:rsid w:val="00B93ADB"/>
    <w:rsid w:val="00B944CC"/>
    <w:rsid w:val="00B94780"/>
    <w:rsid w:val="00B94970"/>
    <w:rsid w:val="00B94DAF"/>
    <w:rsid w:val="00B94E81"/>
    <w:rsid w:val="00B96274"/>
    <w:rsid w:val="00B96559"/>
    <w:rsid w:val="00B977AE"/>
    <w:rsid w:val="00B97BEF"/>
    <w:rsid w:val="00B97C8B"/>
    <w:rsid w:val="00BA0BF0"/>
    <w:rsid w:val="00BA27BC"/>
    <w:rsid w:val="00BA3BF6"/>
    <w:rsid w:val="00BA4132"/>
    <w:rsid w:val="00BA4160"/>
    <w:rsid w:val="00BA450E"/>
    <w:rsid w:val="00BA4DB4"/>
    <w:rsid w:val="00BA58E7"/>
    <w:rsid w:val="00BA5922"/>
    <w:rsid w:val="00BA65AF"/>
    <w:rsid w:val="00BA6798"/>
    <w:rsid w:val="00BA71C8"/>
    <w:rsid w:val="00BA764E"/>
    <w:rsid w:val="00BB059B"/>
    <w:rsid w:val="00BB0734"/>
    <w:rsid w:val="00BB0846"/>
    <w:rsid w:val="00BB091C"/>
    <w:rsid w:val="00BB2F44"/>
    <w:rsid w:val="00BB3D95"/>
    <w:rsid w:val="00BB66AB"/>
    <w:rsid w:val="00BB78C0"/>
    <w:rsid w:val="00BC1E83"/>
    <w:rsid w:val="00BC1EAB"/>
    <w:rsid w:val="00BC220D"/>
    <w:rsid w:val="00BC26B3"/>
    <w:rsid w:val="00BC2A55"/>
    <w:rsid w:val="00BC372C"/>
    <w:rsid w:val="00BC3F36"/>
    <w:rsid w:val="00BC3F4B"/>
    <w:rsid w:val="00BC41EA"/>
    <w:rsid w:val="00BC420C"/>
    <w:rsid w:val="00BC4437"/>
    <w:rsid w:val="00BC58C0"/>
    <w:rsid w:val="00BD026A"/>
    <w:rsid w:val="00BD0CD6"/>
    <w:rsid w:val="00BD0FB6"/>
    <w:rsid w:val="00BD105D"/>
    <w:rsid w:val="00BD1D4D"/>
    <w:rsid w:val="00BD212C"/>
    <w:rsid w:val="00BD25EB"/>
    <w:rsid w:val="00BD3FDD"/>
    <w:rsid w:val="00BD429C"/>
    <w:rsid w:val="00BD5EA4"/>
    <w:rsid w:val="00BD5EF6"/>
    <w:rsid w:val="00BD60E7"/>
    <w:rsid w:val="00BD79EE"/>
    <w:rsid w:val="00BE0158"/>
    <w:rsid w:val="00BE0295"/>
    <w:rsid w:val="00BE106C"/>
    <w:rsid w:val="00BE182E"/>
    <w:rsid w:val="00BE2752"/>
    <w:rsid w:val="00BE2874"/>
    <w:rsid w:val="00BE2D35"/>
    <w:rsid w:val="00BE3A36"/>
    <w:rsid w:val="00BE3FDA"/>
    <w:rsid w:val="00BE4898"/>
    <w:rsid w:val="00BE546E"/>
    <w:rsid w:val="00BE5B15"/>
    <w:rsid w:val="00BE5DF7"/>
    <w:rsid w:val="00BE633B"/>
    <w:rsid w:val="00BE6513"/>
    <w:rsid w:val="00BE69CF"/>
    <w:rsid w:val="00BE6BEF"/>
    <w:rsid w:val="00BE7E35"/>
    <w:rsid w:val="00BF0E06"/>
    <w:rsid w:val="00BF1D42"/>
    <w:rsid w:val="00BF2057"/>
    <w:rsid w:val="00BF2C43"/>
    <w:rsid w:val="00BF3174"/>
    <w:rsid w:val="00BF3A0D"/>
    <w:rsid w:val="00BF3B51"/>
    <w:rsid w:val="00BF3E71"/>
    <w:rsid w:val="00BF43AD"/>
    <w:rsid w:val="00BF441D"/>
    <w:rsid w:val="00BF4662"/>
    <w:rsid w:val="00BF4713"/>
    <w:rsid w:val="00BF4FA3"/>
    <w:rsid w:val="00BF5A64"/>
    <w:rsid w:val="00BF66AD"/>
    <w:rsid w:val="00BF7C6E"/>
    <w:rsid w:val="00BF7D4C"/>
    <w:rsid w:val="00C004B6"/>
    <w:rsid w:val="00C00818"/>
    <w:rsid w:val="00C0240D"/>
    <w:rsid w:val="00C02909"/>
    <w:rsid w:val="00C03304"/>
    <w:rsid w:val="00C03632"/>
    <w:rsid w:val="00C03C34"/>
    <w:rsid w:val="00C05358"/>
    <w:rsid w:val="00C053D5"/>
    <w:rsid w:val="00C054E3"/>
    <w:rsid w:val="00C069AC"/>
    <w:rsid w:val="00C07F2C"/>
    <w:rsid w:val="00C10BC3"/>
    <w:rsid w:val="00C114B4"/>
    <w:rsid w:val="00C11A7C"/>
    <w:rsid w:val="00C123A2"/>
    <w:rsid w:val="00C1260B"/>
    <w:rsid w:val="00C129EB"/>
    <w:rsid w:val="00C12EA0"/>
    <w:rsid w:val="00C12F79"/>
    <w:rsid w:val="00C13212"/>
    <w:rsid w:val="00C139DF"/>
    <w:rsid w:val="00C141B9"/>
    <w:rsid w:val="00C14319"/>
    <w:rsid w:val="00C14D2F"/>
    <w:rsid w:val="00C14F0D"/>
    <w:rsid w:val="00C15CA9"/>
    <w:rsid w:val="00C16B32"/>
    <w:rsid w:val="00C16D26"/>
    <w:rsid w:val="00C16FA5"/>
    <w:rsid w:val="00C17102"/>
    <w:rsid w:val="00C17119"/>
    <w:rsid w:val="00C20FEC"/>
    <w:rsid w:val="00C22677"/>
    <w:rsid w:val="00C235CD"/>
    <w:rsid w:val="00C2403B"/>
    <w:rsid w:val="00C306B1"/>
    <w:rsid w:val="00C3072C"/>
    <w:rsid w:val="00C309A7"/>
    <w:rsid w:val="00C30E01"/>
    <w:rsid w:val="00C311C4"/>
    <w:rsid w:val="00C31935"/>
    <w:rsid w:val="00C32892"/>
    <w:rsid w:val="00C32BCF"/>
    <w:rsid w:val="00C32C23"/>
    <w:rsid w:val="00C3347B"/>
    <w:rsid w:val="00C33865"/>
    <w:rsid w:val="00C33870"/>
    <w:rsid w:val="00C33D67"/>
    <w:rsid w:val="00C3492F"/>
    <w:rsid w:val="00C34F47"/>
    <w:rsid w:val="00C363BE"/>
    <w:rsid w:val="00C409E3"/>
    <w:rsid w:val="00C40C2B"/>
    <w:rsid w:val="00C40D78"/>
    <w:rsid w:val="00C4161A"/>
    <w:rsid w:val="00C4228D"/>
    <w:rsid w:val="00C42768"/>
    <w:rsid w:val="00C4288C"/>
    <w:rsid w:val="00C428F1"/>
    <w:rsid w:val="00C43618"/>
    <w:rsid w:val="00C44E4B"/>
    <w:rsid w:val="00C451ED"/>
    <w:rsid w:val="00C4566C"/>
    <w:rsid w:val="00C47509"/>
    <w:rsid w:val="00C47A95"/>
    <w:rsid w:val="00C50D9C"/>
    <w:rsid w:val="00C51D94"/>
    <w:rsid w:val="00C53318"/>
    <w:rsid w:val="00C533C0"/>
    <w:rsid w:val="00C5352B"/>
    <w:rsid w:val="00C54B0E"/>
    <w:rsid w:val="00C55DCD"/>
    <w:rsid w:val="00C560F4"/>
    <w:rsid w:val="00C56B00"/>
    <w:rsid w:val="00C56DBA"/>
    <w:rsid w:val="00C60660"/>
    <w:rsid w:val="00C61111"/>
    <w:rsid w:val="00C613BD"/>
    <w:rsid w:val="00C62012"/>
    <w:rsid w:val="00C62336"/>
    <w:rsid w:val="00C631DE"/>
    <w:rsid w:val="00C63914"/>
    <w:rsid w:val="00C63F50"/>
    <w:rsid w:val="00C64A41"/>
    <w:rsid w:val="00C65610"/>
    <w:rsid w:val="00C66315"/>
    <w:rsid w:val="00C67202"/>
    <w:rsid w:val="00C70B10"/>
    <w:rsid w:val="00C71398"/>
    <w:rsid w:val="00C713FF"/>
    <w:rsid w:val="00C716C3"/>
    <w:rsid w:val="00C718DD"/>
    <w:rsid w:val="00C72081"/>
    <w:rsid w:val="00C72958"/>
    <w:rsid w:val="00C73A6F"/>
    <w:rsid w:val="00C73F11"/>
    <w:rsid w:val="00C73FF0"/>
    <w:rsid w:val="00C746B1"/>
    <w:rsid w:val="00C7500A"/>
    <w:rsid w:val="00C75221"/>
    <w:rsid w:val="00C75BE8"/>
    <w:rsid w:val="00C801E4"/>
    <w:rsid w:val="00C8392E"/>
    <w:rsid w:val="00C83CF6"/>
    <w:rsid w:val="00C84A64"/>
    <w:rsid w:val="00C8605F"/>
    <w:rsid w:val="00C862AA"/>
    <w:rsid w:val="00C8683D"/>
    <w:rsid w:val="00C86B7F"/>
    <w:rsid w:val="00C8762E"/>
    <w:rsid w:val="00C900E1"/>
    <w:rsid w:val="00C9016F"/>
    <w:rsid w:val="00C90BA0"/>
    <w:rsid w:val="00C915BE"/>
    <w:rsid w:val="00C91784"/>
    <w:rsid w:val="00C91A48"/>
    <w:rsid w:val="00C92739"/>
    <w:rsid w:val="00C92C1E"/>
    <w:rsid w:val="00C934DA"/>
    <w:rsid w:val="00C9438D"/>
    <w:rsid w:val="00C94A50"/>
    <w:rsid w:val="00C94ACF"/>
    <w:rsid w:val="00C94D1C"/>
    <w:rsid w:val="00C95509"/>
    <w:rsid w:val="00C96876"/>
    <w:rsid w:val="00C971AD"/>
    <w:rsid w:val="00C97308"/>
    <w:rsid w:val="00CA173D"/>
    <w:rsid w:val="00CA1C7E"/>
    <w:rsid w:val="00CA3063"/>
    <w:rsid w:val="00CA342B"/>
    <w:rsid w:val="00CA3478"/>
    <w:rsid w:val="00CA3500"/>
    <w:rsid w:val="00CA3BD2"/>
    <w:rsid w:val="00CA4D67"/>
    <w:rsid w:val="00CA5A70"/>
    <w:rsid w:val="00CA5C2B"/>
    <w:rsid w:val="00CA5FFB"/>
    <w:rsid w:val="00CA6E57"/>
    <w:rsid w:val="00CA7681"/>
    <w:rsid w:val="00CA7EA4"/>
    <w:rsid w:val="00CB1E9B"/>
    <w:rsid w:val="00CB3B9B"/>
    <w:rsid w:val="00CB4034"/>
    <w:rsid w:val="00CB4EF7"/>
    <w:rsid w:val="00CB51D3"/>
    <w:rsid w:val="00CB7362"/>
    <w:rsid w:val="00CB7407"/>
    <w:rsid w:val="00CB7BC1"/>
    <w:rsid w:val="00CC0113"/>
    <w:rsid w:val="00CC1778"/>
    <w:rsid w:val="00CC1EFC"/>
    <w:rsid w:val="00CC2EE8"/>
    <w:rsid w:val="00CC36FE"/>
    <w:rsid w:val="00CC3B5B"/>
    <w:rsid w:val="00CC44DD"/>
    <w:rsid w:val="00CC4912"/>
    <w:rsid w:val="00CC576C"/>
    <w:rsid w:val="00CC59B7"/>
    <w:rsid w:val="00CC5C80"/>
    <w:rsid w:val="00CC5D2F"/>
    <w:rsid w:val="00CC6673"/>
    <w:rsid w:val="00CC66C4"/>
    <w:rsid w:val="00CC7A86"/>
    <w:rsid w:val="00CD0E99"/>
    <w:rsid w:val="00CD17E3"/>
    <w:rsid w:val="00CD222A"/>
    <w:rsid w:val="00CD2400"/>
    <w:rsid w:val="00CD2A74"/>
    <w:rsid w:val="00CD33C3"/>
    <w:rsid w:val="00CD33E9"/>
    <w:rsid w:val="00CD35E2"/>
    <w:rsid w:val="00CD3A9D"/>
    <w:rsid w:val="00CD40D7"/>
    <w:rsid w:val="00CD4323"/>
    <w:rsid w:val="00CD4EC1"/>
    <w:rsid w:val="00CD5335"/>
    <w:rsid w:val="00CD56F0"/>
    <w:rsid w:val="00CD6AC8"/>
    <w:rsid w:val="00CD79E9"/>
    <w:rsid w:val="00CE03B7"/>
    <w:rsid w:val="00CE18AE"/>
    <w:rsid w:val="00CE1CE9"/>
    <w:rsid w:val="00CE21C0"/>
    <w:rsid w:val="00CE2646"/>
    <w:rsid w:val="00CE2BB7"/>
    <w:rsid w:val="00CE4F9F"/>
    <w:rsid w:val="00CE5333"/>
    <w:rsid w:val="00CE5D05"/>
    <w:rsid w:val="00CE609A"/>
    <w:rsid w:val="00CE7136"/>
    <w:rsid w:val="00CE73CE"/>
    <w:rsid w:val="00CE79BA"/>
    <w:rsid w:val="00CF115E"/>
    <w:rsid w:val="00CF128C"/>
    <w:rsid w:val="00CF21C5"/>
    <w:rsid w:val="00CF3A87"/>
    <w:rsid w:val="00CF5D13"/>
    <w:rsid w:val="00CF6F29"/>
    <w:rsid w:val="00D000A9"/>
    <w:rsid w:val="00D002F6"/>
    <w:rsid w:val="00D004E8"/>
    <w:rsid w:val="00D01647"/>
    <w:rsid w:val="00D01B68"/>
    <w:rsid w:val="00D01B7B"/>
    <w:rsid w:val="00D027F3"/>
    <w:rsid w:val="00D030C3"/>
    <w:rsid w:val="00D03239"/>
    <w:rsid w:val="00D036B1"/>
    <w:rsid w:val="00D039DE"/>
    <w:rsid w:val="00D03DB1"/>
    <w:rsid w:val="00D04402"/>
    <w:rsid w:val="00D0460D"/>
    <w:rsid w:val="00D04AC0"/>
    <w:rsid w:val="00D05E33"/>
    <w:rsid w:val="00D06472"/>
    <w:rsid w:val="00D06B99"/>
    <w:rsid w:val="00D06D51"/>
    <w:rsid w:val="00D074C5"/>
    <w:rsid w:val="00D07825"/>
    <w:rsid w:val="00D07C0A"/>
    <w:rsid w:val="00D07F3F"/>
    <w:rsid w:val="00D10494"/>
    <w:rsid w:val="00D109D7"/>
    <w:rsid w:val="00D11437"/>
    <w:rsid w:val="00D11514"/>
    <w:rsid w:val="00D1192B"/>
    <w:rsid w:val="00D12157"/>
    <w:rsid w:val="00D13245"/>
    <w:rsid w:val="00D13B33"/>
    <w:rsid w:val="00D13DAD"/>
    <w:rsid w:val="00D13DDE"/>
    <w:rsid w:val="00D1437D"/>
    <w:rsid w:val="00D144F7"/>
    <w:rsid w:val="00D15AD5"/>
    <w:rsid w:val="00D161B4"/>
    <w:rsid w:val="00D16B18"/>
    <w:rsid w:val="00D171EC"/>
    <w:rsid w:val="00D1781C"/>
    <w:rsid w:val="00D205C3"/>
    <w:rsid w:val="00D20928"/>
    <w:rsid w:val="00D21D24"/>
    <w:rsid w:val="00D21E9D"/>
    <w:rsid w:val="00D22200"/>
    <w:rsid w:val="00D22470"/>
    <w:rsid w:val="00D226FC"/>
    <w:rsid w:val="00D22852"/>
    <w:rsid w:val="00D22C58"/>
    <w:rsid w:val="00D23E41"/>
    <w:rsid w:val="00D240D0"/>
    <w:rsid w:val="00D263A9"/>
    <w:rsid w:val="00D263E1"/>
    <w:rsid w:val="00D26A26"/>
    <w:rsid w:val="00D26C97"/>
    <w:rsid w:val="00D27999"/>
    <w:rsid w:val="00D302D5"/>
    <w:rsid w:val="00D30B33"/>
    <w:rsid w:val="00D311D5"/>
    <w:rsid w:val="00D31CDD"/>
    <w:rsid w:val="00D3238E"/>
    <w:rsid w:val="00D328D7"/>
    <w:rsid w:val="00D328E9"/>
    <w:rsid w:val="00D3333D"/>
    <w:rsid w:val="00D34356"/>
    <w:rsid w:val="00D35932"/>
    <w:rsid w:val="00D35A35"/>
    <w:rsid w:val="00D363C1"/>
    <w:rsid w:val="00D36596"/>
    <w:rsid w:val="00D37BD4"/>
    <w:rsid w:val="00D40031"/>
    <w:rsid w:val="00D4023C"/>
    <w:rsid w:val="00D40D9F"/>
    <w:rsid w:val="00D422E3"/>
    <w:rsid w:val="00D4254E"/>
    <w:rsid w:val="00D42689"/>
    <w:rsid w:val="00D429FD"/>
    <w:rsid w:val="00D43155"/>
    <w:rsid w:val="00D438A5"/>
    <w:rsid w:val="00D43995"/>
    <w:rsid w:val="00D44065"/>
    <w:rsid w:val="00D448D1"/>
    <w:rsid w:val="00D44A17"/>
    <w:rsid w:val="00D4524F"/>
    <w:rsid w:val="00D457CE"/>
    <w:rsid w:val="00D45FF6"/>
    <w:rsid w:val="00D45FF9"/>
    <w:rsid w:val="00D4662D"/>
    <w:rsid w:val="00D46CBC"/>
    <w:rsid w:val="00D4711B"/>
    <w:rsid w:val="00D47AE5"/>
    <w:rsid w:val="00D507A7"/>
    <w:rsid w:val="00D50FAA"/>
    <w:rsid w:val="00D513A4"/>
    <w:rsid w:val="00D51499"/>
    <w:rsid w:val="00D51A6D"/>
    <w:rsid w:val="00D51B32"/>
    <w:rsid w:val="00D51D5E"/>
    <w:rsid w:val="00D521D5"/>
    <w:rsid w:val="00D5280E"/>
    <w:rsid w:val="00D52B15"/>
    <w:rsid w:val="00D52C58"/>
    <w:rsid w:val="00D52C96"/>
    <w:rsid w:val="00D52CE8"/>
    <w:rsid w:val="00D52E22"/>
    <w:rsid w:val="00D5303D"/>
    <w:rsid w:val="00D534E4"/>
    <w:rsid w:val="00D536B3"/>
    <w:rsid w:val="00D5396F"/>
    <w:rsid w:val="00D54B15"/>
    <w:rsid w:val="00D54E2B"/>
    <w:rsid w:val="00D55532"/>
    <w:rsid w:val="00D55DF6"/>
    <w:rsid w:val="00D5690D"/>
    <w:rsid w:val="00D573B5"/>
    <w:rsid w:val="00D5748E"/>
    <w:rsid w:val="00D5757F"/>
    <w:rsid w:val="00D6021B"/>
    <w:rsid w:val="00D609CF"/>
    <w:rsid w:val="00D609F7"/>
    <w:rsid w:val="00D60A0E"/>
    <w:rsid w:val="00D60F7B"/>
    <w:rsid w:val="00D6109C"/>
    <w:rsid w:val="00D6173F"/>
    <w:rsid w:val="00D61B9D"/>
    <w:rsid w:val="00D626B8"/>
    <w:rsid w:val="00D63882"/>
    <w:rsid w:val="00D647A9"/>
    <w:rsid w:val="00D64F67"/>
    <w:rsid w:val="00D66241"/>
    <w:rsid w:val="00D66300"/>
    <w:rsid w:val="00D66710"/>
    <w:rsid w:val="00D67CBD"/>
    <w:rsid w:val="00D67F0E"/>
    <w:rsid w:val="00D7060D"/>
    <w:rsid w:val="00D720B7"/>
    <w:rsid w:val="00D72684"/>
    <w:rsid w:val="00D73721"/>
    <w:rsid w:val="00D73FD9"/>
    <w:rsid w:val="00D75244"/>
    <w:rsid w:val="00D761F6"/>
    <w:rsid w:val="00D762E6"/>
    <w:rsid w:val="00D76638"/>
    <w:rsid w:val="00D77672"/>
    <w:rsid w:val="00D77F20"/>
    <w:rsid w:val="00D77FC1"/>
    <w:rsid w:val="00D80CE6"/>
    <w:rsid w:val="00D81427"/>
    <w:rsid w:val="00D817AA"/>
    <w:rsid w:val="00D82076"/>
    <w:rsid w:val="00D82BD9"/>
    <w:rsid w:val="00D82D33"/>
    <w:rsid w:val="00D82FBD"/>
    <w:rsid w:val="00D843D1"/>
    <w:rsid w:val="00D845F1"/>
    <w:rsid w:val="00D8544A"/>
    <w:rsid w:val="00D85969"/>
    <w:rsid w:val="00D867F4"/>
    <w:rsid w:val="00D869BC"/>
    <w:rsid w:val="00D8706A"/>
    <w:rsid w:val="00D8752C"/>
    <w:rsid w:val="00D91DF9"/>
    <w:rsid w:val="00D93333"/>
    <w:rsid w:val="00D93413"/>
    <w:rsid w:val="00D93698"/>
    <w:rsid w:val="00D93850"/>
    <w:rsid w:val="00D93B20"/>
    <w:rsid w:val="00D93C2F"/>
    <w:rsid w:val="00D9606D"/>
    <w:rsid w:val="00D964BD"/>
    <w:rsid w:val="00D96B76"/>
    <w:rsid w:val="00D97153"/>
    <w:rsid w:val="00D9756E"/>
    <w:rsid w:val="00DA0EEF"/>
    <w:rsid w:val="00DA2987"/>
    <w:rsid w:val="00DA373A"/>
    <w:rsid w:val="00DA3A20"/>
    <w:rsid w:val="00DA57B7"/>
    <w:rsid w:val="00DA5935"/>
    <w:rsid w:val="00DA66B2"/>
    <w:rsid w:val="00DA6748"/>
    <w:rsid w:val="00DA6915"/>
    <w:rsid w:val="00DA727F"/>
    <w:rsid w:val="00DA7A33"/>
    <w:rsid w:val="00DB07E0"/>
    <w:rsid w:val="00DB0D78"/>
    <w:rsid w:val="00DB0F78"/>
    <w:rsid w:val="00DB1809"/>
    <w:rsid w:val="00DB1AD0"/>
    <w:rsid w:val="00DB25F1"/>
    <w:rsid w:val="00DB2894"/>
    <w:rsid w:val="00DB29E8"/>
    <w:rsid w:val="00DB2A43"/>
    <w:rsid w:val="00DB37F7"/>
    <w:rsid w:val="00DB392E"/>
    <w:rsid w:val="00DB3A25"/>
    <w:rsid w:val="00DB3DF3"/>
    <w:rsid w:val="00DB4FAF"/>
    <w:rsid w:val="00DB52C5"/>
    <w:rsid w:val="00DB5AAB"/>
    <w:rsid w:val="00DB6D85"/>
    <w:rsid w:val="00DB7CF2"/>
    <w:rsid w:val="00DC072E"/>
    <w:rsid w:val="00DC0AA9"/>
    <w:rsid w:val="00DC1305"/>
    <w:rsid w:val="00DC136D"/>
    <w:rsid w:val="00DC1BCF"/>
    <w:rsid w:val="00DC1ED8"/>
    <w:rsid w:val="00DC336E"/>
    <w:rsid w:val="00DC347E"/>
    <w:rsid w:val="00DC3AD7"/>
    <w:rsid w:val="00DC4A0E"/>
    <w:rsid w:val="00DC5D0B"/>
    <w:rsid w:val="00DC60F2"/>
    <w:rsid w:val="00DC656F"/>
    <w:rsid w:val="00DC6A9F"/>
    <w:rsid w:val="00DC7648"/>
    <w:rsid w:val="00DC7767"/>
    <w:rsid w:val="00DD0784"/>
    <w:rsid w:val="00DD0941"/>
    <w:rsid w:val="00DD0ABC"/>
    <w:rsid w:val="00DD1696"/>
    <w:rsid w:val="00DD2311"/>
    <w:rsid w:val="00DD24A9"/>
    <w:rsid w:val="00DD291D"/>
    <w:rsid w:val="00DD2BDF"/>
    <w:rsid w:val="00DD4CA4"/>
    <w:rsid w:val="00DD5102"/>
    <w:rsid w:val="00DD5237"/>
    <w:rsid w:val="00DD68C9"/>
    <w:rsid w:val="00DD75F9"/>
    <w:rsid w:val="00DD78F5"/>
    <w:rsid w:val="00DD7C6C"/>
    <w:rsid w:val="00DE033F"/>
    <w:rsid w:val="00DE08BC"/>
    <w:rsid w:val="00DE0D0A"/>
    <w:rsid w:val="00DE1317"/>
    <w:rsid w:val="00DE14DB"/>
    <w:rsid w:val="00DE1B8F"/>
    <w:rsid w:val="00DE2106"/>
    <w:rsid w:val="00DE2B62"/>
    <w:rsid w:val="00DE33BB"/>
    <w:rsid w:val="00DE413C"/>
    <w:rsid w:val="00DE42A8"/>
    <w:rsid w:val="00DE4334"/>
    <w:rsid w:val="00DE498C"/>
    <w:rsid w:val="00DE55E7"/>
    <w:rsid w:val="00DE56B6"/>
    <w:rsid w:val="00DE5845"/>
    <w:rsid w:val="00DE5BC8"/>
    <w:rsid w:val="00DE67CD"/>
    <w:rsid w:val="00DE6A14"/>
    <w:rsid w:val="00DE787B"/>
    <w:rsid w:val="00DE792C"/>
    <w:rsid w:val="00DE7A63"/>
    <w:rsid w:val="00DF0292"/>
    <w:rsid w:val="00DF120D"/>
    <w:rsid w:val="00DF13EC"/>
    <w:rsid w:val="00DF1E0B"/>
    <w:rsid w:val="00DF3100"/>
    <w:rsid w:val="00DF33F0"/>
    <w:rsid w:val="00DF4879"/>
    <w:rsid w:val="00DF5823"/>
    <w:rsid w:val="00DF5D54"/>
    <w:rsid w:val="00DF5DA7"/>
    <w:rsid w:val="00DF5E16"/>
    <w:rsid w:val="00DF5E41"/>
    <w:rsid w:val="00DF5EA3"/>
    <w:rsid w:val="00DF5FBC"/>
    <w:rsid w:val="00DF6410"/>
    <w:rsid w:val="00DF6F5F"/>
    <w:rsid w:val="00DF7D97"/>
    <w:rsid w:val="00E00034"/>
    <w:rsid w:val="00E002FE"/>
    <w:rsid w:val="00E0054F"/>
    <w:rsid w:val="00E0069E"/>
    <w:rsid w:val="00E00A84"/>
    <w:rsid w:val="00E00BC9"/>
    <w:rsid w:val="00E01494"/>
    <w:rsid w:val="00E01A10"/>
    <w:rsid w:val="00E02661"/>
    <w:rsid w:val="00E031FC"/>
    <w:rsid w:val="00E03591"/>
    <w:rsid w:val="00E0397C"/>
    <w:rsid w:val="00E04B8E"/>
    <w:rsid w:val="00E04F61"/>
    <w:rsid w:val="00E04FBA"/>
    <w:rsid w:val="00E0612C"/>
    <w:rsid w:val="00E062F1"/>
    <w:rsid w:val="00E06985"/>
    <w:rsid w:val="00E06C27"/>
    <w:rsid w:val="00E0768C"/>
    <w:rsid w:val="00E10196"/>
    <w:rsid w:val="00E10A83"/>
    <w:rsid w:val="00E117A4"/>
    <w:rsid w:val="00E1223B"/>
    <w:rsid w:val="00E123EC"/>
    <w:rsid w:val="00E127B9"/>
    <w:rsid w:val="00E1298B"/>
    <w:rsid w:val="00E13EC4"/>
    <w:rsid w:val="00E16038"/>
    <w:rsid w:val="00E17225"/>
    <w:rsid w:val="00E21F5F"/>
    <w:rsid w:val="00E24667"/>
    <w:rsid w:val="00E250ED"/>
    <w:rsid w:val="00E2581F"/>
    <w:rsid w:val="00E27233"/>
    <w:rsid w:val="00E30C88"/>
    <w:rsid w:val="00E31114"/>
    <w:rsid w:val="00E31197"/>
    <w:rsid w:val="00E3137F"/>
    <w:rsid w:val="00E316A5"/>
    <w:rsid w:val="00E326A7"/>
    <w:rsid w:val="00E32849"/>
    <w:rsid w:val="00E32C11"/>
    <w:rsid w:val="00E32E9D"/>
    <w:rsid w:val="00E33EA7"/>
    <w:rsid w:val="00E34521"/>
    <w:rsid w:val="00E34599"/>
    <w:rsid w:val="00E346E6"/>
    <w:rsid w:val="00E34B4B"/>
    <w:rsid w:val="00E3555D"/>
    <w:rsid w:val="00E35929"/>
    <w:rsid w:val="00E35957"/>
    <w:rsid w:val="00E3754D"/>
    <w:rsid w:val="00E37630"/>
    <w:rsid w:val="00E40D89"/>
    <w:rsid w:val="00E40EAE"/>
    <w:rsid w:val="00E42AAA"/>
    <w:rsid w:val="00E434CE"/>
    <w:rsid w:val="00E44B09"/>
    <w:rsid w:val="00E44D0F"/>
    <w:rsid w:val="00E45239"/>
    <w:rsid w:val="00E452B5"/>
    <w:rsid w:val="00E4541E"/>
    <w:rsid w:val="00E45816"/>
    <w:rsid w:val="00E45B48"/>
    <w:rsid w:val="00E45C51"/>
    <w:rsid w:val="00E46AAC"/>
    <w:rsid w:val="00E47DF1"/>
    <w:rsid w:val="00E50826"/>
    <w:rsid w:val="00E5175D"/>
    <w:rsid w:val="00E51D00"/>
    <w:rsid w:val="00E5260D"/>
    <w:rsid w:val="00E534CD"/>
    <w:rsid w:val="00E5401B"/>
    <w:rsid w:val="00E544A1"/>
    <w:rsid w:val="00E54513"/>
    <w:rsid w:val="00E5457A"/>
    <w:rsid w:val="00E559AB"/>
    <w:rsid w:val="00E56FC4"/>
    <w:rsid w:val="00E5797B"/>
    <w:rsid w:val="00E57DD4"/>
    <w:rsid w:val="00E609C2"/>
    <w:rsid w:val="00E60E8D"/>
    <w:rsid w:val="00E61189"/>
    <w:rsid w:val="00E61500"/>
    <w:rsid w:val="00E6214C"/>
    <w:rsid w:val="00E62893"/>
    <w:rsid w:val="00E62BC9"/>
    <w:rsid w:val="00E62BE2"/>
    <w:rsid w:val="00E64546"/>
    <w:rsid w:val="00E64E0B"/>
    <w:rsid w:val="00E6586D"/>
    <w:rsid w:val="00E6617F"/>
    <w:rsid w:val="00E6657B"/>
    <w:rsid w:val="00E6687A"/>
    <w:rsid w:val="00E67AF0"/>
    <w:rsid w:val="00E67C74"/>
    <w:rsid w:val="00E67DFC"/>
    <w:rsid w:val="00E702B6"/>
    <w:rsid w:val="00E70B13"/>
    <w:rsid w:val="00E71AF9"/>
    <w:rsid w:val="00E72109"/>
    <w:rsid w:val="00E7266D"/>
    <w:rsid w:val="00E7364B"/>
    <w:rsid w:val="00E73711"/>
    <w:rsid w:val="00E74032"/>
    <w:rsid w:val="00E74980"/>
    <w:rsid w:val="00E755E2"/>
    <w:rsid w:val="00E77D4C"/>
    <w:rsid w:val="00E80B67"/>
    <w:rsid w:val="00E80E7E"/>
    <w:rsid w:val="00E8179F"/>
    <w:rsid w:val="00E81B72"/>
    <w:rsid w:val="00E82033"/>
    <w:rsid w:val="00E82A29"/>
    <w:rsid w:val="00E82FE7"/>
    <w:rsid w:val="00E8325A"/>
    <w:rsid w:val="00E84324"/>
    <w:rsid w:val="00E843EB"/>
    <w:rsid w:val="00E847FE"/>
    <w:rsid w:val="00E84ED3"/>
    <w:rsid w:val="00E84EE6"/>
    <w:rsid w:val="00E86130"/>
    <w:rsid w:val="00E86362"/>
    <w:rsid w:val="00E87209"/>
    <w:rsid w:val="00E903F8"/>
    <w:rsid w:val="00E90D12"/>
    <w:rsid w:val="00E9137F"/>
    <w:rsid w:val="00E91C00"/>
    <w:rsid w:val="00E91CCB"/>
    <w:rsid w:val="00E93437"/>
    <w:rsid w:val="00E937AA"/>
    <w:rsid w:val="00E94256"/>
    <w:rsid w:val="00E94825"/>
    <w:rsid w:val="00E94CDD"/>
    <w:rsid w:val="00E95088"/>
    <w:rsid w:val="00E9576A"/>
    <w:rsid w:val="00E95D2D"/>
    <w:rsid w:val="00E97564"/>
    <w:rsid w:val="00E97BE4"/>
    <w:rsid w:val="00E97CD7"/>
    <w:rsid w:val="00EA010D"/>
    <w:rsid w:val="00EA0EFA"/>
    <w:rsid w:val="00EA24E1"/>
    <w:rsid w:val="00EA2BAB"/>
    <w:rsid w:val="00EA352B"/>
    <w:rsid w:val="00EA3A62"/>
    <w:rsid w:val="00EA4510"/>
    <w:rsid w:val="00EA475D"/>
    <w:rsid w:val="00EA51BD"/>
    <w:rsid w:val="00EA5B0C"/>
    <w:rsid w:val="00EA5BB2"/>
    <w:rsid w:val="00EA5DA6"/>
    <w:rsid w:val="00EA6346"/>
    <w:rsid w:val="00EA6617"/>
    <w:rsid w:val="00EA7B8D"/>
    <w:rsid w:val="00EB04EF"/>
    <w:rsid w:val="00EB2D6E"/>
    <w:rsid w:val="00EB3596"/>
    <w:rsid w:val="00EB3FDF"/>
    <w:rsid w:val="00EB4012"/>
    <w:rsid w:val="00EB4507"/>
    <w:rsid w:val="00EB4617"/>
    <w:rsid w:val="00EB468A"/>
    <w:rsid w:val="00EB5017"/>
    <w:rsid w:val="00EB57FA"/>
    <w:rsid w:val="00EB6673"/>
    <w:rsid w:val="00EB6F33"/>
    <w:rsid w:val="00EB70E7"/>
    <w:rsid w:val="00EB75B7"/>
    <w:rsid w:val="00EB7BEB"/>
    <w:rsid w:val="00EC149B"/>
    <w:rsid w:val="00EC20F6"/>
    <w:rsid w:val="00EC24B0"/>
    <w:rsid w:val="00EC25C0"/>
    <w:rsid w:val="00EC29F6"/>
    <w:rsid w:val="00EC36CF"/>
    <w:rsid w:val="00EC3A3A"/>
    <w:rsid w:val="00EC4B7B"/>
    <w:rsid w:val="00EC5D68"/>
    <w:rsid w:val="00EC60E8"/>
    <w:rsid w:val="00EC785A"/>
    <w:rsid w:val="00EC7BED"/>
    <w:rsid w:val="00ED065B"/>
    <w:rsid w:val="00ED2029"/>
    <w:rsid w:val="00ED2DED"/>
    <w:rsid w:val="00ED3121"/>
    <w:rsid w:val="00ED31E7"/>
    <w:rsid w:val="00ED5790"/>
    <w:rsid w:val="00ED5BF9"/>
    <w:rsid w:val="00ED5C5E"/>
    <w:rsid w:val="00ED5DD3"/>
    <w:rsid w:val="00ED63AE"/>
    <w:rsid w:val="00ED6DED"/>
    <w:rsid w:val="00ED7549"/>
    <w:rsid w:val="00ED7E67"/>
    <w:rsid w:val="00EE1BF2"/>
    <w:rsid w:val="00EE1DE6"/>
    <w:rsid w:val="00EE3DE5"/>
    <w:rsid w:val="00EE47C9"/>
    <w:rsid w:val="00EE5C4F"/>
    <w:rsid w:val="00EE5DC9"/>
    <w:rsid w:val="00EE6F32"/>
    <w:rsid w:val="00EE6FE1"/>
    <w:rsid w:val="00EE70D7"/>
    <w:rsid w:val="00EE72A9"/>
    <w:rsid w:val="00EE7DE7"/>
    <w:rsid w:val="00EE7EE9"/>
    <w:rsid w:val="00EF02E0"/>
    <w:rsid w:val="00EF1432"/>
    <w:rsid w:val="00EF1C61"/>
    <w:rsid w:val="00EF1E0C"/>
    <w:rsid w:val="00EF37B7"/>
    <w:rsid w:val="00EF3D1D"/>
    <w:rsid w:val="00EF3EC7"/>
    <w:rsid w:val="00EF4332"/>
    <w:rsid w:val="00EF4F7A"/>
    <w:rsid w:val="00EF5377"/>
    <w:rsid w:val="00EF557F"/>
    <w:rsid w:val="00EF5C3C"/>
    <w:rsid w:val="00EF7078"/>
    <w:rsid w:val="00EF7352"/>
    <w:rsid w:val="00EF788E"/>
    <w:rsid w:val="00EF7B83"/>
    <w:rsid w:val="00F009AD"/>
    <w:rsid w:val="00F00A72"/>
    <w:rsid w:val="00F00F5F"/>
    <w:rsid w:val="00F01A2D"/>
    <w:rsid w:val="00F01C53"/>
    <w:rsid w:val="00F01D8F"/>
    <w:rsid w:val="00F02AC1"/>
    <w:rsid w:val="00F02CFC"/>
    <w:rsid w:val="00F03338"/>
    <w:rsid w:val="00F04196"/>
    <w:rsid w:val="00F048A0"/>
    <w:rsid w:val="00F04BC7"/>
    <w:rsid w:val="00F05C29"/>
    <w:rsid w:val="00F05D06"/>
    <w:rsid w:val="00F07632"/>
    <w:rsid w:val="00F100BC"/>
    <w:rsid w:val="00F101DD"/>
    <w:rsid w:val="00F103D0"/>
    <w:rsid w:val="00F104DE"/>
    <w:rsid w:val="00F10936"/>
    <w:rsid w:val="00F11013"/>
    <w:rsid w:val="00F11357"/>
    <w:rsid w:val="00F125B0"/>
    <w:rsid w:val="00F13471"/>
    <w:rsid w:val="00F13BA7"/>
    <w:rsid w:val="00F145ED"/>
    <w:rsid w:val="00F15515"/>
    <w:rsid w:val="00F15ECF"/>
    <w:rsid w:val="00F211FD"/>
    <w:rsid w:val="00F21613"/>
    <w:rsid w:val="00F2170B"/>
    <w:rsid w:val="00F21C27"/>
    <w:rsid w:val="00F22333"/>
    <w:rsid w:val="00F22680"/>
    <w:rsid w:val="00F229B3"/>
    <w:rsid w:val="00F22D59"/>
    <w:rsid w:val="00F23AA4"/>
    <w:rsid w:val="00F23C14"/>
    <w:rsid w:val="00F23E93"/>
    <w:rsid w:val="00F24C5B"/>
    <w:rsid w:val="00F24EC2"/>
    <w:rsid w:val="00F260BD"/>
    <w:rsid w:val="00F260D5"/>
    <w:rsid w:val="00F26E67"/>
    <w:rsid w:val="00F30CC2"/>
    <w:rsid w:val="00F3106C"/>
    <w:rsid w:val="00F31147"/>
    <w:rsid w:val="00F32317"/>
    <w:rsid w:val="00F32F5D"/>
    <w:rsid w:val="00F34DA0"/>
    <w:rsid w:val="00F35A3D"/>
    <w:rsid w:val="00F35EB1"/>
    <w:rsid w:val="00F35EB5"/>
    <w:rsid w:val="00F363E8"/>
    <w:rsid w:val="00F36877"/>
    <w:rsid w:val="00F36A13"/>
    <w:rsid w:val="00F36CCA"/>
    <w:rsid w:val="00F3711A"/>
    <w:rsid w:val="00F373FB"/>
    <w:rsid w:val="00F37457"/>
    <w:rsid w:val="00F379A2"/>
    <w:rsid w:val="00F37C26"/>
    <w:rsid w:val="00F405D9"/>
    <w:rsid w:val="00F4129F"/>
    <w:rsid w:val="00F4234A"/>
    <w:rsid w:val="00F424BF"/>
    <w:rsid w:val="00F43AC1"/>
    <w:rsid w:val="00F450AB"/>
    <w:rsid w:val="00F45EF7"/>
    <w:rsid w:val="00F4752A"/>
    <w:rsid w:val="00F4778B"/>
    <w:rsid w:val="00F47821"/>
    <w:rsid w:val="00F5079A"/>
    <w:rsid w:val="00F519D3"/>
    <w:rsid w:val="00F51AD8"/>
    <w:rsid w:val="00F5247A"/>
    <w:rsid w:val="00F52F1E"/>
    <w:rsid w:val="00F53192"/>
    <w:rsid w:val="00F531A5"/>
    <w:rsid w:val="00F54675"/>
    <w:rsid w:val="00F54D47"/>
    <w:rsid w:val="00F55A7F"/>
    <w:rsid w:val="00F57417"/>
    <w:rsid w:val="00F60CC5"/>
    <w:rsid w:val="00F60FD8"/>
    <w:rsid w:val="00F6112E"/>
    <w:rsid w:val="00F61807"/>
    <w:rsid w:val="00F61A6B"/>
    <w:rsid w:val="00F61B67"/>
    <w:rsid w:val="00F61B68"/>
    <w:rsid w:val="00F61C26"/>
    <w:rsid w:val="00F61EEE"/>
    <w:rsid w:val="00F62F87"/>
    <w:rsid w:val="00F631C2"/>
    <w:rsid w:val="00F63336"/>
    <w:rsid w:val="00F6389B"/>
    <w:rsid w:val="00F63A90"/>
    <w:rsid w:val="00F63A9A"/>
    <w:rsid w:val="00F63B6B"/>
    <w:rsid w:val="00F63DBC"/>
    <w:rsid w:val="00F64031"/>
    <w:rsid w:val="00F646EC"/>
    <w:rsid w:val="00F64D77"/>
    <w:rsid w:val="00F6514D"/>
    <w:rsid w:val="00F651C8"/>
    <w:rsid w:val="00F65A25"/>
    <w:rsid w:val="00F65EBC"/>
    <w:rsid w:val="00F660FC"/>
    <w:rsid w:val="00F6636E"/>
    <w:rsid w:val="00F66DDB"/>
    <w:rsid w:val="00F67286"/>
    <w:rsid w:val="00F67623"/>
    <w:rsid w:val="00F67887"/>
    <w:rsid w:val="00F67B53"/>
    <w:rsid w:val="00F701C4"/>
    <w:rsid w:val="00F70481"/>
    <w:rsid w:val="00F7281F"/>
    <w:rsid w:val="00F72932"/>
    <w:rsid w:val="00F72AC0"/>
    <w:rsid w:val="00F73188"/>
    <w:rsid w:val="00F75480"/>
    <w:rsid w:val="00F754F1"/>
    <w:rsid w:val="00F75831"/>
    <w:rsid w:val="00F760A6"/>
    <w:rsid w:val="00F76E00"/>
    <w:rsid w:val="00F76F89"/>
    <w:rsid w:val="00F7750B"/>
    <w:rsid w:val="00F77D64"/>
    <w:rsid w:val="00F8129A"/>
    <w:rsid w:val="00F81345"/>
    <w:rsid w:val="00F814CD"/>
    <w:rsid w:val="00F815F4"/>
    <w:rsid w:val="00F823BE"/>
    <w:rsid w:val="00F82AEC"/>
    <w:rsid w:val="00F83D26"/>
    <w:rsid w:val="00F8403F"/>
    <w:rsid w:val="00F8456B"/>
    <w:rsid w:val="00F9099E"/>
    <w:rsid w:val="00F90FE0"/>
    <w:rsid w:val="00F90FFF"/>
    <w:rsid w:val="00F9113D"/>
    <w:rsid w:val="00F92426"/>
    <w:rsid w:val="00F92742"/>
    <w:rsid w:val="00F92B1A"/>
    <w:rsid w:val="00F94807"/>
    <w:rsid w:val="00F9480D"/>
    <w:rsid w:val="00F94D57"/>
    <w:rsid w:val="00F950C7"/>
    <w:rsid w:val="00F95CE4"/>
    <w:rsid w:val="00F969AB"/>
    <w:rsid w:val="00F97003"/>
    <w:rsid w:val="00F9726E"/>
    <w:rsid w:val="00F97A44"/>
    <w:rsid w:val="00FA05F9"/>
    <w:rsid w:val="00FA0A64"/>
    <w:rsid w:val="00FA19CE"/>
    <w:rsid w:val="00FA1B5B"/>
    <w:rsid w:val="00FA2410"/>
    <w:rsid w:val="00FA2DE0"/>
    <w:rsid w:val="00FA5383"/>
    <w:rsid w:val="00FA5404"/>
    <w:rsid w:val="00FA6262"/>
    <w:rsid w:val="00FA66E1"/>
    <w:rsid w:val="00FA72FC"/>
    <w:rsid w:val="00FA7616"/>
    <w:rsid w:val="00FB1ED6"/>
    <w:rsid w:val="00FB1FE2"/>
    <w:rsid w:val="00FB2ACC"/>
    <w:rsid w:val="00FB2D6B"/>
    <w:rsid w:val="00FB360C"/>
    <w:rsid w:val="00FB370B"/>
    <w:rsid w:val="00FB3DC2"/>
    <w:rsid w:val="00FB3FE1"/>
    <w:rsid w:val="00FB4132"/>
    <w:rsid w:val="00FB461E"/>
    <w:rsid w:val="00FB4F60"/>
    <w:rsid w:val="00FB523E"/>
    <w:rsid w:val="00FB6140"/>
    <w:rsid w:val="00FB681A"/>
    <w:rsid w:val="00FB69DE"/>
    <w:rsid w:val="00FB6A1F"/>
    <w:rsid w:val="00FB6DFB"/>
    <w:rsid w:val="00FB73CE"/>
    <w:rsid w:val="00FC08B9"/>
    <w:rsid w:val="00FC2896"/>
    <w:rsid w:val="00FC3118"/>
    <w:rsid w:val="00FC4359"/>
    <w:rsid w:val="00FC4606"/>
    <w:rsid w:val="00FC4D98"/>
    <w:rsid w:val="00FC5203"/>
    <w:rsid w:val="00FC5E4F"/>
    <w:rsid w:val="00FC6768"/>
    <w:rsid w:val="00FC6BED"/>
    <w:rsid w:val="00FC6E95"/>
    <w:rsid w:val="00FC7A25"/>
    <w:rsid w:val="00FC7AE7"/>
    <w:rsid w:val="00FD0366"/>
    <w:rsid w:val="00FD0A3F"/>
    <w:rsid w:val="00FD0ADD"/>
    <w:rsid w:val="00FD0D5C"/>
    <w:rsid w:val="00FD1029"/>
    <w:rsid w:val="00FD1A60"/>
    <w:rsid w:val="00FD2D6C"/>
    <w:rsid w:val="00FD3BAD"/>
    <w:rsid w:val="00FD40EB"/>
    <w:rsid w:val="00FD452A"/>
    <w:rsid w:val="00FD4F3A"/>
    <w:rsid w:val="00FD5266"/>
    <w:rsid w:val="00FD6140"/>
    <w:rsid w:val="00FD7759"/>
    <w:rsid w:val="00FD7B2A"/>
    <w:rsid w:val="00FD7C0B"/>
    <w:rsid w:val="00FE03E1"/>
    <w:rsid w:val="00FE06E4"/>
    <w:rsid w:val="00FE0B54"/>
    <w:rsid w:val="00FE140F"/>
    <w:rsid w:val="00FE285E"/>
    <w:rsid w:val="00FE2A28"/>
    <w:rsid w:val="00FE371F"/>
    <w:rsid w:val="00FE3FE0"/>
    <w:rsid w:val="00FE4E38"/>
    <w:rsid w:val="00FE4FA7"/>
    <w:rsid w:val="00FE5D98"/>
    <w:rsid w:val="00FE5DA8"/>
    <w:rsid w:val="00FE638B"/>
    <w:rsid w:val="00FE69DE"/>
    <w:rsid w:val="00FE6D3D"/>
    <w:rsid w:val="00FE7F48"/>
    <w:rsid w:val="00FF09B4"/>
    <w:rsid w:val="00FF1227"/>
    <w:rsid w:val="00FF19EE"/>
    <w:rsid w:val="00FF1F25"/>
    <w:rsid w:val="00FF2E2F"/>
    <w:rsid w:val="00FF2EB8"/>
    <w:rsid w:val="00FF3314"/>
    <w:rsid w:val="00FF3666"/>
    <w:rsid w:val="00FF3BC3"/>
    <w:rsid w:val="00FF447A"/>
    <w:rsid w:val="00FF4813"/>
    <w:rsid w:val="00FF4A9D"/>
    <w:rsid w:val="00FF5572"/>
    <w:rsid w:val="00FF5654"/>
    <w:rsid w:val="00FF5777"/>
    <w:rsid w:val="01A812A2"/>
    <w:rsid w:val="01B16DC2"/>
    <w:rsid w:val="01D31010"/>
    <w:rsid w:val="02696CEE"/>
    <w:rsid w:val="028777A0"/>
    <w:rsid w:val="02BE1958"/>
    <w:rsid w:val="031D7830"/>
    <w:rsid w:val="037F04CF"/>
    <w:rsid w:val="03897331"/>
    <w:rsid w:val="043433DC"/>
    <w:rsid w:val="04370FA8"/>
    <w:rsid w:val="04403EFF"/>
    <w:rsid w:val="0466362E"/>
    <w:rsid w:val="04D11865"/>
    <w:rsid w:val="04D575E7"/>
    <w:rsid w:val="05912074"/>
    <w:rsid w:val="05A26E05"/>
    <w:rsid w:val="05A60B94"/>
    <w:rsid w:val="05BB40B1"/>
    <w:rsid w:val="05BC1274"/>
    <w:rsid w:val="05CD3FD8"/>
    <w:rsid w:val="062435A3"/>
    <w:rsid w:val="068648B3"/>
    <w:rsid w:val="07044B8B"/>
    <w:rsid w:val="07286224"/>
    <w:rsid w:val="076B3AA9"/>
    <w:rsid w:val="07C576CA"/>
    <w:rsid w:val="0861534A"/>
    <w:rsid w:val="089745D6"/>
    <w:rsid w:val="0A1246B0"/>
    <w:rsid w:val="0A6D18F6"/>
    <w:rsid w:val="0ACD04F9"/>
    <w:rsid w:val="0AEC50EE"/>
    <w:rsid w:val="0AF7342B"/>
    <w:rsid w:val="0BEB3001"/>
    <w:rsid w:val="0BF7500D"/>
    <w:rsid w:val="0C2C7CAB"/>
    <w:rsid w:val="0C453C16"/>
    <w:rsid w:val="0D37167B"/>
    <w:rsid w:val="0D621ACA"/>
    <w:rsid w:val="0D7C5A40"/>
    <w:rsid w:val="0D7D3EA1"/>
    <w:rsid w:val="0D984545"/>
    <w:rsid w:val="0DE16873"/>
    <w:rsid w:val="0E802627"/>
    <w:rsid w:val="0E811E04"/>
    <w:rsid w:val="0E8518F4"/>
    <w:rsid w:val="0F7B03EE"/>
    <w:rsid w:val="10305890"/>
    <w:rsid w:val="11032C10"/>
    <w:rsid w:val="11165FCB"/>
    <w:rsid w:val="114E2471"/>
    <w:rsid w:val="11D23C36"/>
    <w:rsid w:val="11D3233F"/>
    <w:rsid w:val="122171FC"/>
    <w:rsid w:val="1228143B"/>
    <w:rsid w:val="12795E99"/>
    <w:rsid w:val="12AA3E1F"/>
    <w:rsid w:val="130C2011"/>
    <w:rsid w:val="13791388"/>
    <w:rsid w:val="138278A7"/>
    <w:rsid w:val="13E93822"/>
    <w:rsid w:val="1433594E"/>
    <w:rsid w:val="1444190A"/>
    <w:rsid w:val="149D3C48"/>
    <w:rsid w:val="14C03686"/>
    <w:rsid w:val="14EF3591"/>
    <w:rsid w:val="14FD43CF"/>
    <w:rsid w:val="153129BE"/>
    <w:rsid w:val="15792FB0"/>
    <w:rsid w:val="159306AA"/>
    <w:rsid w:val="16235592"/>
    <w:rsid w:val="16684628"/>
    <w:rsid w:val="16A803DE"/>
    <w:rsid w:val="16A815F7"/>
    <w:rsid w:val="1727128A"/>
    <w:rsid w:val="176C53FF"/>
    <w:rsid w:val="17C27715"/>
    <w:rsid w:val="182D3F25"/>
    <w:rsid w:val="184C5231"/>
    <w:rsid w:val="198C7FDB"/>
    <w:rsid w:val="1A156C07"/>
    <w:rsid w:val="1A18361C"/>
    <w:rsid w:val="1B1C1784"/>
    <w:rsid w:val="1BB2184F"/>
    <w:rsid w:val="1BE252BD"/>
    <w:rsid w:val="1C0A0D5C"/>
    <w:rsid w:val="1CAB63C2"/>
    <w:rsid w:val="1DAA1CBF"/>
    <w:rsid w:val="1E132E2D"/>
    <w:rsid w:val="1E1909E0"/>
    <w:rsid w:val="1E915B42"/>
    <w:rsid w:val="1EF6273A"/>
    <w:rsid w:val="1F0E0BCB"/>
    <w:rsid w:val="1F7D2063"/>
    <w:rsid w:val="1FCC0FD6"/>
    <w:rsid w:val="208B00FF"/>
    <w:rsid w:val="21A463C7"/>
    <w:rsid w:val="224B36D7"/>
    <w:rsid w:val="22754113"/>
    <w:rsid w:val="229E2755"/>
    <w:rsid w:val="22B57588"/>
    <w:rsid w:val="22B87E86"/>
    <w:rsid w:val="230C2AF2"/>
    <w:rsid w:val="23152DEF"/>
    <w:rsid w:val="233A0BA3"/>
    <w:rsid w:val="234A17EF"/>
    <w:rsid w:val="238A4575"/>
    <w:rsid w:val="23A07D66"/>
    <w:rsid w:val="23A77FBE"/>
    <w:rsid w:val="23C3584E"/>
    <w:rsid w:val="23D368A5"/>
    <w:rsid w:val="241F42DD"/>
    <w:rsid w:val="246456B0"/>
    <w:rsid w:val="24773ACE"/>
    <w:rsid w:val="24B77A5A"/>
    <w:rsid w:val="24D91F28"/>
    <w:rsid w:val="24E46F1D"/>
    <w:rsid w:val="25735B8C"/>
    <w:rsid w:val="25AF1B0B"/>
    <w:rsid w:val="25CE0DAE"/>
    <w:rsid w:val="25DB4DFF"/>
    <w:rsid w:val="25FA2770"/>
    <w:rsid w:val="26121868"/>
    <w:rsid w:val="262C2580"/>
    <w:rsid w:val="26A646AE"/>
    <w:rsid w:val="2762190B"/>
    <w:rsid w:val="27C44CB6"/>
    <w:rsid w:val="281518BA"/>
    <w:rsid w:val="28994231"/>
    <w:rsid w:val="28A11942"/>
    <w:rsid w:val="28CB7CCE"/>
    <w:rsid w:val="292D1351"/>
    <w:rsid w:val="29EE7EF6"/>
    <w:rsid w:val="2A016EE9"/>
    <w:rsid w:val="2A0505F0"/>
    <w:rsid w:val="2A43437E"/>
    <w:rsid w:val="2A454B1D"/>
    <w:rsid w:val="2ABD765C"/>
    <w:rsid w:val="2AE66C9F"/>
    <w:rsid w:val="2B143DCA"/>
    <w:rsid w:val="2BB02D46"/>
    <w:rsid w:val="2BE849E0"/>
    <w:rsid w:val="2C017E23"/>
    <w:rsid w:val="2C0E5FCF"/>
    <w:rsid w:val="2D156CA5"/>
    <w:rsid w:val="2D1F19D0"/>
    <w:rsid w:val="2D430890"/>
    <w:rsid w:val="2D513C52"/>
    <w:rsid w:val="2E4F7869"/>
    <w:rsid w:val="2EB72806"/>
    <w:rsid w:val="2F08094C"/>
    <w:rsid w:val="2F272BFA"/>
    <w:rsid w:val="2F6D5D6C"/>
    <w:rsid w:val="2F866E22"/>
    <w:rsid w:val="2F8F217B"/>
    <w:rsid w:val="2FB655F2"/>
    <w:rsid w:val="2FD0180F"/>
    <w:rsid w:val="2FE1052E"/>
    <w:rsid w:val="2FE70556"/>
    <w:rsid w:val="30345577"/>
    <w:rsid w:val="30574563"/>
    <w:rsid w:val="308E6E9B"/>
    <w:rsid w:val="311A1C5B"/>
    <w:rsid w:val="31411253"/>
    <w:rsid w:val="318B24E2"/>
    <w:rsid w:val="3203078A"/>
    <w:rsid w:val="320A705C"/>
    <w:rsid w:val="325B2ED7"/>
    <w:rsid w:val="3350577D"/>
    <w:rsid w:val="336E105D"/>
    <w:rsid w:val="33A85929"/>
    <w:rsid w:val="33D56453"/>
    <w:rsid w:val="34FF7F27"/>
    <w:rsid w:val="352E7916"/>
    <w:rsid w:val="35D541AD"/>
    <w:rsid w:val="36647515"/>
    <w:rsid w:val="3721579D"/>
    <w:rsid w:val="37310CEF"/>
    <w:rsid w:val="376533EC"/>
    <w:rsid w:val="37DB1A63"/>
    <w:rsid w:val="38AB6B1C"/>
    <w:rsid w:val="391E1A91"/>
    <w:rsid w:val="392104D1"/>
    <w:rsid w:val="392E1EDB"/>
    <w:rsid w:val="392F0EB2"/>
    <w:rsid w:val="393D2D83"/>
    <w:rsid w:val="39E61106"/>
    <w:rsid w:val="3B07282F"/>
    <w:rsid w:val="3B6C6B34"/>
    <w:rsid w:val="3D1272BB"/>
    <w:rsid w:val="3D193084"/>
    <w:rsid w:val="3D3400F7"/>
    <w:rsid w:val="3D643FF0"/>
    <w:rsid w:val="3D8412F7"/>
    <w:rsid w:val="3DD75419"/>
    <w:rsid w:val="3E5E2171"/>
    <w:rsid w:val="3E66054B"/>
    <w:rsid w:val="3ED0071A"/>
    <w:rsid w:val="3F496FE8"/>
    <w:rsid w:val="3FAD35D9"/>
    <w:rsid w:val="3FC2197C"/>
    <w:rsid w:val="40250FD8"/>
    <w:rsid w:val="40832295"/>
    <w:rsid w:val="408512CE"/>
    <w:rsid w:val="40B20E7B"/>
    <w:rsid w:val="41363E99"/>
    <w:rsid w:val="41686907"/>
    <w:rsid w:val="428C6910"/>
    <w:rsid w:val="42CB75AA"/>
    <w:rsid w:val="43120770"/>
    <w:rsid w:val="432B3B11"/>
    <w:rsid w:val="43397524"/>
    <w:rsid w:val="43802AB5"/>
    <w:rsid w:val="43AE5F4B"/>
    <w:rsid w:val="43D8099F"/>
    <w:rsid w:val="440C2484"/>
    <w:rsid w:val="440D513E"/>
    <w:rsid w:val="448A2370"/>
    <w:rsid w:val="44A43B7B"/>
    <w:rsid w:val="44C81A04"/>
    <w:rsid w:val="450E0F16"/>
    <w:rsid w:val="45B41CDF"/>
    <w:rsid w:val="46162856"/>
    <w:rsid w:val="463748A9"/>
    <w:rsid w:val="464810AB"/>
    <w:rsid w:val="46F911E7"/>
    <w:rsid w:val="47534EF7"/>
    <w:rsid w:val="479779C7"/>
    <w:rsid w:val="47F35D13"/>
    <w:rsid w:val="487951CD"/>
    <w:rsid w:val="489D0057"/>
    <w:rsid w:val="490E0B93"/>
    <w:rsid w:val="495619A8"/>
    <w:rsid w:val="495A3287"/>
    <w:rsid w:val="4A111CB3"/>
    <w:rsid w:val="4ABD1099"/>
    <w:rsid w:val="4B840262"/>
    <w:rsid w:val="4B8B6CEA"/>
    <w:rsid w:val="4BAC2BC3"/>
    <w:rsid w:val="4C072843"/>
    <w:rsid w:val="4CBA7F27"/>
    <w:rsid w:val="4D8D56B2"/>
    <w:rsid w:val="4DFA3864"/>
    <w:rsid w:val="4E35016B"/>
    <w:rsid w:val="4E7F6798"/>
    <w:rsid w:val="4E8067D1"/>
    <w:rsid w:val="4EA65F89"/>
    <w:rsid w:val="4F2362D1"/>
    <w:rsid w:val="4F2C2A6B"/>
    <w:rsid w:val="4F7C3338"/>
    <w:rsid w:val="4FAB296E"/>
    <w:rsid w:val="501B5483"/>
    <w:rsid w:val="503017F2"/>
    <w:rsid w:val="50414974"/>
    <w:rsid w:val="507758AA"/>
    <w:rsid w:val="523E560F"/>
    <w:rsid w:val="52466141"/>
    <w:rsid w:val="52A13707"/>
    <w:rsid w:val="52C451E0"/>
    <w:rsid w:val="52D653FE"/>
    <w:rsid w:val="52EF6909"/>
    <w:rsid w:val="530323B4"/>
    <w:rsid w:val="530E5B53"/>
    <w:rsid w:val="531E2E98"/>
    <w:rsid w:val="53955B7B"/>
    <w:rsid w:val="53A8084B"/>
    <w:rsid w:val="53C552BF"/>
    <w:rsid w:val="549A1DB7"/>
    <w:rsid w:val="54C55D83"/>
    <w:rsid w:val="54C81762"/>
    <w:rsid w:val="54CD67D6"/>
    <w:rsid w:val="54DC4C6B"/>
    <w:rsid w:val="5581103E"/>
    <w:rsid w:val="562438B8"/>
    <w:rsid w:val="562A237D"/>
    <w:rsid w:val="566E3D5C"/>
    <w:rsid w:val="56811906"/>
    <w:rsid w:val="56FC2ED5"/>
    <w:rsid w:val="57713901"/>
    <w:rsid w:val="57D34F8E"/>
    <w:rsid w:val="583D7C54"/>
    <w:rsid w:val="58474AF1"/>
    <w:rsid w:val="58CB74D0"/>
    <w:rsid w:val="58D71B1E"/>
    <w:rsid w:val="59BB0313"/>
    <w:rsid w:val="59DC454D"/>
    <w:rsid w:val="59E957D0"/>
    <w:rsid w:val="5A844540"/>
    <w:rsid w:val="5AB3169C"/>
    <w:rsid w:val="5B063721"/>
    <w:rsid w:val="5B4259E1"/>
    <w:rsid w:val="5BE8775D"/>
    <w:rsid w:val="5C4E0BE3"/>
    <w:rsid w:val="5C5123E2"/>
    <w:rsid w:val="5C9F57A3"/>
    <w:rsid w:val="5CD54DC2"/>
    <w:rsid w:val="5CD77FCA"/>
    <w:rsid w:val="5D00470E"/>
    <w:rsid w:val="5D1F3DAC"/>
    <w:rsid w:val="5D3953A1"/>
    <w:rsid w:val="5DA45F90"/>
    <w:rsid w:val="5DD46A5D"/>
    <w:rsid w:val="5E762DD2"/>
    <w:rsid w:val="5EAE7678"/>
    <w:rsid w:val="5EB331CB"/>
    <w:rsid w:val="5ED74D3D"/>
    <w:rsid w:val="5F42509B"/>
    <w:rsid w:val="5F7F3A39"/>
    <w:rsid w:val="5F904FD0"/>
    <w:rsid w:val="5FF33EB3"/>
    <w:rsid w:val="60196D73"/>
    <w:rsid w:val="60276125"/>
    <w:rsid w:val="60327E35"/>
    <w:rsid w:val="605345C0"/>
    <w:rsid w:val="6085265B"/>
    <w:rsid w:val="60BB607C"/>
    <w:rsid w:val="60BE50E1"/>
    <w:rsid w:val="620A1953"/>
    <w:rsid w:val="62392936"/>
    <w:rsid w:val="626C0668"/>
    <w:rsid w:val="62CA0569"/>
    <w:rsid w:val="63074557"/>
    <w:rsid w:val="631B5C73"/>
    <w:rsid w:val="6341070D"/>
    <w:rsid w:val="635D166D"/>
    <w:rsid w:val="647E189B"/>
    <w:rsid w:val="649B058D"/>
    <w:rsid w:val="64A924EA"/>
    <w:rsid w:val="650F24DF"/>
    <w:rsid w:val="65DA536B"/>
    <w:rsid w:val="65E9498B"/>
    <w:rsid w:val="66CE7CEB"/>
    <w:rsid w:val="678D091D"/>
    <w:rsid w:val="67A034D5"/>
    <w:rsid w:val="67BC6368"/>
    <w:rsid w:val="68672B35"/>
    <w:rsid w:val="68D77FFC"/>
    <w:rsid w:val="694F7CAA"/>
    <w:rsid w:val="69AA3F1E"/>
    <w:rsid w:val="69B04429"/>
    <w:rsid w:val="69ED1F61"/>
    <w:rsid w:val="6A1326E2"/>
    <w:rsid w:val="6A1B4C35"/>
    <w:rsid w:val="6A340D63"/>
    <w:rsid w:val="6A5C267E"/>
    <w:rsid w:val="6A7C4638"/>
    <w:rsid w:val="6AD943DE"/>
    <w:rsid w:val="6B264A3A"/>
    <w:rsid w:val="6B4723E4"/>
    <w:rsid w:val="6B813E81"/>
    <w:rsid w:val="6BCE22CF"/>
    <w:rsid w:val="6BDD4784"/>
    <w:rsid w:val="6D1A412B"/>
    <w:rsid w:val="6D411E15"/>
    <w:rsid w:val="6D564AE3"/>
    <w:rsid w:val="6DCF798E"/>
    <w:rsid w:val="6E7443F4"/>
    <w:rsid w:val="6EA95ECA"/>
    <w:rsid w:val="6F301140"/>
    <w:rsid w:val="6FE42DFE"/>
    <w:rsid w:val="6FF13CAC"/>
    <w:rsid w:val="70166A59"/>
    <w:rsid w:val="70583123"/>
    <w:rsid w:val="707F49CE"/>
    <w:rsid w:val="70972117"/>
    <w:rsid w:val="70F56708"/>
    <w:rsid w:val="713042C9"/>
    <w:rsid w:val="71CF7BDA"/>
    <w:rsid w:val="71D53B2E"/>
    <w:rsid w:val="728C0D50"/>
    <w:rsid w:val="72C45265"/>
    <w:rsid w:val="73090882"/>
    <w:rsid w:val="733A76A9"/>
    <w:rsid w:val="73C3565A"/>
    <w:rsid w:val="73F1212A"/>
    <w:rsid w:val="73F76F74"/>
    <w:rsid w:val="73F834DE"/>
    <w:rsid w:val="747F1FAF"/>
    <w:rsid w:val="74B66BC3"/>
    <w:rsid w:val="7541449F"/>
    <w:rsid w:val="757545F4"/>
    <w:rsid w:val="75C13287"/>
    <w:rsid w:val="76266132"/>
    <w:rsid w:val="76514765"/>
    <w:rsid w:val="76716DA2"/>
    <w:rsid w:val="76994A03"/>
    <w:rsid w:val="77615E80"/>
    <w:rsid w:val="778C22B2"/>
    <w:rsid w:val="77FA14C2"/>
    <w:rsid w:val="785C543D"/>
    <w:rsid w:val="788B412F"/>
    <w:rsid w:val="794C4193"/>
    <w:rsid w:val="794F138A"/>
    <w:rsid w:val="79DD3DCD"/>
    <w:rsid w:val="79F20909"/>
    <w:rsid w:val="7A5073DF"/>
    <w:rsid w:val="7AC21415"/>
    <w:rsid w:val="7AD752B3"/>
    <w:rsid w:val="7AF71A78"/>
    <w:rsid w:val="7BD70DFB"/>
    <w:rsid w:val="7BE2286F"/>
    <w:rsid w:val="7C6E74FF"/>
    <w:rsid w:val="7DA55C93"/>
    <w:rsid w:val="7E2F3B40"/>
    <w:rsid w:val="7E561825"/>
    <w:rsid w:val="7EDA1779"/>
    <w:rsid w:val="7F7E052F"/>
    <w:rsid w:val="7F9D1886"/>
    <w:rsid w:val="7FAA23A0"/>
    <w:rsid w:val="7FCD631E"/>
    <w:rsid w:val="7FD556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paragraph" w:styleId="2">
    <w:name w:val="heading 1"/>
    <w:basedOn w:val="1"/>
    <w:next w:val="1"/>
    <w:link w:val="50"/>
    <w:autoRedefine/>
    <w:qFormat/>
    <w:uiPriority w:val="0"/>
    <w:pPr>
      <w:keepNext/>
      <w:widowControl/>
      <w:jc w:val="left"/>
      <w:outlineLvl w:val="0"/>
    </w:pPr>
    <w:rPr>
      <w:b/>
      <w:bCs/>
      <w:sz w:val="24"/>
    </w:rPr>
  </w:style>
  <w:style w:type="paragraph" w:styleId="3">
    <w:name w:val="heading 2"/>
    <w:basedOn w:val="1"/>
    <w:next w:val="1"/>
    <w:link w:val="5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autoRedefine/>
    <w:qFormat/>
    <w:uiPriority w:val="0"/>
    <w:pPr>
      <w:keepNext/>
      <w:outlineLvl w:val="2"/>
    </w:pPr>
    <w:rPr>
      <w:rFonts w:ascii="楷体_GB2312" w:hAnsi="宋体" w:eastAsia="楷体_GB2312"/>
      <w:b/>
      <w:bCs/>
      <w:sz w:val="32"/>
    </w:rPr>
  </w:style>
  <w:style w:type="paragraph" w:styleId="5">
    <w:name w:val="heading 4"/>
    <w:basedOn w:val="1"/>
    <w:next w:val="1"/>
    <w:link w:val="53"/>
    <w:autoRedefine/>
    <w:qFormat/>
    <w:uiPriority w:val="0"/>
    <w:pPr>
      <w:keepNext/>
      <w:keepLines/>
      <w:widowControl/>
      <w:spacing w:before="280" w:after="290" w:line="376" w:lineRule="auto"/>
      <w:jc w:val="left"/>
      <w:outlineLvl w:val="3"/>
    </w:pPr>
    <w:rPr>
      <w:rFonts w:ascii="Arial" w:hAnsi="Arial" w:eastAsia="黑体"/>
      <w:b/>
      <w:bCs/>
      <w:sz w:val="28"/>
      <w:szCs w:val="28"/>
    </w:rPr>
  </w:style>
  <w:style w:type="paragraph" w:styleId="6">
    <w:name w:val="heading 5"/>
    <w:basedOn w:val="1"/>
    <w:next w:val="1"/>
    <w:link w:val="54"/>
    <w:autoRedefine/>
    <w:qFormat/>
    <w:uiPriority w:val="0"/>
    <w:pPr>
      <w:keepNext/>
      <w:keepLines/>
      <w:widowControl/>
      <w:spacing w:before="280" w:after="290" w:line="376" w:lineRule="auto"/>
      <w:jc w:val="left"/>
      <w:outlineLvl w:val="4"/>
    </w:pPr>
    <w:rPr>
      <w:b/>
      <w:bCs/>
      <w:sz w:val="28"/>
      <w:szCs w:val="28"/>
    </w:rPr>
  </w:style>
  <w:style w:type="paragraph" w:styleId="7">
    <w:name w:val="heading 6"/>
    <w:basedOn w:val="1"/>
    <w:next w:val="1"/>
    <w:link w:val="55"/>
    <w:autoRedefine/>
    <w:qFormat/>
    <w:uiPriority w:val="0"/>
    <w:pPr>
      <w:keepNext/>
      <w:keepLines/>
      <w:widowControl/>
      <w:spacing w:before="240" w:after="64" w:line="320" w:lineRule="auto"/>
      <w:jc w:val="left"/>
      <w:outlineLvl w:val="5"/>
    </w:pPr>
    <w:rPr>
      <w:rFonts w:ascii="Arial" w:hAnsi="Arial" w:eastAsia="黑体"/>
      <w:b/>
      <w:bCs/>
      <w:sz w:val="24"/>
    </w:rPr>
  </w:style>
  <w:style w:type="paragraph" w:styleId="8">
    <w:name w:val="heading 7"/>
    <w:basedOn w:val="1"/>
    <w:next w:val="1"/>
    <w:link w:val="56"/>
    <w:autoRedefine/>
    <w:qFormat/>
    <w:uiPriority w:val="0"/>
    <w:pPr>
      <w:keepNext/>
      <w:keepLines/>
      <w:widowControl/>
      <w:spacing w:before="240" w:after="64" w:line="320" w:lineRule="auto"/>
      <w:jc w:val="left"/>
      <w:outlineLvl w:val="6"/>
    </w:pPr>
    <w:rPr>
      <w:b/>
      <w:bCs/>
      <w:sz w:val="24"/>
    </w:rPr>
  </w:style>
  <w:style w:type="paragraph" w:styleId="9">
    <w:name w:val="heading 8"/>
    <w:basedOn w:val="1"/>
    <w:next w:val="1"/>
    <w:link w:val="57"/>
    <w:autoRedefine/>
    <w:qFormat/>
    <w:uiPriority w:val="0"/>
    <w:pPr>
      <w:keepNext/>
      <w:keepLines/>
      <w:widowControl/>
      <w:spacing w:before="240" w:after="64" w:line="320" w:lineRule="auto"/>
      <w:jc w:val="left"/>
      <w:outlineLvl w:val="7"/>
    </w:pPr>
    <w:rPr>
      <w:rFonts w:ascii="Arial" w:hAnsi="Arial" w:eastAsia="黑体"/>
      <w:sz w:val="24"/>
    </w:rPr>
  </w:style>
  <w:style w:type="paragraph" w:styleId="10">
    <w:name w:val="heading 9"/>
    <w:basedOn w:val="1"/>
    <w:next w:val="1"/>
    <w:link w:val="58"/>
    <w:autoRedefine/>
    <w:qFormat/>
    <w:uiPriority w:val="0"/>
    <w:pPr>
      <w:keepNext/>
      <w:keepLines/>
      <w:widowControl/>
      <w:spacing w:before="240" w:after="64" w:line="320" w:lineRule="auto"/>
      <w:jc w:val="left"/>
      <w:outlineLvl w:val="8"/>
    </w:pPr>
    <w:rPr>
      <w:rFonts w:ascii="Arial" w:hAnsi="Arial" w:eastAsia="黑体"/>
      <w:szCs w:val="21"/>
    </w:rPr>
  </w:style>
  <w:style w:type="character" w:default="1" w:styleId="40">
    <w:name w:val="Default Paragraph Font"/>
    <w:autoRedefine/>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rFonts w:ascii="Calibri" w:hAnsi="Calibri" w:cs="Calibri"/>
      <w:sz w:val="18"/>
      <w:szCs w:val="18"/>
    </w:rPr>
  </w:style>
  <w:style w:type="paragraph" w:styleId="12">
    <w:name w:val="Normal Indent"/>
    <w:basedOn w:val="1"/>
    <w:link w:val="108"/>
    <w:autoRedefine/>
    <w:qFormat/>
    <w:uiPriority w:val="0"/>
    <w:pPr>
      <w:ind w:firstLine="420" w:firstLineChars="200"/>
    </w:pPr>
    <w:rPr>
      <w:szCs w:val="21"/>
    </w:rPr>
  </w:style>
  <w:style w:type="paragraph" w:styleId="13">
    <w:name w:val="Document Map"/>
    <w:basedOn w:val="1"/>
    <w:link w:val="90"/>
    <w:autoRedefine/>
    <w:qFormat/>
    <w:uiPriority w:val="0"/>
    <w:pPr>
      <w:shd w:val="clear" w:color="auto" w:fill="000080"/>
    </w:pPr>
    <w:rPr>
      <w:szCs w:val="20"/>
    </w:rPr>
  </w:style>
  <w:style w:type="paragraph" w:styleId="14">
    <w:name w:val="annotation text"/>
    <w:basedOn w:val="1"/>
    <w:link w:val="65"/>
    <w:qFormat/>
    <w:uiPriority w:val="99"/>
    <w:pPr>
      <w:jc w:val="left"/>
    </w:pPr>
    <w:rPr>
      <w:rFonts w:asciiTheme="minorHAnsi" w:hAnsiTheme="minorHAnsi" w:eastAsiaTheme="minorEastAsia" w:cstheme="minorBidi"/>
    </w:rPr>
  </w:style>
  <w:style w:type="paragraph" w:styleId="15">
    <w:name w:val="Body Text 3"/>
    <w:basedOn w:val="1"/>
    <w:link w:val="83"/>
    <w:qFormat/>
    <w:uiPriority w:val="0"/>
    <w:pPr>
      <w:spacing w:after="120"/>
    </w:pPr>
    <w:rPr>
      <w:sz w:val="16"/>
      <w:szCs w:val="16"/>
    </w:rPr>
  </w:style>
  <w:style w:type="paragraph" w:styleId="16">
    <w:name w:val="Body Text"/>
    <w:basedOn w:val="1"/>
    <w:next w:val="1"/>
    <w:link w:val="93"/>
    <w:qFormat/>
    <w:uiPriority w:val="0"/>
    <w:pPr>
      <w:spacing w:after="120"/>
    </w:pPr>
  </w:style>
  <w:style w:type="paragraph" w:styleId="17">
    <w:name w:val="Body Text Indent"/>
    <w:basedOn w:val="1"/>
    <w:link w:val="78"/>
    <w:qFormat/>
    <w:uiPriority w:val="0"/>
    <w:pPr>
      <w:spacing w:line="560" w:lineRule="exact"/>
      <w:ind w:left="300"/>
    </w:pPr>
    <w:rPr>
      <w:sz w:val="24"/>
    </w:rPr>
  </w:style>
  <w:style w:type="paragraph" w:styleId="18">
    <w:name w:val="toc 5"/>
    <w:basedOn w:val="1"/>
    <w:next w:val="1"/>
    <w:qFormat/>
    <w:uiPriority w:val="39"/>
    <w:pPr>
      <w:ind w:left="840"/>
      <w:jc w:val="left"/>
    </w:pPr>
    <w:rPr>
      <w:rFonts w:ascii="Calibri" w:hAnsi="Calibri" w:cs="Calibri"/>
      <w:sz w:val="18"/>
      <w:szCs w:val="18"/>
    </w:rPr>
  </w:style>
  <w:style w:type="paragraph" w:styleId="19">
    <w:name w:val="toc 3"/>
    <w:basedOn w:val="1"/>
    <w:next w:val="1"/>
    <w:autoRedefine/>
    <w:qFormat/>
    <w:uiPriority w:val="39"/>
    <w:pPr>
      <w:spacing w:before="120" w:after="120"/>
      <w:ind w:left="420"/>
      <w:jc w:val="left"/>
    </w:pPr>
    <w:rPr>
      <w:rFonts w:ascii="Calibri" w:hAnsi="Calibri" w:cs="Calibri"/>
      <w:iCs/>
      <w:szCs w:val="20"/>
    </w:rPr>
  </w:style>
  <w:style w:type="paragraph" w:styleId="20">
    <w:name w:val="Plain Text"/>
    <w:basedOn w:val="1"/>
    <w:link w:val="64"/>
    <w:autoRedefine/>
    <w:qFormat/>
    <w:uiPriority w:val="99"/>
    <w:rPr>
      <w:rFonts w:ascii="宋体" w:hAnsi="Courier New" w:cs="Courier New" w:eastAsiaTheme="minorEastAsia"/>
      <w:szCs w:val="21"/>
    </w:rPr>
  </w:style>
  <w:style w:type="paragraph" w:styleId="21">
    <w:name w:val="toc 8"/>
    <w:basedOn w:val="1"/>
    <w:next w:val="1"/>
    <w:qFormat/>
    <w:uiPriority w:val="39"/>
    <w:pPr>
      <w:ind w:left="1470"/>
      <w:jc w:val="left"/>
    </w:pPr>
    <w:rPr>
      <w:rFonts w:ascii="Calibri" w:hAnsi="Calibri" w:cs="Calibri"/>
      <w:sz w:val="18"/>
      <w:szCs w:val="18"/>
    </w:rPr>
  </w:style>
  <w:style w:type="paragraph" w:styleId="22">
    <w:name w:val="Date"/>
    <w:basedOn w:val="1"/>
    <w:next w:val="1"/>
    <w:link w:val="96"/>
    <w:autoRedefine/>
    <w:qFormat/>
    <w:uiPriority w:val="0"/>
    <w:pPr>
      <w:widowControl/>
    </w:pPr>
    <w:rPr>
      <w:rFonts w:ascii="宋体"/>
      <w:szCs w:val="20"/>
    </w:rPr>
  </w:style>
  <w:style w:type="paragraph" w:styleId="23">
    <w:name w:val="Body Text Indent 2"/>
    <w:basedOn w:val="1"/>
    <w:link w:val="94"/>
    <w:autoRedefine/>
    <w:qFormat/>
    <w:uiPriority w:val="0"/>
    <w:pPr>
      <w:spacing w:line="540" w:lineRule="exact"/>
      <w:ind w:left="462" w:leftChars="220"/>
    </w:pPr>
    <w:rPr>
      <w:sz w:val="24"/>
    </w:rPr>
  </w:style>
  <w:style w:type="paragraph" w:styleId="24">
    <w:name w:val="Balloon Text"/>
    <w:basedOn w:val="1"/>
    <w:link w:val="61"/>
    <w:autoRedefine/>
    <w:qFormat/>
    <w:uiPriority w:val="0"/>
    <w:rPr>
      <w:rFonts w:asciiTheme="minorHAnsi" w:hAnsiTheme="minorHAnsi" w:cstheme="minorBidi"/>
      <w:sz w:val="18"/>
      <w:szCs w:val="22"/>
    </w:rPr>
  </w:style>
  <w:style w:type="paragraph" w:styleId="25">
    <w:name w:val="footer"/>
    <w:basedOn w:val="1"/>
    <w:link w:val="49"/>
    <w:autoRedefine/>
    <w:unhideWhenUsed/>
    <w:qFormat/>
    <w:uiPriority w:val="0"/>
    <w:pPr>
      <w:tabs>
        <w:tab w:val="center" w:pos="4153"/>
        <w:tab w:val="right" w:pos="8306"/>
      </w:tabs>
      <w:snapToGrid w:val="0"/>
      <w:jc w:val="left"/>
    </w:pPr>
    <w:rPr>
      <w:sz w:val="18"/>
      <w:szCs w:val="18"/>
    </w:rPr>
  </w:style>
  <w:style w:type="paragraph" w:styleId="26">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rFonts w:ascii="Calibri" w:hAnsi="Calibri" w:cs="Calibri"/>
      <w:b/>
      <w:bCs/>
      <w:caps/>
      <w:szCs w:val="20"/>
    </w:rPr>
  </w:style>
  <w:style w:type="paragraph" w:styleId="28">
    <w:name w:val="toc 4"/>
    <w:basedOn w:val="1"/>
    <w:next w:val="1"/>
    <w:autoRedefine/>
    <w:qFormat/>
    <w:uiPriority w:val="39"/>
    <w:pPr>
      <w:ind w:left="630"/>
      <w:jc w:val="left"/>
    </w:pPr>
    <w:rPr>
      <w:rFonts w:ascii="Calibri" w:hAnsi="Calibri" w:cs="Calibri"/>
      <w:sz w:val="18"/>
      <w:szCs w:val="18"/>
    </w:rPr>
  </w:style>
  <w:style w:type="paragraph" w:styleId="29">
    <w:name w:val="toc 6"/>
    <w:basedOn w:val="1"/>
    <w:next w:val="1"/>
    <w:autoRedefine/>
    <w:qFormat/>
    <w:uiPriority w:val="39"/>
    <w:pPr>
      <w:ind w:left="1050"/>
      <w:jc w:val="left"/>
    </w:pPr>
    <w:rPr>
      <w:rFonts w:ascii="Calibri" w:hAnsi="Calibri" w:cs="Calibri"/>
      <w:sz w:val="18"/>
      <w:szCs w:val="18"/>
    </w:rPr>
  </w:style>
  <w:style w:type="paragraph" w:styleId="30">
    <w:name w:val="Body Text Indent 3"/>
    <w:basedOn w:val="1"/>
    <w:link w:val="99"/>
    <w:qFormat/>
    <w:uiPriority w:val="0"/>
    <w:pPr>
      <w:spacing w:after="120"/>
      <w:ind w:left="420" w:leftChars="200"/>
    </w:pPr>
    <w:rPr>
      <w:sz w:val="16"/>
      <w:szCs w:val="16"/>
    </w:rPr>
  </w:style>
  <w:style w:type="paragraph" w:styleId="31">
    <w:name w:val="toc 2"/>
    <w:basedOn w:val="1"/>
    <w:next w:val="1"/>
    <w:qFormat/>
    <w:uiPriority w:val="39"/>
    <w:pPr>
      <w:spacing w:before="120" w:after="120"/>
      <w:ind w:left="210"/>
      <w:jc w:val="left"/>
    </w:pPr>
    <w:rPr>
      <w:rFonts w:ascii="Calibri" w:hAnsi="Calibri" w:cs="Calibri"/>
      <w:smallCaps/>
      <w:szCs w:val="20"/>
    </w:rPr>
  </w:style>
  <w:style w:type="paragraph" w:styleId="32">
    <w:name w:val="toc 9"/>
    <w:basedOn w:val="1"/>
    <w:next w:val="1"/>
    <w:autoRedefine/>
    <w:qFormat/>
    <w:uiPriority w:val="39"/>
    <w:pPr>
      <w:ind w:left="1680"/>
      <w:jc w:val="left"/>
    </w:pPr>
    <w:rPr>
      <w:rFonts w:ascii="Calibri" w:hAnsi="Calibri" w:cs="Calibri"/>
      <w:sz w:val="18"/>
      <w:szCs w:val="18"/>
    </w:rPr>
  </w:style>
  <w:style w:type="paragraph" w:styleId="33">
    <w:name w:val="HTML Preformatted"/>
    <w:basedOn w:val="1"/>
    <w:link w:val="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Cs w:val="20"/>
    </w:rPr>
  </w:style>
  <w:style w:type="paragraph" w:styleId="34">
    <w:name w:val="Normal (Web)"/>
    <w:basedOn w:val="1"/>
    <w:autoRedefine/>
    <w:qFormat/>
    <w:uiPriority w:val="99"/>
    <w:pPr>
      <w:widowControl/>
      <w:spacing w:before="100" w:beforeAutospacing="1" w:after="100" w:afterAutospacing="1"/>
      <w:jc w:val="left"/>
    </w:pPr>
    <w:rPr>
      <w:rFonts w:ascii="宋体" w:hAnsi="宋体"/>
      <w:sz w:val="24"/>
    </w:rPr>
  </w:style>
  <w:style w:type="paragraph" w:styleId="35">
    <w:name w:val="annotation subject"/>
    <w:basedOn w:val="14"/>
    <w:next w:val="14"/>
    <w:link w:val="89"/>
    <w:autoRedefine/>
    <w:semiHidden/>
    <w:qFormat/>
    <w:uiPriority w:val="0"/>
    <w:rPr>
      <w:b/>
      <w:bCs/>
    </w:rPr>
  </w:style>
  <w:style w:type="paragraph" w:styleId="36">
    <w:name w:val="Body Text First Indent"/>
    <w:basedOn w:val="16"/>
    <w:link w:val="117"/>
    <w:autoRedefine/>
    <w:unhideWhenUsed/>
    <w:qFormat/>
    <w:uiPriority w:val="99"/>
    <w:pPr>
      <w:ind w:firstLine="420" w:firstLineChars="100"/>
    </w:pPr>
  </w:style>
  <w:style w:type="paragraph" w:styleId="37">
    <w:name w:val="Body Text First Indent 2"/>
    <w:basedOn w:val="17"/>
    <w:autoRedefine/>
    <w:qFormat/>
    <w:uiPriority w:val="0"/>
    <w:pPr>
      <w:spacing w:after="120"/>
      <w:ind w:left="420" w:leftChars="200" w:firstLine="210"/>
      <w:jc w:val="left"/>
    </w:pPr>
    <w:rPr>
      <w:sz w:val="20"/>
    </w:rPr>
  </w:style>
  <w:style w:type="table" w:styleId="39">
    <w:name w:val="Table Grid"/>
    <w:basedOn w:val="3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autoRedefine/>
    <w:qFormat/>
    <w:uiPriority w:val="22"/>
    <w:rPr>
      <w:b/>
      <w:bCs/>
    </w:rPr>
  </w:style>
  <w:style w:type="character" w:styleId="42">
    <w:name w:val="page number"/>
    <w:basedOn w:val="40"/>
    <w:autoRedefine/>
    <w:qFormat/>
    <w:uiPriority w:val="0"/>
  </w:style>
  <w:style w:type="character" w:styleId="43">
    <w:name w:val="FollowedHyperlink"/>
    <w:basedOn w:val="40"/>
    <w:autoRedefine/>
    <w:semiHidden/>
    <w:unhideWhenUsed/>
    <w:qFormat/>
    <w:uiPriority w:val="99"/>
    <w:rPr>
      <w:color w:val="800080" w:themeColor="followedHyperlink"/>
      <w:u w:val="single"/>
      <w14:textFill>
        <w14:solidFill>
          <w14:schemeClr w14:val="folHlink"/>
        </w14:solidFill>
      </w14:textFill>
    </w:rPr>
  </w:style>
  <w:style w:type="character" w:styleId="44">
    <w:name w:val="Emphasis"/>
    <w:autoRedefine/>
    <w:qFormat/>
    <w:uiPriority w:val="0"/>
    <w:rPr>
      <w:color w:val="CC0000"/>
    </w:rPr>
  </w:style>
  <w:style w:type="character" w:styleId="45">
    <w:name w:val="Hyperlink"/>
    <w:autoRedefine/>
    <w:qFormat/>
    <w:uiPriority w:val="99"/>
    <w:rPr>
      <w:rFonts w:eastAsia="宋体"/>
      <w:color w:val="0000FF"/>
      <w:sz w:val="28"/>
      <w:u w:val="single"/>
    </w:rPr>
  </w:style>
  <w:style w:type="character" w:styleId="46">
    <w:name w:val="annotation reference"/>
    <w:autoRedefine/>
    <w:qFormat/>
    <w:uiPriority w:val="99"/>
    <w:rPr>
      <w:sz w:val="21"/>
      <w:szCs w:val="21"/>
    </w:rPr>
  </w:style>
  <w:style w:type="paragraph" w:customStyle="1" w:styleId="47">
    <w:name w:val="正文正"/>
    <w:basedOn w:val="1"/>
    <w:autoRedefine/>
    <w:qFormat/>
    <w:uiPriority w:val="0"/>
    <w:pPr>
      <w:spacing w:line="560" w:lineRule="exact"/>
      <w:ind w:firstLine="561"/>
    </w:pPr>
    <w:rPr>
      <w:rFonts w:ascii="Calibri" w:hAnsi="Calibri"/>
      <w:sz w:val="28"/>
      <w:szCs w:val="28"/>
    </w:rPr>
  </w:style>
  <w:style w:type="character" w:customStyle="1" w:styleId="48">
    <w:name w:val="页眉 字符"/>
    <w:basedOn w:val="40"/>
    <w:link w:val="26"/>
    <w:autoRedefine/>
    <w:qFormat/>
    <w:uiPriority w:val="0"/>
    <w:rPr>
      <w:sz w:val="18"/>
      <w:szCs w:val="18"/>
    </w:rPr>
  </w:style>
  <w:style w:type="character" w:customStyle="1" w:styleId="49">
    <w:name w:val="页脚 字符"/>
    <w:basedOn w:val="40"/>
    <w:link w:val="25"/>
    <w:autoRedefine/>
    <w:qFormat/>
    <w:uiPriority w:val="0"/>
    <w:rPr>
      <w:sz w:val="18"/>
      <w:szCs w:val="18"/>
    </w:rPr>
  </w:style>
  <w:style w:type="character" w:customStyle="1" w:styleId="50">
    <w:name w:val="标题 1 字符"/>
    <w:basedOn w:val="40"/>
    <w:link w:val="2"/>
    <w:autoRedefine/>
    <w:qFormat/>
    <w:uiPriority w:val="0"/>
    <w:rPr>
      <w:rFonts w:ascii="Times New Roman" w:hAnsi="Times New Roman" w:eastAsia="宋体" w:cs="Times New Roman"/>
      <w:b/>
      <w:bCs/>
      <w:kern w:val="0"/>
      <w:sz w:val="24"/>
      <w:szCs w:val="24"/>
    </w:rPr>
  </w:style>
  <w:style w:type="character" w:customStyle="1" w:styleId="51">
    <w:name w:val="标题 2 字符"/>
    <w:basedOn w:val="40"/>
    <w:link w:val="3"/>
    <w:autoRedefine/>
    <w:qFormat/>
    <w:uiPriority w:val="0"/>
    <w:rPr>
      <w:rFonts w:ascii="Arial" w:hAnsi="Arial" w:eastAsia="黑体" w:cs="Times New Roman"/>
      <w:b/>
      <w:bCs/>
      <w:sz w:val="32"/>
      <w:szCs w:val="32"/>
    </w:rPr>
  </w:style>
  <w:style w:type="character" w:customStyle="1" w:styleId="52">
    <w:name w:val="标题 3 字符"/>
    <w:basedOn w:val="40"/>
    <w:link w:val="4"/>
    <w:autoRedefine/>
    <w:qFormat/>
    <w:uiPriority w:val="0"/>
    <w:rPr>
      <w:rFonts w:ascii="楷体_GB2312" w:hAnsi="宋体" w:eastAsia="楷体_GB2312" w:cs="Times New Roman"/>
      <w:b/>
      <w:bCs/>
      <w:sz w:val="32"/>
      <w:szCs w:val="24"/>
    </w:rPr>
  </w:style>
  <w:style w:type="character" w:customStyle="1" w:styleId="53">
    <w:name w:val="标题 4 字符"/>
    <w:basedOn w:val="40"/>
    <w:link w:val="5"/>
    <w:autoRedefine/>
    <w:qFormat/>
    <w:uiPriority w:val="0"/>
    <w:rPr>
      <w:rFonts w:ascii="Arial" w:hAnsi="Arial" w:eastAsia="黑体" w:cs="Times New Roman"/>
      <w:b/>
      <w:bCs/>
      <w:kern w:val="0"/>
      <w:sz w:val="28"/>
      <w:szCs w:val="28"/>
    </w:rPr>
  </w:style>
  <w:style w:type="character" w:customStyle="1" w:styleId="54">
    <w:name w:val="标题 5 字符"/>
    <w:basedOn w:val="40"/>
    <w:link w:val="6"/>
    <w:autoRedefine/>
    <w:qFormat/>
    <w:uiPriority w:val="0"/>
    <w:rPr>
      <w:rFonts w:ascii="Times New Roman" w:hAnsi="Times New Roman" w:eastAsia="宋体" w:cs="Times New Roman"/>
      <w:b/>
      <w:bCs/>
      <w:kern w:val="0"/>
      <w:sz w:val="28"/>
      <w:szCs w:val="28"/>
    </w:rPr>
  </w:style>
  <w:style w:type="character" w:customStyle="1" w:styleId="55">
    <w:name w:val="标题 6 字符"/>
    <w:basedOn w:val="40"/>
    <w:link w:val="7"/>
    <w:autoRedefine/>
    <w:qFormat/>
    <w:uiPriority w:val="0"/>
    <w:rPr>
      <w:rFonts w:ascii="Arial" w:hAnsi="Arial" w:eastAsia="黑体" w:cs="Times New Roman"/>
      <w:b/>
      <w:bCs/>
      <w:kern w:val="0"/>
      <w:sz w:val="24"/>
      <w:szCs w:val="24"/>
    </w:rPr>
  </w:style>
  <w:style w:type="character" w:customStyle="1" w:styleId="56">
    <w:name w:val="标题 7 字符"/>
    <w:basedOn w:val="40"/>
    <w:link w:val="8"/>
    <w:autoRedefine/>
    <w:qFormat/>
    <w:uiPriority w:val="0"/>
    <w:rPr>
      <w:rFonts w:ascii="Times New Roman" w:hAnsi="Times New Roman" w:eastAsia="宋体" w:cs="Times New Roman"/>
      <w:b/>
      <w:bCs/>
      <w:kern w:val="0"/>
      <w:sz w:val="24"/>
      <w:szCs w:val="24"/>
    </w:rPr>
  </w:style>
  <w:style w:type="character" w:customStyle="1" w:styleId="57">
    <w:name w:val="标题 8 字符"/>
    <w:basedOn w:val="40"/>
    <w:link w:val="9"/>
    <w:autoRedefine/>
    <w:qFormat/>
    <w:uiPriority w:val="0"/>
    <w:rPr>
      <w:rFonts w:ascii="Arial" w:hAnsi="Arial" w:eastAsia="黑体" w:cs="Times New Roman"/>
      <w:kern w:val="0"/>
      <w:sz w:val="24"/>
      <w:szCs w:val="24"/>
    </w:rPr>
  </w:style>
  <w:style w:type="character" w:customStyle="1" w:styleId="58">
    <w:name w:val="标题 9 字符"/>
    <w:basedOn w:val="40"/>
    <w:link w:val="10"/>
    <w:autoRedefine/>
    <w:qFormat/>
    <w:uiPriority w:val="0"/>
    <w:rPr>
      <w:rFonts w:ascii="Arial" w:hAnsi="Arial" w:eastAsia="黑体" w:cs="Times New Roman"/>
      <w:kern w:val="0"/>
      <w:szCs w:val="21"/>
    </w:rPr>
  </w:style>
  <w:style w:type="character" w:customStyle="1" w:styleId="59">
    <w:name w:val="f141"/>
    <w:autoRedefine/>
    <w:qFormat/>
    <w:uiPriority w:val="0"/>
    <w:rPr>
      <w:sz w:val="21"/>
      <w:szCs w:val="21"/>
    </w:rPr>
  </w:style>
  <w:style w:type="character" w:customStyle="1" w:styleId="60">
    <w:name w:val="p141"/>
    <w:autoRedefine/>
    <w:qFormat/>
    <w:uiPriority w:val="0"/>
    <w:rPr>
      <w:sz w:val="21"/>
      <w:szCs w:val="21"/>
    </w:rPr>
  </w:style>
  <w:style w:type="character" w:customStyle="1" w:styleId="61">
    <w:name w:val="批注框文本 字符"/>
    <w:link w:val="24"/>
    <w:autoRedefine/>
    <w:qFormat/>
    <w:locked/>
    <w:uiPriority w:val="0"/>
    <w:rPr>
      <w:rFonts w:eastAsia="宋体"/>
      <w:sz w:val="18"/>
    </w:rPr>
  </w:style>
  <w:style w:type="paragraph" w:customStyle="1" w:styleId="62">
    <w:name w:val="_Style 33"/>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character" w:customStyle="1" w:styleId="63">
    <w:name w:val="s10pv000000"/>
    <w:basedOn w:val="40"/>
    <w:autoRedefine/>
    <w:qFormat/>
    <w:uiPriority w:val="0"/>
  </w:style>
  <w:style w:type="character" w:customStyle="1" w:styleId="64">
    <w:name w:val="纯文本 字符"/>
    <w:link w:val="20"/>
    <w:autoRedefine/>
    <w:qFormat/>
    <w:uiPriority w:val="0"/>
    <w:rPr>
      <w:rFonts w:ascii="宋体" w:hAnsi="Courier New" w:cs="Courier New"/>
      <w:szCs w:val="21"/>
    </w:rPr>
  </w:style>
  <w:style w:type="character" w:customStyle="1" w:styleId="65">
    <w:name w:val="批注文字 字符"/>
    <w:link w:val="14"/>
    <w:autoRedefine/>
    <w:qFormat/>
    <w:uiPriority w:val="99"/>
    <w:rPr>
      <w:szCs w:val="24"/>
    </w:rPr>
  </w:style>
  <w:style w:type="paragraph" w:customStyle="1" w:styleId="66">
    <w:name w:val="样式 标题 4 + 段前: 5 磅 段后: 5 磅 行距: 单倍行距"/>
    <w:basedOn w:val="5"/>
    <w:autoRedefine/>
    <w:qFormat/>
    <w:uiPriority w:val="0"/>
    <w:pPr>
      <w:widowControl w:val="0"/>
      <w:tabs>
        <w:tab w:val="left" w:pos="1680"/>
      </w:tabs>
      <w:spacing w:before="100" w:after="100" w:line="240" w:lineRule="auto"/>
      <w:ind w:left="1680" w:hanging="420"/>
    </w:pPr>
    <w:rPr>
      <w:bCs w:val="0"/>
      <w:szCs w:val="20"/>
    </w:rPr>
  </w:style>
  <w:style w:type="paragraph" w:customStyle="1" w:styleId="67">
    <w:name w:val="Char"/>
    <w:basedOn w:val="1"/>
    <w:autoRedefine/>
    <w:qFormat/>
    <w:uiPriority w:val="0"/>
    <w:pPr>
      <w:widowControl/>
      <w:spacing w:line="240" w:lineRule="exact"/>
      <w:jc w:val="left"/>
    </w:pPr>
    <w:rPr>
      <w:rFonts w:ascii="Verdana" w:hAnsi="Verdana" w:eastAsia="仿宋_GB2312"/>
      <w:sz w:val="24"/>
      <w:szCs w:val="20"/>
      <w:lang w:eastAsia="en-US"/>
    </w:rPr>
  </w:style>
  <w:style w:type="paragraph" w:customStyle="1" w:styleId="68">
    <w:name w:val="基准标题"/>
    <w:basedOn w:val="16"/>
    <w:next w:val="16"/>
    <w:autoRedefine/>
    <w:qFormat/>
    <w:uiPriority w:val="0"/>
    <w:pPr>
      <w:keepNext/>
      <w:keepLines/>
      <w:widowControl/>
      <w:spacing w:after="0" w:line="240" w:lineRule="atLeast"/>
      <w:jc w:val="left"/>
    </w:pPr>
    <w:rPr>
      <w:rFonts w:ascii="Garamond" w:hAnsi="Garamond"/>
      <w:kern w:val="20"/>
      <w:sz w:val="22"/>
      <w:szCs w:val="20"/>
      <w:lang w:bidi="he-IL"/>
    </w:rPr>
  </w:style>
  <w:style w:type="paragraph" w:customStyle="1" w:styleId="69">
    <w:name w:val="表格"/>
    <w:basedOn w:val="1"/>
    <w:autoRedefine/>
    <w:qFormat/>
    <w:uiPriority w:val="0"/>
    <w:pPr>
      <w:spacing w:line="420" w:lineRule="exact"/>
      <w:ind w:left="84" w:leftChars="40"/>
      <w:jc w:val="center"/>
    </w:pPr>
    <w:rPr>
      <w:rFonts w:ascii="宋体" w:hAnsi="宋体"/>
      <w:bCs/>
      <w:spacing w:val="-12"/>
    </w:rPr>
  </w:style>
  <w:style w:type="paragraph" w:customStyle="1" w:styleId="70">
    <w:name w:val="font6"/>
    <w:basedOn w:val="1"/>
    <w:autoRedefine/>
    <w:qFormat/>
    <w:uiPriority w:val="0"/>
    <w:pPr>
      <w:widowControl/>
      <w:spacing w:before="100" w:beforeAutospacing="1" w:after="100" w:afterAutospacing="1"/>
      <w:jc w:val="left"/>
    </w:pPr>
    <w:rPr>
      <w:rFonts w:hint="eastAsia" w:ascii="宋体" w:hAnsi="宋体"/>
      <w:sz w:val="24"/>
    </w:rPr>
  </w:style>
  <w:style w:type="paragraph" w:customStyle="1" w:styleId="71">
    <w:name w:val="样式4"/>
    <w:basedOn w:val="1"/>
    <w:autoRedefine/>
    <w:qFormat/>
    <w:uiPriority w:val="0"/>
    <w:pPr>
      <w:tabs>
        <w:tab w:val="left" w:pos="2328"/>
      </w:tabs>
      <w:ind w:left="2328" w:hanging="708"/>
    </w:pPr>
  </w:style>
  <w:style w:type="paragraph" w:customStyle="1" w:styleId="72">
    <w:name w:val="font5"/>
    <w:basedOn w:val="1"/>
    <w:autoRedefine/>
    <w:qFormat/>
    <w:uiPriority w:val="0"/>
    <w:pPr>
      <w:widowControl/>
      <w:spacing w:before="100" w:beforeAutospacing="1" w:after="100" w:afterAutospacing="1"/>
      <w:jc w:val="left"/>
    </w:pPr>
    <w:rPr>
      <w:rFonts w:hint="eastAsia" w:ascii="宋体" w:hAnsi="宋体"/>
      <w:sz w:val="18"/>
      <w:szCs w:val="18"/>
    </w:rPr>
  </w:style>
  <w:style w:type="paragraph" w:customStyle="1" w:styleId="73">
    <w:name w:val="3 Char"/>
    <w:basedOn w:val="1"/>
    <w:autoRedefine/>
    <w:qFormat/>
    <w:uiPriority w:val="0"/>
    <w:pPr>
      <w:widowControl/>
      <w:spacing w:line="400" w:lineRule="exact"/>
      <w:jc w:val="center"/>
    </w:pPr>
    <w:rPr>
      <w:rFonts w:ascii="Verdana" w:hAnsi="Verdana"/>
      <w:szCs w:val="20"/>
      <w:lang w:eastAsia="en-US"/>
    </w:rPr>
  </w:style>
  <w:style w:type="character" w:customStyle="1" w:styleId="74">
    <w:name w:val="批注文字 Char1"/>
    <w:basedOn w:val="40"/>
    <w:autoRedefine/>
    <w:semiHidden/>
    <w:qFormat/>
    <w:uiPriority w:val="99"/>
    <w:rPr>
      <w:rFonts w:ascii="Times New Roman" w:hAnsi="Times New Roman" w:eastAsia="宋体" w:cs="Times New Roman"/>
      <w:szCs w:val="24"/>
    </w:rPr>
  </w:style>
  <w:style w:type="paragraph" w:customStyle="1" w:styleId="75">
    <w:name w:val="样式 标题 2 + 宋体 五号 非加粗 黑色"/>
    <w:basedOn w:val="3"/>
    <w:autoRedefine/>
    <w:qFormat/>
    <w:uiPriority w:val="0"/>
    <w:pPr>
      <w:tabs>
        <w:tab w:val="left" w:pos="840"/>
      </w:tabs>
      <w:spacing w:line="416" w:lineRule="atLeast"/>
      <w:ind w:left="840" w:hanging="420"/>
      <w:jc w:val="left"/>
    </w:pPr>
    <w:rPr>
      <w:rFonts w:ascii="宋体" w:hAnsi="宋体" w:eastAsia="宋体"/>
      <w:b w:val="0"/>
      <w:bCs w:val="0"/>
      <w:color w:val="000000"/>
      <w:sz w:val="21"/>
      <w:szCs w:val="20"/>
    </w:rPr>
  </w:style>
  <w:style w:type="paragraph" w:customStyle="1" w:styleId="76">
    <w:name w:val="xl29"/>
    <w:basedOn w:val="1"/>
    <w:autoRedefine/>
    <w:qFormat/>
    <w:uiPriority w:val="0"/>
    <w:pPr>
      <w:widowControl/>
      <w:spacing w:before="100" w:beforeAutospacing="1" w:after="100" w:afterAutospacing="1"/>
      <w:jc w:val="center"/>
    </w:pPr>
    <w:rPr>
      <w:rFonts w:ascii="宋体" w:hAnsi="宋体"/>
      <w:sz w:val="28"/>
      <w:szCs w:val="28"/>
    </w:rPr>
  </w:style>
  <w:style w:type="paragraph" w:customStyle="1" w:styleId="77">
    <w:name w:val="图"/>
    <w:basedOn w:val="1"/>
    <w:autoRedefine/>
    <w:qFormat/>
    <w:uiPriority w:val="0"/>
    <w:pPr>
      <w:keepNext/>
      <w:spacing w:before="60" w:after="60" w:line="300" w:lineRule="auto"/>
      <w:jc w:val="center"/>
      <w:textAlignment w:val="center"/>
    </w:pPr>
    <w:rPr>
      <w:snapToGrid w:val="0"/>
      <w:spacing w:val="20"/>
      <w:sz w:val="24"/>
      <w:szCs w:val="20"/>
    </w:rPr>
  </w:style>
  <w:style w:type="character" w:customStyle="1" w:styleId="78">
    <w:name w:val="正文文本缩进 字符"/>
    <w:basedOn w:val="40"/>
    <w:link w:val="17"/>
    <w:autoRedefine/>
    <w:qFormat/>
    <w:uiPriority w:val="0"/>
    <w:rPr>
      <w:rFonts w:ascii="Times New Roman" w:hAnsi="Times New Roman" w:eastAsia="宋体" w:cs="Times New Roman"/>
      <w:sz w:val="24"/>
      <w:szCs w:val="24"/>
    </w:rPr>
  </w:style>
  <w:style w:type="paragraph" w:customStyle="1" w:styleId="79">
    <w:name w:val="设计方案"/>
    <w:basedOn w:val="1"/>
    <w:autoRedefine/>
    <w:qFormat/>
    <w:uiPriority w:val="0"/>
    <w:pPr>
      <w:widowControl/>
      <w:tabs>
        <w:tab w:val="left" w:pos="425"/>
      </w:tabs>
      <w:spacing w:line="240" w:lineRule="exact"/>
      <w:ind w:left="425" w:hanging="425"/>
      <w:jc w:val="left"/>
    </w:pPr>
    <w:rPr>
      <w:rFonts w:ascii="Verdana" w:hAnsi="Verdana"/>
      <w:szCs w:val="20"/>
      <w:lang w:eastAsia="en-US"/>
    </w:rPr>
  </w:style>
  <w:style w:type="paragraph" w:customStyle="1" w:styleId="80">
    <w:name w:val="Char11"/>
    <w:basedOn w:val="1"/>
    <w:autoRedefine/>
    <w:qFormat/>
    <w:uiPriority w:val="0"/>
    <w:pPr>
      <w:widowControl/>
      <w:spacing w:line="240" w:lineRule="exact"/>
      <w:jc w:val="left"/>
    </w:pPr>
    <w:rPr>
      <w:rFonts w:ascii="Verdana" w:hAnsi="Verdana" w:eastAsia="仿宋_GB2312"/>
      <w:sz w:val="24"/>
      <w:szCs w:val="20"/>
      <w:lang w:eastAsia="en-US"/>
    </w:rPr>
  </w:style>
  <w:style w:type="paragraph" w:customStyle="1" w:styleId="8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4"/>
    </w:rPr>
  </w:style>
  <w:style w:type="paragraph" w:customStyle="1" w:styleId="82">
    <w:name w:val="样式1"/>
    <w:basedOn w:val="1"/>
    <w:autoRedefine/>
    <w:qFormat/>
    <w:uiPriority w:val="0"/>
    <w:pPr>
      <w:tabs>
        <w:tab w:val="left" w:pos="425"/>
        <w:tab w:val="left" w:pos="709"/>
      </w:tabs>
      <w:ind w:left="425" w:hanging="425"/>
    </w:pPr>
    <w:rPr>
      <w:rFonts w:ascii="宋体" w:hAnsi="宋体"/>
      <w:szCs w:val="20"/>
    </w:rPr>
  </w:style>
  <w:style w:type="character" w:customStyle="1" w:styleId="83">
    <w:name w:val="正文文本 3 字符"/>
    <w:basedOn w:val="40"/>
    <w:link w:val="15"/>
    <w:autoRedefine/>
    <w:qFormat/>
    <w:uiPriority w:val="0"/>
    <w:rPr>
      <w:rFonts w:ascii="Times New Roman" w:hAnsi="Times New Roman" w:eastAsia="宋体" w:cs="Times New Roman"/>
      <w:sz w:val="16"/>
      <w:szCs w:val="16"/>
    </w:rPr>
  </w:style>
  <w:style w:type="paragraph" w:customStyle="1" w:styleId="84">
    <w:name w:val="head"/>
    <w:basedOn w:val="1"/>
    <w:autoRedefine/>
    <w:qFormat/>
    <w:uiPriority w:val="0"/>
    <w:pPr>
      <w:widowControl/>
      <w:spacing w:before="100" w:beforeAutospacing="1" w:after="100" w:afterAutospacing="1"/>
      <w:jc w:val="center"/>
    </w:pPr>
    <w:rPr>
      <w:rFonts w:hint="eastAsia" w:ascii="黑体" w:hAnsi="宋体" w:eastAsia="黑体"/>
      <w:b/>
      <w:bCs/>
      <w:sz w:val="28"/>
      <w:szCs w:val="28"/>
    </w:rPr>
  </w:style>
  <w:style w:type="paragraph" w:styleId="85">
    <w:name w:val="List Paragraph"/>
    <w:basedOn w:val="1"/>
    <w:link w:val="116"/>
    <w:autoRedefine/>
    <w:qFormat/>
    <w:uiPriority w:val="99"/>
    <w:pPr>
      <w:ind w:firstLine="420" w:firstLineChars="200"/>
    </w:pPr>
  </w:style>
  <w:style w:type="paragraph" w:customStyle="1" w:styleId="86">
    <w:name w:val="默认段落字体 Para Char Char Char Char"/>
    <w:basedOn w:val="1"/>
    <w:autoRedefine/>
    <w:qFormat/>
    <w:uiPriority w:val="0"/>
    <w:rPr>
      <w:szCs w:val="20"/>
    </w:rPr>
  </w:style>
  <w:style w:type="paragraph" w:customStyle="1" w:styleId="87">
    <w:name w:val="Char Char Char Char"/>
    <w:basedOn w:val="1"/>
    <w:autoRedefine/>
    <w:qFormat/>
    <w:uiPriority w:val="0"/>
    <w:pPr>
      <w:widowControl/>
      <w:spacing w:line="240" w:lineRule="exact"/>
      <w:jc w:val="left"/>
    </w:pPr>
    <w:rPr>
      <w:rFonts w:ascii="Verdana" w:hAnsi="Verdana" w:eastAsia="仿宋_GB2312"/>
      <w:sz w:val="24"/>
      <w:szCs w:val="20"/>
      <w:lang w:eastAsia="en-US"/>
    </w:rPr>
  </w:style>
  <w:style w:type="paragraph" w:customStyle="1" w:styleId="88">
    <w:name w:val="font0"/>
    <w:basedOn w:val="1"/>
    <w:autoRedefine/>
    <w:qFormat/>
    <w:uiPriority w:val="0"/>
    <w:pPr>
      <w:widowControl/>
      <w:spacing w:before="100" w:beforeAutospacing="1" w:after="100" w:afterAutospacing="1"/>
      <w:jc w:val="left"/>
    </w:pPr>
    <w:rPr>
      <w:rFonts w:hint="eastAsia" w:ascii="宋体" w:hAnsi="宋体"/>
      <w:sz w:val="24"/>
    </w:rPr>
  </w:style>
  <w:style w:type="character" w:customStyle="1" w:styleId="89">
    <w:name w:val="批注主题 字符"/>
    <w:basedOn w:val="74"/>
    <w:link w:val="35"/>
    <w:autoRedefine/>
    <w:semiHidden/>
    <w:qFormat/>
    <w:uiPriority w:val="0"/>
    <w:rPr>
      <w:rFonts w:ascii="Times New Roman" w:hAnsi="Times New Roman" w:eastAsia="宋体" w:cs="Times New Roman"/>
      <w:b/>
      <w:bCs/>
      <w:szCs w:val="24"/>
    </w:rPr>
  </w:style>
  <w:style w:type="character" w:customStyle="1" w:styleId="90">
    <w:name w:val="文档结构图 字符"/>
    <w:basedOn w:val="40"/>
    <w:link w:val="13"/>
    <w:autoRedefine/>
    <w:qFormat/>
    <w:uiPriority w:val="0"/>
    <w:rPr>
      <w:rFonts w:ascii="Times New Roman" w:hAnsi="Times New Roman" w:eastAsia="宋体" w:cs="Times New Roman"/>
      <w:szCs w:val="20"/>
      <w:shd w:val="clear" w:color="auto" w:fill="000080"/>
    </w:rPr>
  </w:style>
  <w:style w:type="paragraph" w:customStyle="1" w:styleId="91">
    <w:name w:val="Char Char Char Char Char Char Char"/>
    <w:basedOn w:val="1"/>
    <w:autoRedefine/>
    <w:qFormat/>
    <w:uiPriority w:val="0"/>
    <w:rPr>
      <w:rFonts w:ascii="Tahoma" w:hAnsi="Tahoma" w:cs="Tahoma"/>
      <w:sz w:val="30"/>
      <w:szCs w:val="30"/>
    </w:rPr>
  </w:style>
  <w:style w:type="paragraph" w:customStyle="1" w:styleId="92">
    <w:name w:val="样式 标题 3h3H3sect1.2.3 + 五号 段前: 6 磅 段后: 6 磅 行距: 单倍行距"/>
    <w:basedOn w:val="4"/>
    <w:autoRedefine/>
    <w:qFormat/>
    <w:uiPriority w:val="0"/>
    <w:pPr>
      <w:keepLines/>
      <w:tabs>
        <w:tab w:val="left" w:pos="1260"/>
      </w:tabs>
      <w:spacing w:before="120" w:after="120"/>
      <w:ind w:left="1260" w:hanging="420"/>
      <w:jc w:val="left"/>
    </w:pPr>
    <w:rPr>
      <w:rFonts w:ascii="Times New Roman" w:hAnsi="Times New Roman" w:eastAsia="宋体"/>
      <w:bCs w:val="0"/>
      <w:sz w:val="21"/>
      <w:szCs w:val="20"/>
    </w:rPr>
  </w:style>
  <w:style w:type="character" w:customStyle="1" w:styleId="93">
    <w:name w:val="正文文本 字符"/>
    <w:basedOn w:val="40"/>
    <w:link w:val="16"/>
    <w:autoRedefine/>
    <w:qFormat/>
    <w:uiPriority w:val="0"/>
    <w:rPr>
      <w:rFonts w:ascii="Times New Roman" w:hAnsi="Times New Roman" w:eastAsia="宋体" w:cs="Times New Roman"/>
      <w:szCs w:val="24"/>
    </w:rPr>
  </w:style>
  <w:style w:type="character" w:customStyle="1" w:styleId="94">
    <w:name w:val="正文文本缩进 2 字符"/>
    <w:basedOn w:val="40"/>
    <w:link w:val="23"/>
    <w:qFormat/>
    <w:uiPriority w:val="0"/>
    <w:rPr>
      <w:rFonts w:ascii="Times New Roman" w:hAnsi="Times New Roman" w:eastAsia="宋体" w:cs="Times New Roman"/>
      <w:sz w:val="24"/>
      <w:szCs w:val="24"/>
    </w:rPr>
  </w:style>
  <w:style w:type="character" w:customStyle="1" w:styleId="95">
    <w:name w:val="纯文本 Char1"/>
    <w:basedOn w:val="40"/>
    <w:autoRedefine/>
    <w:qFormat/>
    <w:uiPriority w:val="0"/>
    <w:rPr>
      <w:rFonts w:ascii="宋体" w:hAnsi="Courier New" w:eastAsia="宋体" w:cs="Courier New"/>
      <w:szCs w:val="21"/>
    </w:rPr>
  </w:style>
  <w:style w:type="character" w:customStyle="1" w:styleId="96">
    <w:name w:val="日期 字符"/>
    <w:basedOn w:val="40"/>
    <w:link w:val="22"/>
    <w:autoRedefine/>
    <w:qFormat/>
    <w:uiPriority w:val="0"/>
    <w:rPr>
      <w:rFonts w:ascii="宋体" w:hAnsi="Times New Roman" w:eastAsia="宋体" w:cs="Times New Roman"/>
      <w:kern w:val="0"/>
      <w:szCs w:val="20"/>
    </w:rPr>
  </w:style>
  <w:style w:type="character" w:customStyle="1" w:styleId="97">
    <w:name w:val="批注框文本 Char1"/>
    <w:basedOn w:val="40"/>
    <w:autoRedefine/>
    <w:semiHidden/>
    <w:qFormat/>
    <w:uiPriority w:val="99"/>
    <w:rPr>
      <w:rFonts w:ascii="Times New Roman" w:hAnsi="Times New Roman" w:eastAsia="宋体" w:cs="Times New Roman"/>
      <w:sz w:val="18"/>
      <w:szCs w:val="18"/>
    </w:rPr>
  </w:style>
  <w:style w:type="character" w:customStyle="1" w:styleId="98">
    <w:name w:val="HTML 预设格式 字符"/>
    <w:basedOn w:val="40"/>
    <w:link w:val="33"/>
    <w:autoRedefine/>
    <w:qFormat/>
    <w:uiPriority w:val="0"/>
    <w:rPr>
      <w:rFonts w:ascii="黑体" w:hAnsi="Courier New" w:eastAsia="黑体" w:cs="Courier New"/>
      <w:kern w:val="0"/>
      <w:sz w:val="20"/>
      <w:szCs w:val="20"/>
    </w:rPr>
  </w:style>
  <w:style w:type="character" w:customStyle="1" w:styleId="99">
    <w:name w:val="正文文本缩进 3 字符"/>
    <w:basedOn w:val="40"/>
    <w:link w:val="30"/>
    <w:autoRedefine/>
    <w:qFormat/>
    <w:uiPriority w:val="0"/>
    <w:rPr>
      <w:rFonts w:ascii="Times New Roman" w:hAnsi="Times New Roman" w:eastAsia="宋体" w:cs="Times New Roman"/>
      <w:sz w:val="16"/>
      <w:szCs w:val="16"/>
    </w:rPr>
  </w:style>
  <w:style w:type="paragraph" w:customStyle="1" w:styleId="100">
    <w:name w:val="Char1 Char Char Char"/>
    <w:basedOn w:val="1"/>
    <w:autoRedefine/>
    <w:qFormat/>
    <w:uiPriority w:val="0"/>
    <w:rPr>
      <w:szCs w:val="20"/>
    </w:rPr>
  </w:style>
  <w:style w:type="paragraph" w:customStyle="1" w:styleId="101">
    <w:name w:val="Char1"/>
    <w:basedOn w:val="1"/>
    <w:autoRedefine/>
    <w:qFormat/>
    <w:uiPriority w:val="0"/>
    <w:pPr>
      <w:widowControl/>
      <w:spacing w:line="240" w:lineRule="exact"/>
      <w:jc w:val="left"/>
    </w:pPr>
    <w:rPr>
      <w:sz w:val="24"/>
    </w:rPr>
  </w:style>
  <w:style w:type="paragraph" w:customStyle="1" w:styleId="102">
    <w:name w:val="默认段落字体 Para Char"/>
    <w:basedOn w:val="1"/>
    <w:autoRedefine/>
    <w:qFormat/>
    <w:uiPriority w:val="0"/>
  </w:style>
  <w:style w:type="paragraph" w:customStyle="1" w:styleId="103">
    <w:name w:val="Char1 Char Char Char Char Char Char Char Char Char"/>
    <w:basedOn w:val="1"/>
    <w:autoRedefine/>
    <w:qFormat/>
    <w:uiPriority w:val="0"/>
    <w:pPr>
      <w:widowControl/>
      <w:spacing w:line="400" w:lineRule="exact"/>
      <w:jc w:val="center"/>
    </w:pPr>
    <w:rPr>
      <w:rFonts w:ascii="Verdana" w:hAnsi="Verdana"/>
      <w:szCs w:val="20"/>
      <w:lang w:eastAsia="en-US"/>
    </w:rPr>
  </w:style>
  <w:style w:type="paragraph" w:customStyle="1" w:styleId="104">
    <w:name w:val="TOC 标题1"/>
    <w:basedOn w:val="2"/>
    <w:next w:val="1"/>
    <w:autoRedefine/>
    <w:qFormat/>
    <w:uiPriority w:val="39"/>
    <w:pPr>
      <w:keepLines/>
      <w:spacing w:before="480" w:line="276" w:lineRule="auto"/>
      <w:outlineLvl w:val="9"/>
    </w:pPr>
    <w:rPr>
      <w:rFonts w:ascii="Cambria" w:hAnsi="Cambria"/>
      <w:color w:val="365F91"/>
      <w:sz w:val="28"/>
      <w:szCs w:val="28"/>
    </w:rPr>
  </w:style>
  <w:style w:type="paragraph" w:customStyle="1" w:styleId="105">
    <w:name w:val="Default"/>
    <w:qFormat/>
    <w:uiPriority w:val="0"/>
    <w:pPr>
      <w:widowControl w:val="0"/>
      <w:autoSpaceDE w:val="0"/>
      <w:autoSpaceDN w:val="0"/>
      <w:adjustRightInd w:val="0"/>
      <w:spacing w:after="160" w:line="360" w:lineRule="atLeast"/>
      <w:jc w:val="both"/>
      <w:textAlignment w:val="baseline"/>
    </w:pPr>
    <w:rPr>
      <w:rFonts w:ascii="宋体" w:hAnsi="Calibri" w:eastAsia="宋体" w:cs="Times New Roman"/>
      <w:color w:val="000000"/>
      <w:sz w:val="24"/>
      <w:szCs w:val="24"/>
      <w:lang w:val="en-US" w:eastAsia="zh-CN" w:bidi="ar-SA"/>
    </w:rPr>
  </w:style>
  <w:style w:type="paragraph" w:customStyle="1" w:styleId="106">
    <w:name w:val="普通(网站)1"/>
    <w:basedOn w:val="1"/>
    <w:qFormat/>
    <w:uiPriority w:val="0"/>
    <w:pPr>
      <w:widowControl/>
      <w:spacing w:before="100" w:beforeAutospacing="1" w:after="100" w:afterAutospacing="1"/>
      <w:jc w:val="left"/>
    </w:pPr>
    <w:rPr>
      <w:rFonts w:ascii="宋体" w:hAnsi="宋体"/>
      <w:sz w:val="24"/>
    </w:rPr>
  </w:style>
  <w:style w:type="paragraph" w:customStyle="1" w:styleId="107">
    <w:name w:val="Char Char2 Char"/>
    <w:basedOn w:val="1"/>
    <w:qFormat/>
    <w:uiPriority w:val="0"/>
    <w:rPr>
      <w:rFonts w:ascii="宋体" w:hAnsi="宋体"/>
      <w:b/>
      <w:sz w:val="28"/>
      <w:szCs w:val="28"/>
    </w:rPr>
  </w:style>
  <w:style w:type="character" w:customStyle="1" w:styleId="108">
    <w:name w:val="正文缩进 字符"/>
    <w:link w:val="12"/>
    <w:autoRedefine/>
    <w:qFormat/>
    <w:uiPriority w:val="0"/>
    <w:rPr>
      <w:rFonts w:ascii="Times New Roman" w:hAnsi="Times New Roman" w:eastAsia="宋体" w:cs="Times New Roman"/>
      <w:szCs w:val="21"/>
    </w:rPr>
  </w:style>
  <w:style w:type="paragraph" w:customStyle="1" w:styleId="109">
    <w:name w:val="Char Char Char"/>
    <w:basedOn w:val="1"/>
    <w:autoRedefine/>
    <w:qFormat/>
    <w:uiPriority w:val="0"/>
    <w:rPr>
      <w:rFonts w:ascii="宋体" w:hAnsi="宋体"/>
      <w:b/>
      <w:sz w:val="28"/>
      <w:szCs w:val="28"/>
    </w:rPr>
  </w:style>
  <w:style w:type="paragraph" w:customStyle="1" w:styleId="110">
    <w:name w:val="Char2"/>
    <w:basedOn w:val="1"/>
    <w:qFormat/>
    <w:uiPriority w:val="0"/>
    <w:pPr>
      <w:widowControl/>
      <w:spacing w:line="240" w:lineRule="exact"/>
      <w:jc w:val="left"/>
    </w:pPr>
    <w:rPr>
      <w:szCs w:val="20"/>
    </w:rPr>
  </w:style>
  <w:style w:type="paragraph" w:customStyle="1" w:styleId="111">
    <w:name w:val="a"/>
    <w:basedOn w:val="1"/>
    <w:autoRedefine/>
    <w:qFormat/>
    <w:uiPriority w:val="0"/>
    <w:pPr>
      <w:widowControl/>
      <w:spacing w:before="100" w:beforeAutospacing="1" w:after="100" w:afterAutospacing="1"/>
      <w:jc w:val="left"/>
    </w:pPr>
    <w:rPr>
      <w:rFonts w:ascii="宋体" w:hAnsi="宋体" w:cs="宋体"/>
      <w:sz w:val="24"/>
    </w:rPr>
  </w:style>
  <w:style w:type="character" w:customStyle="1" w:styleId="112">
    <w:name w:val="明显参考1"/>
    <w:autoRedefine/>
    <w:qFormat/>
    <w:uiPriority w:val="32"/>
    <w:rPr>
      <w:b/>
      <w:bCs/>
      <w:smallCaps/>
      <w:color w:val="C0504D"/>
      <w:spacing w:val="5"/>
      <w:u w:val="single"/>
    </w:rPr>
  </w:style>
  <w:style w:type="paragraph" w:customStyle="1" w:styleId="113">
    <w:name w:val="修订1"/>
    <w:autoRedefine/>
    <w:hidden/>
    <w:semiHidden/>
    <w:qFormat/>
    <w:uiPriority w:val="99"/>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paragraph" w:customStyle="1" w:styleId="114">
    <w:name w:val="Char Char2 Char1"/>
    <w:basedOn w:val="1"/>
    <w:autoRedefine/>
    <w:qFormat/>
    <w:uiPriority w:val="0"/>
    <w:rPr>
      <w:rFonts w:ascii="宋体" w:hAnsi="宋体"/>
      <w:b/>
      <w:sz w:val="28"/>
      <w:szCs w:val="28"/>
    </w:rPr>
  </w:style>
  <w:style w:type="character" w:customStyle="1" w:styleId="115">
    <w:name w:val="apple-converted-space"/>
    <w:basedOn w:val="40"/>
    <w:autoRedefine/>
    <w:qFormat/>
    <w:uiPriority w:val="0"/>
  </w:style>
  <w:style w:type="character" w:customStyle="1" w:styleId="116">
    <w:name w:val="列表段落 字符"/>
    <w:link w:val="85"/>
    <w:autoRedefine/>
    <w:qFormat/>
    <w:uiPriority w:val="34"/>
    <w:rPr>
      <w:rFonts w:ascii="Times New Roman" w:hAnsi="Times New Roman" w:eastAsia="宋体" w:cs="Times New Roman"/>
      <w:szCs w:val="24"/>
    </w:rPr>
  </w:style>
  <w:style w:type="character" w:customStyle="1" w:styleId="117">
    <w:name w:val="正文文本首行缩进 字符"/>
    <w:basedOn w:val="93"/>
    <w:link w:val="36"/>
    <w:autoRedefine/>
    <w:qFormat/>
    <w:uiPriority w:val="99"/>
    <w:rPr>
      <w:rFonts w:ascii="Times New Roman" w:hAnsi="Times New Roman" w:eastAsia="宋体" w:cs="Times New Roman"/>
      <w:szCs w:val="24"/>
    </w:rPr>
  </w:style>
  <w:style w:type="paragraph" w:customStyle="1" w:styleId="118">
    <w:name w:val="标题 1_0"/>
    <w:next w:val="1"/>
    <w:autoRedefine/>
    <w:qFormat/>
    <w:uiPriority w:val="0"/>
    <w:pPr>
      <w:keepNext/>
      <w:keepLines/>
      <w:widowControl w:val="0"/>
      <w:numPr>
        <w:ilvl w:val="0"/>
        <w:numId w:val="1"/>
      </w:numPr>
      <w:adjustRightInd w:val="0"/>
      <w:spacing w:after="160" w:line="360" w:lineRule="auto"/>
      <w:jc w:val="both"/>
      <w:textAlignment w:val="baseline"/>
      <w:outlineLvl w:val="0"/>
    </w:pPr>
    <w:rPr>
      <w:rFonts w:ascii="Cambria Math" w:hAnsi="Cambria Math" w:eastAsia="宋体" w:cs="Times New Roman"/>
      <w:b/>
      <w:bCs/>
      <w:kern w:val="44"/>
      <w:sz w:val="24"/>
      <w:szCs w:val="44"/>
      <w:lang w:val="en-US" w:eastAsia="zh-CN" w:bidi="ar-SA"/>
    </w:rPr>
  </w:style>
  <w:style w:type="paragraph" w:customStyle="1" w:styleId="119">
    <w:name w:val="标题 2_0"/>
    <w:basedOn w:val="1"/>
    <w:next w:val="1"/>
    <w:autoRedefine/>
    <w:qFormat/>
    <w:uiPriority w:val="0"/>
    <w:pPr>
      <w:keepNext/>
      <w:keepLines/>
      <w:numPr>
        <w:ilvl w:val="1"/>
        <w:numId w:val="1"/>
      </w:numPr>
      <w:tabs>
        <w:tab w:val="left" w:pos="576"/>
      </w:tabs>
      <w:spacing w:line="360" w:lineRule="auto"/>
      <w:jc w:val="left"/>
      <w:outlineLvl w:val="1"/>
    </w:pPr>
    <w:rPr>
      <w:rFonts w:ascii="宋体" w:hAnsi="宋体"/>
      <w:b/>
      <w:bCs/>
      <w:sz w:val="24"/>
      <w:szCs w:val="36"/>
    </w:rPr>
  </w:style>
  <w:style w:type="paragraph" w:customStyle="1" w:styleId="120">
    <w:name w:val="标题 3_0"/>
    <w:basedOn w:val="1"/>
    <w:next w:val="1"/>
    <w:autoRedefine/>
    <w:qFormat/>
    <w:uiPriority w:val="0"/>
    <w:pPr>
      <w:keepNext/>
      <w:keepLines/>
      <w:numPr>
        <w:ilvl w:val="2"/>
        <w:numId w:val="1"/>
      </w:numPr>
      <w:snapToGrid w:val="0"/>
      <w:spacing w:line="360" w:lineRule="auto"/>
      <w:jc w:val="left"/>
      <w:outlineLvl w:val="2"/>
    </w:pPr>
    <w:rPr>
      <w:rFonts w:ascii="宋体" w:hAnsi="宋体"/>
      <w:b/>
      <w:bCs/>
      <w:sz w:val="24"/>
      <w:szCs w:val="32"/>
    </w:rPr>
  </w:style>
  <w:style w:type="paragraph" w:customStyle="1" w:styleId="121">
    <w:name w:val="标题 5_0"/>
    <w:basedOn w:val="1"/>
    <w:next w:val="1"/>
    <w:autoRedefine/>
    <w:qFormat/>
    <w:uiPriority w:val="9"/>
    <w:pPr>
      <w:keepNext/>
      <w:keepLines/>
      <w:numPr>
        <w:ilvl w:val="4"/>
        <w:numId w:val="1"/>
      </w:numPr>
      <w:spacing w:line="360" w:lineRule="auto"/>
      <w:jc w:val="left"/>
      <w:outlineLvl w:val="4"/>
    </w:pPr>
    <w:rPr>
      <w:rFonts w:ascii="宋体" w:hAnsi="宋体" w:cs="Cambria Math"/>
      <w:b/>
      <w:bCs/>
      <w:sz w:val="24"/>
      <w:szCs w:val="28"/>
    </w:rPr>
  </w:style>
  <w:style w:type="paragraph" w:customStyle="1" w:styleId="122">
    <w:name w:val="标题 6_0"/>
    <w:basedOn w:val="1"/>
    <w:next w:val="1"/>
    <w:autoRedefine/>
    <w:qFormat/>
    <w:uiPriority w:val="9"/>
    <w:pPr>
      <w:keepNext/>
      <w:keepLines/>
      <w:numPr>
        <w:ilvl w:val="5"/>
        <w:numId w:val="1"/>
      </w:numPr>
      <w:spacing w:line="360" w:lineRule="auto"/>
      <w:jc w:val="left"/>
      <w:outlineLvl w:val="5"/>
    </w:pPr>
    <w:rPr>
      <w:rFonts w:ascii="Bodoni MT Condensed" w:hAnsi="Bodoni MT Condensed" w:cs="Cambria Math"/>
      <w:b/>
      <w:bCs/>
      <w:sz w:val="24"/>
    </w:rPr>
  </w:style>
  <w:style w:type="paragraph" w:customStyle="1" w:styleId="123">
    <w:name w:val="标题 7_0"/>
    <w:basedOn w:val="1"/>
    <w:next w:val="1"/>
    <w:autoRedefine/>
    <w:qFormat/>
    <w:uiPriority w:val="9"/>
    <w:pPr>
      <w:keepNext/>
      <w:keepLines/>
      <w:numPr>
        <w:ilvl w:val="6"/>
        <w:numId w:val="1"/>
      </w:numPr>
      <w:spacing w:before="240" w:after="64" w:line="319" w:lineRule="auto"/>
      <w:outlineLvl w:val="6"/>
    </w:pPr>
    <w:rPr>
      <w:rFonts w:ascii="Cambria Math" w:hAnsi="Cambria Math" w:cs="Cambria Math"/>
      <w:b/>
      <w:bCs/>
      <w:sz w:val="24"/>
    </w:rPr>
  </w:style>
  <w:style w:type="paragraph" w:customStyle="1" w:styleId="124">
    <w:name w:val="标题 8_0"/>
    <w:basedOn w:val="1"/>
    <w:next w:val="1"/>
    <w:autoRedefine/>
    <w:qFormat/>
    <w:uiPriority w:val="0"/>
    <w:pPr>
      <w:keepNext/>
      <w:keepLines/>
      <w:numPr>
        <w:ilvl w:val="7"/>
        <w:numId w:val="1"/>
      </w:numPr>
      <w:spacing w:before="240" w:after="64" w:line="319" w:lineRule="auto"/>
      <w:outlineLvl w:val="7"/>
    </w:pPr>
    <w:rPr>
      <w:rFonts w:ascii="Bodoni MT Condensed" w:hAnsi="Bodoni MT Condensed" w:cs="Cambria Math"/>
      <w:sz w:val="24"/>
    </w:rPr>
  </w:style>
  <w:style w:type="paragraph" w:customStyle="1" w:styleId="125">
    <w:name w:val="标题 9_0"/>
    <w:basedOn w:val="1"/>
    <w:next w:val="1"/>
    <w:autoRedefine/>
    <w:qFormat/>
    <w:uiPriority w:val="0"/>
    <w:pPr>
      <w:keepNext/>
      <w:keepLines/>
      <w:numPr>
        <w:ilvl w:val="8"/>
        <w:numId w:val="1"/>
      </w:numPr>
      <w:spacing w:before="240" w:after="64" w:line="319" w:lineRule="auto"/>
      <w:outlineLvl w:val="8"/>
    </w:pPr>
    <w:rPr>
      <w:rFonts w:ascii="Bodoni MT Condensed" w:hAnsi="Bodoni MT Condensed" w:cs="Cambria Math"/>
      <w:sz w:val="24"/>
      <w:szCs w:val="21"/>
    </w:rPr>
  </w:style>
  <w:style w:type="paragraph" w:customStyle="1" w:styleId="126">
    <w:name w:val="正文_0_0"/>
    <w:autoRedefine/>
    <w:qFormat/>
    <w:uiPriority w:val="0"/>
    <w:pPr>
      <w:widowControl w:val="0"/>
      <w:adjustRightInd w:val="0"/>
      <w:spacing w:after="160" w:line="360" w:lineRule="auto"/>
      <w:ind w:firstLine="200" w:firstLineChars="200"/>
      <w:jc w:val="both"/>
      <w:textAlignment w:val="baseline"/>
    </w:pPr>
    <w:rPr>
      <w:rFonts w:ascii="Cambria Math" w:hAnsi="Cambria Math" w:eastAsia="宋体" w:cs="Times New Roman"/>
      <w:sz w:val="24"/>
      <w:szCs w:val="24"/>
      <w:lang w:val="en-US" w:eastAsia="zh-CN" w:bidi="ar-SA"/>
    </w:rPr>
  </w:style>
  <w:style w:type="paragraph" w:customStyle="1" w:styleId="127">
    <w:name w:val="正文_1"/>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paragraph" w:customStyle="1" w:styleId="128">
    <w:name w:val="正文_2"/>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character" w:customStyle="1" w:styleId="129">
    <w:name w:val="p141_0"/>
    <w:autoRedefine/>
    <w:qFormat/>
    <w:uiPriority w:val="0"/>
    <w:rPr>
      <w:rFonts w:ascii="Calibri" w:hAnsi="Calibri"/>
      <w:sz w:val="21"/>
      <w:szCs w:val="21"/>
    </w:rPr>
  </w:style>
  <w:style w:type="paragraph" w:customStyle="1" w:styleId="130">
    <w:name w:val="正文1"/>
    <w:autoRedefine/>
    <w:qFormat/>
    <w:uiPriority w:val="0"/>
    <w:pPr>
      <w:widowControl w:val="0"/>
      <w:adjustRightInd w:val="0"/>
      <w:spacing w:after="160" w:line="360" w:lineRule="atLeast"/>
      <w:jc w:val="both"/>
      <w:textAlignment w:val="baseline"/>
    </w:pPr>
    <w:rPr>
      <w:rFonts w:hint="eastAsia" w:ascii="Calibri" w:hAnsi="Calibri" w:eastAsia="宋体" w:cs="Times New Roman"/>
      <w:lang w:val="en-US" w:eastAsia="zh-CN" w:bidi="ar-SA"/>
    </w:rPr>
  </w:style>
  <w:style w:type="paragraph" w:customStyle="1" w:styleId="131">
    <w:name w:val="Normal_13"/>
    <w:qFormat/>
    <w:uiPriority w:val="0"/>
    <w:pPr>
      <w:widowControl w:val="0"/>
      <w:adjustRightInd w:val="0"/>
      <w:spacing w:after="160" w:line="360" w:lineRule="atLeast"/>
      <w:jc w:val="both"/>
      <w:textAlignment w:val="baseline"/>
    </w:pPr>
    <w:rPr>
      <w:rFonts w:ascii="Times New Roman" w:hAnsi="Times New Roman" w:eastAsia="宋体" w:cs="Times New Roman"/>
      <w:lang w:val="en-US" w:eastAsia="zh-CN" w:bidi="ar-SA"/>
    </w:rPr>
  </w:style>
  <w:style w:type="paragraph" w:customStyle="1" w:styleId="132">
    <w:name w:val="样式1_1"/>
    <w:basedOn w:val="1"/>
    <w:link w:val="134"/>
    <w:autoRedefine/>
    <w:qFormat/>
    <w:uiPriority w:val="0"/>
    <w:pPr>
      <w:keepNext/>
      <w:keepLines/>
      <w:widowControl/>
      <w:tabs>
        <w:tab w:val="left" w:pos="420"/>
      </w:tabs>
      <w:snapToGrid w:val="0"/>
      <w:spacing w:line="360" w:lineRule="auto"/>
      <w:ind w:left="420" w:hanging="420"/>
      <w:jc w:val="center"/>
      <w:outlineLvl w:val="1"/>
    </w:pPr>
    <w:rPr>
      <w:rFonts w:ascii="宋体" w:hAnsi="Arial"/>
      <w:b/>
      <w:sz w:val="32"/>
      <w:szCs w:val="20"/>
    </w:rPr>
  </w:style>
  <w:style w:type="paragraph" w:customStyle="1" w:styleId="133">
    <w:name w:val="正文_14"/>
    <w:autoRedefine/>
    <w:qFormat/>
    <w:uiPriority w:val="0"/>
    <w:pPr>
      <w:widowControl w:val="0"/>
      <w:adjustRightInd w:val="0"/>
      <w:spacing w:after="160" w:line="360" w:lineRule="atLeast"/>
      <w:jc w:val="both"/>
      <w:textAlignment w:val="baseline"/>
    </w:pPr>
    <w:rPr>
      <w:rFonts w:ascii="Times New Roman" w:hAnsi="Times New Roman" w:eastAsia="宋体" w:cs="Times New Roman"/>
      <w:szCs w:val="24"/>
      <w:lang w:val="en-US" w:eastAsia="zh-CN" w:bidi="ar-SA"/>
    </w:rPr>
  </w:style>
  <w:style w:type="character" w:customStyle="1" w:styleId="134">
    <w:name w:val="样式1 Char_1"/>
    <w:link w:val="132"/>
    <w:autoRedefine/>
    <w:qFormat/>
    <w:uiPriority w:val="0"/>
    <w:rPr>
      <w:rFonts w:ascii="宋体" w:hAnsi="Arial" w:eastAsia="宋体" w:cs="Times New Roman"/>
      <w:b/>
      <w:kern w:val="0"/>
      <w:sz w:val="32"/>
      <w:szCs w:val="20"/>
      <w:lang w:val="en-US" w:eastAsia="zh-CN"/>
    </w:rPr>
  </w:style>
  <w:style w:type="table" w:customStyle="1" w:styleId="135">
    <w:name w:val="网格型1"/>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6">
    <w:name w:val="未处理的提及1"/>
    <w:basedOn w:val="40"/>
    <w:autoRedefine/>
    <w:semiHidden/>
    <w:unhideWhenUsed/>
    <w:qFormat/>
    <w:uiPriority w:val="99"/>
    <w:rPr>
      <w:color w:val="605E5C"/>
      <w:shd w:val="clear" w:color="auto" w:fill="E1DFDD"/>
    </w:rPr>
  </w:style>
  <w:style w:type="paragraph" w:customStyle="1" w:styleId="137">
    <w:name w:val="批注"/>
    <w:basedOn w:val="1"/>
    <w:link w:val="138"/>
    <w:autoRedefine/>
    <w:qFormat/>
    <w:uiPriority w:val="0"/>
    <w:pPr>
      <w:adjustRightInd/>
      <w:spacing w:line="240" w:lineRule="auto"/>
      <w:textAlignment w:val="auto"/>
    </w:pPr>
    <w:rPr>
      <w:rFonts w:asciiTheme="minorHAnsi" w:hAnsiTheme="minorHAnsi" w:cstheme="minorBidi"/>
      <w:kern w:val="2"/>
      <w:sz w:val="21"/>
      <w:szCs w:val="22"/>
    </w:rPr>
  </w:style>
  <w:style w:type="character" w:customStyle="1" w:styleId="138">
    <w:name w:val="批注 字符"/>
    <w:basedOn w:val="40"/>
    <w:link w:val="137"/>
    <w:autoRedefine/>
    <w:qFormat/>
    <w:uiPriority w:val="0"/>
    <w:rPr>
      <w:rFonts w:eastAsia="宋体"/>
    </w:rPr>
  </w:style>
  <w:style w:type="character" w:customStyle="1" w:styleId="139">
    <w:name w:val="未处理的提及2"/>
    <w:basedOn w:val="40"/>
    <w:autoRedefine/>
    <w:semiHidden/>
    <w:unhideWhenUsed/>
    <w:qFormat/>
    <w:uiPriority w:val="99"/>
    <w:rPr>
      <w:color w:val="605E5C"/>
      <w:shd w:val="clear" w:color="auto" w:fill="E1DFDD"/>
    </w:rPr>
  </w:style>
  <w:style w:type="paragraph" w:customStyle="1" w:styleId="140">
    <w:name w:val="new file normal"/>
    <w:autoRedefine/>
    <w:qFormat/>
    <w:uiPriority w:val="0"/>
    <w:pPr>
      <w:spacing w:after="160" w:line="278" w:lineRule="auto"/>
    </w:pPr>
    <w:rPr>
      <w:rFonts w:ascii="Calibri" w:hAnsi="Calibri" w:eastAsia="宋体" w:cs="Calibri"/>
      <w:lang w:val="en-US" w:eastAsia="zh-CN" w:bidi="ar-SA"/>
    </w:rPr>
  </w:style>
  <w:style w:type="paragraph" w:customStyle="1" w:styleId="141">
    <w:name w:val="修订2"/>
    <w:autoRedefine/>
    <w:hidden/>
    <w:unhideWhenUsed/>
    <w:qFormat/>
    <w:uiPriority w:val="99"/>
    <w:pPr>
      <w:spacing w:after="160" w:line="278" w:lineRule="auto"/>
    </w:pPr>
    <w:rPr>
      <w:rFonts w:ascii="Times New Roman" w:hAnsi="Times New Roman" w:eastAsia="宋体" w:cs="Times New Roman"/>
      <w:szCs w:val="24"/>
      <w:lang w:val="en-US" w:eastAsia="zh-CN" w:bidi="ar-SA"/>
    </w:rPr>
  </w:style>
  <w:style w:type="character" w:customStyle="1" w:styleId="142">
    <w:name w:val="未处理的提及3"/>
    <w:basedOn w:val="40"/>
    <w:autoRedefine/>
    <w:semiHidden/>
    <w:unhideWhenUsed/>
    <w:qFormat/>
    <w:uiPriority w:val="99"/>
    <w:rPr>
      <w:color w:val="605E5C"/>
      <w:shd w:val="clear" w:color="auto" w:fill="E1DFDD"/>
    </w:rPr>
  </w:style>
  <w:style w:type="paragraph" w:customStyle="1" w:styleId="143">
    <w:name w:val="TOC 标题2"/>
    <w:basedOn w:val="2"/>
    <w:next w:val="1"/>
    <w:autoRedefine/>
    <w:unhideWhenUsed/>
    <w:qFormat/>
    <w:uiPriority w:val="39"/>
    <w:pPr>
      <w:keepLines/>
      <w:adjustRightInd/>
      <w:spacing w:before="240" w:line="259" w:lineRule="auto"/>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4">
    <w:name w:val="Revision"/>
    <w:autoRedefine/>
    <w:hidden/>
    <w:unhideWhenUsed/>
    <w:qFormat/>
    <w:uiPriority w:val="99"/>
    <w:pPr>
      <w:spacing w:after="0" w:line="240" w:lineRule="auto"/>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37995-C0E5-4E71-A7FB-C25855BB4055}">
  <ds:schemaRefs/>
</ds:datastoreItem>
</file>

<file path=docProps/app.xml><?xml version="1.0" encoding="utf-8"?>
<Properties xmlns="http://schemas.openxmlformats.org/officeDocument/2006/extended-properties" xmlns:vt="http://schemas.openxmlformats.org/officeDocument/2006/docPropsVTypes">
  <Template>Normal.dotm</Template>
  <Pages>83</Pages>
  <Words>6738</Words>
  <Characters>38410</Characters>
  <Lines>320</Lines>
  <Paragraphs>90</Paragraphs>
  <TotalTime>5</TotalTime>
  <ScaleCrop>false</ScaleCrop>
  <LinksUpToDate>false</LinksUpToDate>
  <CharactersWithSpaces>45058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2024-01-12T10:22:00Z</dcterms:created>
  <dc:creator>采联国际招标采购集团有限公司-战略客户中心</dc:creator>
  <cp:lastModifiedBy>采联-150</cp:lastModifiedBy>
  <dcterms:modified xsi:type="dcterms:W3CDTF">2024-03-25T06:03:59Z</dcterms:modified>
  <dc:title>_x0001_</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8C5AE9986C8D4672BC6D5BBC3B9E4D23</vt:lpwstr>
  </property>
</Properties>
</file>