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宋体" w:hAnsi="宋体" w:eastAsia="宋体" w:cs="宋体"/>
          <w:color w:val="auto"/>
          <w:highlight w:val="none"/>
        </w:rPr>
      </w:pPr>
      <w:bookmarkStart w:id="0" w:name="_Toc13884637"/>
      <w:bookmarkStart w:id="1" w:name="_Toc12377948"/>
      <w:bookmarkStart w:id="2" w:name="_Toc12330311"/>
      <w:bookmarkStart w:id="3" w:name="_Toc27840461"/>
      <w:bookmarkStart w:id="4" w:name="_Toc11771815"/>
      <w:bookmarkStart w:id="5" w:name="_Toc11771686"/>
      <w:bookmarkStart w:id="6" w:name="_Toc12861068"/>
      <w:bookmarkStart w:id="7" w:name="_Toc27840462"/>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项目名称：</w:t>
      </w:r>
      <w:r>
        <w:rPr>
          <w:rFonts w:hint="eastAsia" w:ascii="宋体" w:hAnsi="宋体" w:cs="宋体"/>
          <w:b/>
          <w:color w:val="auto"/>
          <w:sz w:val="32"/>
          <w:szCs w:val="32"/>
          <w:highlight w:val="none"/>
          <w:lang w:eastAsia="zh-CN"/>
        </w:rPr>
        <w:t>广东省英德监狱采购租赁车辆项目</w:t>
      </w:r>
    </w:p>
    <w:p>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lang w:eastAsia="zh-CN"/>
        </w:rPr>
        <w:t>202403020606015</w:t>
      </w:r>
    </w:p>
    <w:p>
      <w:pPr>
        <w:spacing w:beforeLines="100" w:line="360" w:lineRule="auto"/>
        <w:jc w:val="center"/>
        <w:rPr>
          <w:rFonts w:hint="eastAsia" w:ascii="宋体" w:hAnsi="宋体" w:eastAsia="宋体" w:cs="宋体"/>
          <w:b/>
          <w:bCs/>
          <w:color w:val="auto"/>
          <w:spacing w:val="100"/>
          <w:sz w:val="96"/>
          <w:szCs w:val="96"/>
          <w:highlight w:val="none"/>
        </w:rPr>
      </w:pPr>
      <w:r>
        <w:rPr>
          <w:rFonts w:hint="eastAsia" w:ascii="宋体" w:hAnsi="宋体" w:eastAsia="宋体" w:cs="宋体"/>
          <w:b/>
          <w:bCs/>
          <w:color w:val="auto"/>
          <w:spacing w:val="100"/>
          <w:sz w:val="96"/>
          <w:szCs w:val="96"/>
          <w:highlight w:val="none"/>
        </w:rPr>
        <w:t>竞争性磋商</w:t>
      </w:r>
    </w:p>
    <w:p>
      <w:pPr>
        <w:spacing w:beforeLines="100" w:line="360" w:lineRule="auto"/>
        <w:jc w:val="center"/>
        <w:rPr>
          <w:rFonts w:hint="eastAsia" w:ascii="宋体" w:hAnsi="宋体" w:eastAsia="宋体" w:cs="宋体"/>
          <w:b/>
          <w:bCs/>
          <w:color w:val="auto"/>
          <w:spacing w:val="100"/>
          <w:sz w:val="96"/>
          <w:szCs w:val="96"/>
          <w:highlight w:val="none"/>
        </w:rPr>
      </w:pPr>
      <w:r>
        <w:rPr>
          <w:rFonts w:hint="eastAsia" w:ascii="宋体" w:hAnsi="宋体" w:eastAsia="宋体" w:cs="宋体"/>
          <w:b/>
          <w:bCs/>
          <w:color w:val="auto"/>
          <w:spacing w:val="100"/>
          <w:sz w:val="96"/>
          <w:szCs w:val="96"/>
          <w:highlight w:val="none"/>
        </w:rPr>
        <w:t>文件</w:t>
      </w:r>
    </w:p>
    <w:p>
      <w:pPr>
        <w:snapToGrid w:val="0"/>
        <w:spacing w:line="360" w:lineRule="auto"/>
        <w:jc w:val="center"/>
        <w:rPr>
          <w:rFonts w:hint="eastAsia" w:ascii="宋体" w:hAnsi="宋体" w:eastAsia="宋体" w:cs="宋体"/>
          <w:b/>
          <w:bCs/>
          <w:color w:val="auto"/>
          <w:sz w:val="32"/>
          <w:szCs w:val="32"/>
          <w:highlight w:val="none"/>
        </w:rPr>
      </w:pPr>
    </w:p>
    <w:p>
      <w:pPr>
        <w:snapToGrid w:val="0"/>
        <w:spacing w:line="360" w:lineRule="auto"/>
        <w:jc w:val="center"/>
        <w:rPr>
          <w:rFonts w:hint="eastAsia" w:ascii="宋体" w:hAnsi="宋体" w:eastAsia="宋体" w:cs="宋体"/>
          <w:b/>
          <w:bCs/>
          <w:color w:val="auto"/>
          <w:sz w:val="32"/>
          <w:szCs w:val="32"/>
          <w:highlight w:val="none"/>
        </w:rPr>
      </w:pPr>
    </w:p>
    <w:p>
      <w:pPr>
        <w:snapToGrid w:val="0"/>
        <w:spacing w:line="360" w:lineRule="auto"/>
        <w:jc w:val="center"/>
        <w:rPr>
          <w:rFonts w:hint="eastAsia" w:ascii="宋体" w:hAnsi="宋体" w:eastAsia="宋体" w:cs="宋体"/>
          <w:b/>
          <w:bCs/>
          <w:color w:val="auto"/>
          <w:sz w:val="32"/>
          <w:szCs w:val="32"/>
          <w:highlight w:val="none"/>
        </w:rPr>
      </w:pPr>
    </w:p>
    <w:p>
      <w:pPr>
        <w:snapToGrid w:val="0"/>
        <w:spacing w:line="360" w:lineRule="auto"/>
        <w:jc w:val="center"/>
        <w:rPr>
          <w:rFonts w:hint="eastAsia" w:ascii="宋体" w:hAnsi="宋体" w:eastAsia="宋体" w:cs="宋体"/>
          <w:b/>
          <w:bCs/>
          <w:color w:val="auto"/>
          <w:sz w:val="32"/>
          <w:szCs w:val="32"/>
          <w:highlight w:val="none"/>
        </w:rPr>
      </w:pPr>
    </w:p>
    <w:p>
      <w:pPr>
        <w:snapToGrid w:val="0"/>
        <w:spacing w:line="360" w:lineRule="auto"/>
        <w:jc w:val="center"/>
        <w:rPr>
          <w:rFonts w:hint="eastAsia" w:ascii="宋体" w:hAnsi="宋体" w:eastAsia="宋体" w:cs="宋体"/>
          <w:b/>
          <w:bCs/>
          <w:color w:val="auto"/>
          <w:sz w:val="32"/>
          <w:szCs w:val="32"/>
          <w:highlight w:val="none"/>
        </w:rPr>
      </w:pPr>
    </w:p>
    <w:p>
      <w:pPr>
        <w:snapToGrid w:val="0"/>
        <w:spacing w:line="360" w:lineRule="auto"/>
        <w:jc w:val="both"/>
        <w:rPr>
          <w:rFonts w:hint="eastAsia" w:ascii="宋体" w:hAnsi="宋体" w:eastAsia="宋体" w:cs="宋体"/>
          <w:b/>
          <w:bCs/>
          <w:color w:val="auto"/>
          <w:sz w:val="32"/>
          <w:szCs w:val="32"/>
          <w:highlight w:val="none"/>
        </w:rPr>
      </w:pPr>
    </w:p>
    <w:p>
      <w:pPr>
        <w:snapToGrid w:val="0"/>
        <w:spacing w:line="360" w:lineRule="auto"/>
        <w:jc w:val="both"/>
        <w:rPr>
          <w:rFonts w:hint="eastAsia" w:ascii="宋体" w:hAnsi="宋体" w:eastAsia="宋体" w:cs="宋体"/>
          <w:b/>
          <w:bCs/>
          <w:color w:val="auto"/>
          <w:sz w:val="32"/>
          <w:szCs w:val="32"/>
          <w:highlight w:val="none"/>
        </w:rPr>
      </w:pPr>
    </w:p>
    <w:p>
      <w:pPr>
        <w:snapToGrid w:val="0"/>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采购人：</w:t>
      </w:r>
      <w:r>
        <w:rPr>
          <w:rFonts w:hint="eastAsia" w:ascii="宋体" w:hAnsi="宋体" w:eastAsia="宋体" w:cs="宋体"/>
          <w:b/>
          <w:color w:val="auto"/>
          <w:sz w:val="32"/>
          <w:szCs w:val="32"/>
          <w:highlight w:val="none"/>
        </w:rPr>
        <w:t>广东省英德监狱</w:t>
      </w:r>
    </w:p>
    <w:p>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采购代理机构：广州群生招标代理有限公司</w:t>
      </w:r>
    </w:p>
    <w:p>
      <w:pPr>
        <w:jc w:val="both"/>
        <w:rPr>
          <w:rFonts w:hint="eastAsia" w:ascii="宋体" w:hAnsi="宋体" w:eastAsia="宋体" w:cs="宋体"/>
          <w:b/>
          <w:color w:val="auto"/>
          <w:sz w:val="32"/>
          <w:szCs w:val="32"/>
          <w:highlight w:val="none"/>
        </w:rPr>
        <w:sectPr>
          <w:headerReference r:id="rId3" w:type="default"/>
          <w:footerReference r:id="rId4" w:type="default"/>
          <w:pgSz w:w="11906" w:h="16838"/>
          <w:pgMar w:top="1191" w:right="1361" w:bottom="1191" w:left="1191" w:header="794" w:footer="794" w:gutter="0"/>
          <w:cols w:space="720" w:num="1"/>
          <w:docGrid w:linePitch="285" w:charSpace="0"/>
        </w:sectPr>
      </w:pPr>
      <w:r>
        <w:rPr>
          <w:rFonts w:hint="eastAsia" w:ascii="宋体" w:hAnsi="宋体" w:eastAsia="宋体" w:cs="宋体"/>
          <w:b/>
          <w:color w:val="auto"/>
          <w:sz w:val="32"/>
          <w:szCs w:val="32"/>
          <w:highlight w:val="none"/>
        </w:rPr>
        <w:br w:type="page"/>
      </w:r>
    </w:p>
    <w:p>
      <w:pPr>
        <w:jc w:val="center"/>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温馨提示：供应商投标/报价特别注意事项</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一、投标/报价供应商请注意区分投标/报价保证金及中标/成交服务费收款帐号的区别，务必将保证金按采购文件的要求存入指定的保证金专用账户，中标/成交服务费存入中标/成交通知书中指定的服务费账户。切勿将款项转错账户，以免影响保证金退还的速度。同时，投标/报价供应商应考虑预留银行转账的工作时间，避免出现截止后仍未到账的情况。</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二、投标/报价截止时间前半小时将开始接收投标/</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，投标/报价截止时间一到，将不接收任何投标/</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，因此，请适当提前到达。</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三、采购代理机构有可能在相近时间有多个项目进行开标，请</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授权代表到达开标会场后按指示前往相应的会议室，或主动咨询工作人员，以免错误递交投标/</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四、供应商授权代表参加开标会的，</w:t>
      </w:r>
      <w:r>
        <w:rPr>
          <w:rFonts w:hint="eastAsia" w:ascii="宋体" w:hAnsi="宋体" w:eastAsia="宋体" w:cs="宋体"/>
          <w:color w:val="auto"/>
          <w:sz w:val="21"/>
          <w:szCs w:val="21"/>
          <w:highlight w:val="none"/>
          <w:lang w:val="en-US" w:eastAsia="zh-CN"/>
        </w:rPr>
        <w:t>请</w:t>
      </w:r>
      <w:r>
        <w:rPr>
          <w:rFonts w:hint="eastAsia" w:ascii="宋体" w:hAnsi="宋体" w:eastAsia="宋体" w:cs="宋体"/>
          <w:color w:val="auto"/>
          <w:highlight w:val="none"/>
        </w:rPr>
        <w:t>凭法定代表人证明及授权书、身份证原件进入开标会场并递交投标/</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五、请仔细检查投标/</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格式中应盖章、签署之处是否有按要求盖公章、签名、签署日期。投标/</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需签名之处必须由当事人亲笔签署，法定代表人证明及授权书需法定代表人签字或签章处，应由法定代表人亲笔签署或加盖签章。</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六、采购代理机构不对供应商</w:t>
      </w:r>
      <w:r>
        <w:rPr>
          <w:rFonts w:hint="eastAsia" w:ascii="宋体" w:hAnsi="宋体" w:eastAsia="宋体" w:cs="宋体"/>
          <w:color w:val="auto"/>
          <w:highlight w:val="none"/>
          <w:lang w:val="en-US" w:eastAsia="zh-CN"/>
        </w:rPr>
        <w:t>登记获取</w:t>
      </w:r>
      <w:r>
        <w:rPr>
          <w:rFonts w:hint="eastAsia" w:ascii="宋体" w:hAnsi="宋体" w:eastAsia="宋体" w:cs="宋体"/>
          <w:color w:val="auto"/>
          <w:highlight w:val="none"/>
        </w:rPr>
        <w:t>采购文件时提交的相关资料的真实性负责，如供应商发现相关资料被盗用或复制，或出现同一供应商由两名或以上授权代表</w:t>
      </w:r>
      <w:r>
        <w:rPr>
          <w:rFonts w:hint="eastAsia" w:ascii="宋体" w:hAnsi="宋体" w:eastAsia="宋体" w:cs="宋体"/>
          <w:color w:val="auto"/>
          <w:highlight w:val="none"/>
          <w:lang w:eastAsia="zh-CN"/>
        </w:rPr>
        <w:t>登记</w:t>
      </w:r>
      <w:r>
        <w:rPr>
          <w:rFonts w:hint="eastAsia" w:ascii="宋体" w:hAnsi="宋体" w:eastAsia="宋体" w:cs="宋体"/>
          <w:color w:val="auto"/>
          <w:highlight w:val="none"/>
        </w:rPr>
        <w:t>的，应遵循法律途径解决，追究侵权者责任。对一家供应商递交两份投标/</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的，评委会将按采购文件中有关无效投标/报价的规定处理。</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七、供应商在</w:t>
      </w:r>
      <w:r>
        <w:rPr>
          <w:rFonts w:hint="eastAsia" w:ascii="宋体" w:hAnsi="宋体" w:eastAsia="宋体" w:cs="宋体"/>
          <w:color w:val="auto"/>
          <w:highlight w:val="none"/>
          <w:lang w:eastAsia="zh-CN"/>
        </w:rPr>
        <w:t>登记</w:t>
      </w:r>
      <w:r>
        <w:rPr>
          <w:rFonts w:hint="eastAsia" w:ascii="宋体" w:hAnsi="宋体" w:eastAsia="宋体" w:cs="宋体"/>
          <w:color w:val="auto"/>
          <w:highlight w:val="none"/>
        </w:rPr>
        <w:t>时提交了资料不代表其已通过</w:t>
      </w:r>
      <w:r>
        <w:rPr>
          <w:rFonts w:hint="eastAsia" w:ascii="宋体" w:hAnsi="宋体" w:eastAsia="宋体" w:cs="宋体"/>
          <w:color w:val="auto"/>
          <w:highlight w:val="none"/>
          <w:lang w:eastAsia="zh-CN"/>
        </w:rPr>
        <w:t>资格</w:t>
      </w:r>
      <w:r>
        <w:rPr>
          <w:rFonts w:hint="eastAsia" w:ascii="宋体" w:hAnsi="宋体" w:eastAsia="宋体" w:cs="宋体"/>
          <w:color w:val="auto"/>
          <w:highlight w:val="none"/>
        </w:rPr>
        <w:t>、符合性审查，供应商应在投标/</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中另行提供。</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八、采购文件中要求“原件备查”、“核验原件”等情况的，均要求供应商把相应原件带至现场。</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九、</w:t>
      </w:r>
      <w:r>
        <w:rPr>
          <w:rFonts w:hint="eastAsia" w:ascii="宋体" w:hAnsi="宋体" w:eastAsia="宋体" w:cs="宋体"/>
          <w:color w:val="auto"/>
          <w:szCs w:val="21"/>
          <w:highlight w:val="none"/>
        </w:rPr>
        <w:t>为了提高效率，节约社会交易成本与时间，希望</w:t>
      </w:r>
      <w:r>
        <w:rPr>
          <w:rFonts w:hint="eastAsia" w:ascii="宋体" w:hAnsi="宋体" w:eastAsia="宋体" w:cs="宋体"/>
          <w:color w:val="auto"/>
          <w:szCs w:val="21"/>
          <w:highlight w:val="none"/>
          <w:lang w:val="en-US" w:eastAsia="zh-CN"/>
        </w:rPr>
        <w:t>登记获取</w:t>
      </w:r>
      <w:r>
        <w:rPr>
          <w:rFonts w:hint="eastAsia" w:ascii="宋体" w:hAnsi="宋体" w:eastAsia="宋体" w:cs="宋体"/>
          <w:color w:val="auto"/>
          <w:szCs w:val="21"/>
          <w:highlight w:val="none"/>
        </w:rPr>
        <w:t>了采购文件而决定不参加本次投标/报价的供应商，在投标/</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递交截止时间的3日前，按《投标/报价邀请函》中的联系方式，以书面形式告知我公司。对您的支持与配合，谨此致谢。</w:t>
      </w:r>
    </w:p>
    <w:p>
      <w:pPr>
        <w:spacing w:line="36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由于交通、天气等状况、停车位已满或电梯拥挤等原因，建议供应商代表提前15-30分钟到达开标会场，我公司所处位置有多路公共交通线路到达，具体如下：</w:t>
      </w:r>
    </w:p>
    <w:p>
      <w:pPr>
        <w:spacing w:line="360" w:lineRule="exact"/>
        <w:ind w:firstLine="525" w:firstLineChars="250"/>
        <w:rPr>
          <w:rFonts w:hint="eastAsia" w:ascii="宋体" w:hAnsi="宋体" w:eastAsia="宋体" w:cs="宋体"/>
          <w:color w:val="auto"/>
          <w:kern w:val="0"/>
          <w:highlight w:val="none"/>
        </w:rPr>
      </w:pPr>
      <w:r>
        <w:rPr>
          <w:rFonts w:hint="eastAsia" w:ascii="宋体" w:hAnsi="宋体" w:eastAsia="宋体" w:cs="宋体"/>
          <w:bCs/>
          <w:color w:val="auto"/>
          <w:kern w:val="0"/>
          <w:highlight w:val="none"/>
        </w:rPr>
        <w:t>广州市东风东路555号（黄华路口）粤海集团大厦2203-2204室</w:t>
      </w:r>
      <w:r>
        <w:rPr>
          <w:rFonts w:hint="eastAsia" w:ascii="宋体" w:hAnsi="宋体" w:eastAsia="宋体" w:cs="宋体"/>
          <w:color w:val="auto"/>
          <w:kern w:val="0"/>
          <w:highlight w:val="none"/>
        </w:rPr>
        <w:t>。主要路经的公交车有</w:t>
      </w:r>
      <w:r>
        <w:rPr>
          <w:rFonts w:hint="eastAsia" w:ascii="宋体" w:hAnsi="宋体" w:eastAsia="宋体" w:cs="宋体"/>
          <w:bCs/>
          <w:color w:val="auto"/>
          <w:kern w:val="0"/>
          <w:highlight w:val="none"/>
        </w:rPr>
        <w:t>高峰快线12 、高峰快线14 、2 、11 、27 、33 、54 、56 、62 、65 、74 、83 、85 、133 、185 、204 、209 、224 、224A 、261 、283 、284 、289 、293 、305 、483 和 B3、B4等在越秀桥站下车即可到达本</w:t>
      </w:r>
      <w:r>
        <w:rPr>
          <w:rFonts w:hint="eastAsia" w:ascii="宋体" w:hAnsi="宋体" w:eastAsia="宋体" w:cs="宋体"/>
          <w:color w:val="auto"/>
          <w:kern w:val="0"/>
          <w:highlight w:val="none"/>
        </w:rPr>
        <w:t>公司。地铁可由一号线农讲所站或五号线小北站出站后步行约20分钟到达，地铁站与本公司距离较远，请查好路线后再选用。</w:t>
      </w:r>
    </w:p>
    <w:p>
      <w:pPr>
        <w:snapToGrid w:val="0"/>
        <w:spacing w:line="360" w:lineRule="exact"/>
        <w:jc w:val="center"/>
        <w:rPr>
          <w:rFonts w:hint="eastAsia" w:ascii="宋体" w:hAnsi="宋体" w:eastAsia="宋体" w:cs="宋体"/>
          <w:b/>
          <w:color w:val="auto"/>
          <w:sz w:val="32"/>
          <w:szCs w:val="32"/>
          <w:highlight w:val="none"/>
        </w:rPr>
      </w:pPr>
      <w:r>
        <w:rPr>
          <w:rFonts w:hint="eastAsia" w:ascii="宋体" w:hAnsi="宋体" w:eastAsia="宋体" w:cs="宋体"/>
          <w:color w:val="auto"/>
          <w:highlight w:val="none"/>
        </w:rPr>
        <w:t>（本提示内容非采购文件的组成部分，仅为善意提醒。如有不一致，以采购文件为准。）</w:t>
      </w:r>
    </w:p>
    <w:p>
      <w:pPr>
        <w:snapToGrid w:val="0"/>
        <w:spacing w:line="360" w:lineRule="auto"/>
        <w:rPr>
          <w:rFonts w:hint="eastAsia" w:ascii="宋体" w:hAnsi="宋体" w:eastAsia="宋体" w:cs="宋体"/>
          <w:b/>
          <w:color w:val="auto"/>
          <w:sz w:val="36"/>
          <w:szCs w:val="36"/>
          <w:highlight w:val="none"/>
        </w:rPr>
      </w:pPr>
    </w:p>
    <w:p>
      <w:pPr>
        <w:snapToGrid w:val="0"/>
        <w:spacing w:line="360" w:lineRule="auto"/>
        <w:rPr>
          <w:rFonts w:hint="eastAsia" w:ascii="宋体" w:hAnsi="宋体" w:eastAsia="宋体" w:cs="宋体"/>
          <w:b/>
          <w:color w:val="auto"/>
          <w:sz w:val="36"/>
          <w:szCs w:val="36"/>
          <w:highlight w:val="none"/>
        </w:rPr>
      </w:pPr>
    </w:p>
    <w:p>
      <w:pPr>
        <w:snapToGrid/>
        <w:spacing w:line="240" w:lineRule="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pPr>
        <w:pStyle w:val="27"/>
        <w:tabs>
          <w:tab w:val="left" w:pos="1050"/>
          <w:tab w:val="right" w:leader="dot" w:pos="8080"/>
          <w:tab w:val="clear" w:pos="9344"/>
        </w:tabs>
        <w:spacing w:line="360" w:lineRule="auto"/>
        <w:rPr>
          <w:rFonts w:hint="eastAsia" w:ascii="宋体" w:hAnsi="宋体" w:eastAsia="宋体" w:cs="宋体"/>
          <w:b w:val="0"/>
          <w:bCs w:val="0"/>
          <w:caps w:val="0"/>
          <w:color w:val="auto"/>
          <w:sz w:val="28"/>
          <w:szCs w:val="28"/>
          <w:highlight w:val="none"/>
        </w:rPr>
      </w:pPr>
      <w:r>
        <w:rPr>
          <w:rFonts w:hint="eastAsia" w:ascii="宋体" w:hAnsi="宋体" w:eastAsia="宋体" w:cs="宋体"/>
          <w:color w:val="auto"/>
          <w:sz w:val="28"/>
          <w:szCs w:val="28"/>
          <w:highlight w:val="none"/>
        </w:rPr>
        <w:fldChar w:fldCharType="begin"/>
      </w:r>
      <w:r>
        <w:rPr>
          <w:rStyle w:val="49"/>
          <w:rFonts w:hint="eastAsia" w:ascii="宋体" w:hAnsi="宋体" w:eastAsia="宋体" w:cs="宋体"/>
          <w:color w:val="auto"/>
          <w:sz w:val="28"/>
          <w:szCs w:val="28"/>
          <w:highlight w:val="none"/>
        </w:rPr>
        <w:instrText xml:space="preserve"> TOC \o "1-2" \h \z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"_Toc461991231" </w:instrText>
      </w:r>
      <w:r>
        <w:rPr>
          <w:rFonts w:hint="eastAsia" w:ascii="宋体" w:hAnsi="宋体" w:eastAsia="宋体" w:cs="宋体"/>
          <w:color w:val="auto"/>
          <w:highlight w:val="none"/>
        </w:rPr>
        <w:fldChar w:fldCharType="separate"/>
      </w:r>
      <w:r>
        <w:rPr>
          <w:rStyle w:val="49"/>
          <w:rFonts w:hint="eastAsia" w:ascii="宋体" w:hAnsi="宋体" w:eastAsia="宋体" w:cs="宋体"/>
          <w:color w:val="auto"/>
          <w:sz w:val="28"/>
          <w:szCs w:val="28"/>
          <w:highlight w:val="none"/>
        </w:rPr>
        <w:t>第一章 磋商邀请函</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_Toc461991231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7"/>
        <w:tabs>
          <w:tab w:val="right" w:leader="dot" w:pos="8080"/>
          <w:tab w:val="clear" w:pos="9344"/>
        </w:tabs>
        <w:spacing w:line="360" w:lineRule="auto"/>
        <w:rPr>
          <w:rFonts w:hint="eastAsia" w:ascii="宋体" w:hAnsi="宋体" w:eastAsia="宋体" w:cs="宋体"/>
          <w:b w:val="0"/>
          <w:bCs w:val="0"/>
          <w:caps w:val="0"/>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"_Toc461991232" </w:instrText>
      </w:r>
      <w:r>
        <w:rPr>
          <w:rFonts w:hint="eastAsia" w:ascii="宋体" w:hAnsi="宋体" w:eastAsia="宋体" w:cs="宋体"/>
          <w:color w:val="auto"/>
          <w:highlight w:val="none"/>
        </w:rPr>
        <w:fldChar w:fldCharType="separate"/>
      </w:r>
      <w:r>
        <w:rPr>
          <w:rStyle w:val="49"/>
          <w:rFonts w:hint="eastAsia" w:ascii="宋体" w:hAnsi="宋体" w:eastAsia="宋体" w:cs="宋体"/>
          <w:color w:val="auto"/>
          <w:sz w:val="28"/>
          <w:szCs w:val="28"/>
          <w:highlight w:val="none"/>
        </w:rPr>
        <w:t xml:space="preserve">第二章 </w:t>
      </w:r>
      <w:r>
        <w:rPr>
          <w:rStyle w:val="49"/>
          <w:rFonts w:hint="eastAsia" w:ascii="宋体" w:hAnsi="宋体" w:eastAsia="宋体" w:cs="宋体"/>
          <w:color w:val="auto"/>
          <w:sz w:val="28"/>
          <w:szCs w:val="28"/>
          <w:highlight w:val="none"/>
          <w:lang w:eastAsia="zh-CN"/>
        </w:rPr>
        <w:t>供应商</w:t>
      </w:r>
      <w:r>
        <w:rPr>
          <w:rStyle w:val="49"/>
          <w:rFonts w:hint="eastAsia" w:ascii="宋体" w:hAnsi="宋体" w:eastAsia="宋体" w:cs="宋体"/>
          <w:color w:val="auto"/>
          <w:sz w:val="28"/>
          <w:szCs w:val="28"/>
          <w:highlight w:val="none"/>
        </w:rPr>
        <w:t>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_Toc461991232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7"/>
        <w:tabs>
          <w:tab w:val="right" w:leader="dot" w:pos="8222"/>
          <w:tab w:val="clear" w:pos="9344"/>
        </w:tabs>
        <w:spacing w:line="360" w:lineRule="auto"/>
        <w:rPr>
          <w:rFonts w:hint="eastAsia" w:ascii="宋体" w:hAnsi="宋体" w:eastAsia="宋体" w:cs="宋体"/>
          <w:b w:val="0"/>
          <w:bCs w:val="0"/>
          <w:caps w:val="0"/>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"_Toc461991233" </w:instrText>
      </w:r>
      <w:r>
        <w:rPr>
          <w:rFonts w:hint="eastAsia" w:ascii="宋体" w:hAnsi="宋体" w:eastAsia="宋体" w:cs="宋体"/>
          <w:color w:val="auto"/>
          <w:highlight w:val="none"/>
        </w:rPr>
        <w:fldChar w:fldCharType="separate"/>
      </w:r>
      <w:r>
        <w:rPr>
          <w:rStyle w:val="49"/>
          <w:rFonts w:hint="eastAsia" w:ascii="宋体" w:hAnsi="宋体" w:eastAsia="宋体" w:cs="宋体"/>
          <w:color w:val="auto"/>
          <w:sz w:val="28"/>
          <w:szCs w:val="28"/>
          <w:highlight w:val="none"/>
        </w:rPr>
        <w:t>第三章 采购人需求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_Toc461991233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7"/>
        <w:tabs>
          <w:tab w:val="right" w:leader="dot" w:pos="8222"/>
          <w:tab w:val="clear" w:pos="9344"/>
        </w:tabs>
        <w:spacing w:line="360" w:lineRule="auto"/>
        <w:rPr>
          <w:rFonts w:hint="eastAsia" w:ascii="宋体" w:hAnsi="宋体" w:eastAsia="宋体" w:cs="宋体"/>
          <w:b w:val="0"/>
          <w:bCs w:val="0"/>
          <w:caps w:val="0"/>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"_Toc461991234" </w:instrText>
      </w:r>
      <w:r>
        <w:rPr>
          <w:rFonts w:hint="eastAsia" w:ascii="宋体" w:hAnsi="宋体" w:eastAsia="宋体" w:cs="宋体"/>
          <w:color w:val="auto"/>
          <w:highlight w:val="none"/>
        </w:rPr>
        <w:fldChar w:fldCharType="separate"/>
      </w:r>
      <w:r>
        <w:rPr>
          <w:rStyle w:val="49"/>
          <w:rFonts w:hint="eastAsia" w:ascii="宋体" w:hAnsi="宋体" w:eastAsia="宋体" w:cs="宋体"/>
          <w:color w:val="auto"/>
          <w:sz w:val="28"/>
          <w:szCs w:val="28"/>
          <w:highlight w:val="none"/>
        </w:rPr>
        <w:t>第四章 采购合同</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_Toc461991234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7"/>
        <w:tabs>
          <w:tab w:val="right" w:leader="dot" w:pos="8222"/>
          <w:tab w:val="clear" w:pos="9344"/>
        </w:tabs>
        <w:spacing w:line="360" w:lineRule="auto"/>
        <w:rPr>
          <w:rFonts w:hint="eastAsia" w:ascii="宋体" w:hAnsi="宋体" w:eastAsia="宋体" w:cs="宋体"/>
          <w:b w:val="0"/>
          <w:bCs w:val="0"/>
          <w:caps w:val="0"/>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"_Toc461991235" </w:instrText>
      </w:r>
      <w:r>
        <w:rPr>
          <w:rFonts w:hint="eastAsia" w:ascii="宋体" w:hAnsi="宋体" w:eastAsia="宋体" w:cs="宋体"/>
          <w:color w:val="auto"/>
          <w:highlight w:val="none"/>
        </w:rPr>
        <w:fldChar w:fldCharType="separate"/>
      </w:r>
      <w:r>
        <w:rPr>
          <w:rStyle w:val="49"/>
          <w:rFonts w:hint="eastAsia" w:ascii="宋体" w:hAnsi="宋体" w:eastAsia="宋体" w:cs="宋体"/>
          <w:color w:val="auto"/>
          <w:sz w:val="28"/>
          <w:szCs w:val="28"/>
          <w:highlight w:val="none"/>
        </w:rPr>
        <w:t>第五章 磋商细则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_Toc461991235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7"/>
        <w:tabs>
          <w:tab w:val="right" w:leader="dot" w:pos="8222"/>
          <w:tab w:val="clear" w:pos="9344"/>
        </w:tabs>
        <w:spacing w:line="360" w:lineRule="auto"/>
        <w:rPr>
          <w:rFonts w:hint="eastAsia" w:ascii="宋体" w:hAnsi="宋体" w:eastAsia="宋体" w:cs="宋体"/>
          <w:b w:val="0"/>
          <w:bCs w:val="0"/>
          <w:caps w:val="0"/>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"_Toc461991253" </w:instrText>
      </w:r>
      <w:r>
        <w:rPr>
          <w:rFonts w:hint="eastAsia" w:ascii="宋体" w:hAnsi="宋体" w:eastAsia="宋体" w:cs="宋体"/>
          <w:color w:val="auto"/>
          <w:highlight w:val="none"/>
        </w:rPr>
        <w:fldChar w:fldCharType="separate"/>
      </w:r>
      <w:r>
        <w:rPr>
          <w:rStyle w:val="49"/>
          <w:rFonts w:hint="eastAsia" w:ascii="宋体" w:hAnsi="宋体" w:eastAsia="宋体" w:cs="宋体"/>
          <w:color w:val="auto"/>
          <w:sz w:val="28"/>
          <w:szCs w:val="28"/>
          <w:highlight w:val="none"/>
        </w:rPr>
        <w:t xml:space="preserve">第六章 </w:t>
      </w:r>
      <w:r>
        <w:rPr>
          <w:rStyle w:val="49"/>
          <w:rFonts w:hint="eastAsia" w:ascii="宋体" w:hAnsi="宋体" w:eastAsia="宋体" w:cs="宋体"/>
          <w:color w:val="auto"/>
          <w:sz w:val="28"/>
          <w:szCs w:val="28"/>
          <w:highlight w:val="none"/>
          <w:lang w:eastAsia="zh-CN"/>
        </w:rPr>
        <w:t>响应文件</w:t>
      </w:r>
      <w:r>
        <w:rPr>
          <w:rStyle w:val="49"/>
          <w:rFonts w:hint="eastAsia" w:ascii="宋体" w:hAnsi="宋体" w:eastAsia="宋体" w:cs="宋体"/>
          <w:color w:val="auto"/>
          <w:sz w:val="28"/>
          <w:szCs w:val="28"/>
          <w:highlight w:val="none"/>
        </w:rPr>
        <w:t>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_Toc461991253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31"/>
        <w:tabs>
          <w:tab w:val="right" w:leader="dot" w:pos="9231"/>
        </w:tabs>
        <w:spacing w:line="360" w:lineRule="auto"/>
        <w:rPr>
          <w:rFonts w:hint="eastAsia" w:ascii="宋体" w:hAnsi="宋体" w:eastAsia="宋体" w:cs="宋体"/>
          <w:smallCaps w:val="0"/>
          <w:color w:val="auto"/>
          <w:szCs w:val="22"/>
          <w:highlight w:val="none"/>
        </w:rPr>
      </w:pPr>
    </w:p>
    <w:p>
      <w:pPr>
        <w:pStyle w:val="27"/>
        <w:tabs>
          <w:tab w:val="right" w:leader="dot" w:pos="9240"/>
          <w:tab w:val="clear" w:pos="9344"/>
        </w:tabs>
        <w:spacing w:before="0" w:after="0" w:line="36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end"/>
      </w:r>
      <w:bookmarkStart w:id="8" w:name="_Toc43548069"/>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numPr>
          <w:ilvl w:val="0"/>
          <w:numId w:val="1"/>
        </w:numPr>
        <w:spacing w:line="360" w:lineRule="auto"/>
        <w:jc w:val="center"/>
        <w:rPr>
          <w:rFonts w:hint="eastAsia" w:ascii="宋体" w:hAnsi="宋体" w:eastAsia="宋体" w:cs="宋体"/>
          <w:color w:val="auto"/>
          <w:sz w:val="32"/>
          <w:szCs w:val="32"/>
          <w:highlight w:val="none"/>
        </w:rPr>
        <w:sectPr>
          <w:headerReference r:id="rId5" w:type="default"/>
          <w:footerReference r:id="rId6" w:type="default"/>
          <w:pgSz w:w="11906" w:h="16838"/>
          <w:pgMar w:top="1191" w:right="1361" w:bottom="1191" w:left="1191" w:header="794" w:footer="794" w:gutter="0"/>
          <w:cols w:space="720" w:num="1"/>
          <w:docGrid w:linePitch="285" w:charSpace="0"/>
        </w:sectPr>
      </w:pPr>
      <w:bookmarkStart w:id="9" w:name="_Toc10525513"/>
      <w:bookmarkStart w:id="10" w:name="_Toc461991231"/>
    </w:p>
    <w:p>
      <w:pPr>
        <w:pStyle w:val="2"/>
        <w:numPr>
          <w:ilvl w:val="0"/>
          <w:numId w:val="1"/>
        </w:num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磋商邀请</w:t>
      </w:r>
      <w:bookmarkEnd w:id="8"/>
      <w:bookmarkEnd w:id="9"/>
      <w:r>
        <w:rPr>
          <w:rFonts w:hint="eastAsia" w:ascii="宋体" w:hAnsi="宋体" w:eastAsia="宋体" w:cs="宋体"/>
          <w:color w:val="auto"/>
          <w:sz w:val="32"/>
          <w:szCs w:val="32"/>
          <w:highlight w:val="none"/>
        </w:rPr>
        <w:t>函</w:t>
      </w:r>
      <w:bookmarkEnd w:id="10"/>
    </w:p>
    <w:p>
      <w:pPr>
        <w:spacing w:beforeAutospacing="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广州群生招标代理有限公司受采购人的委托，拟对以下项目进行竞争性磋商，欢迎符合资格条件的供应商参加。</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一、项目基本情况</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项目编号：</w:t>
      </w:r>
      <w:r>
        <w:rPr>
          <w:rFonts w:hint="eastAsia" w:ascii="宋体" w:hAnsi="宋体" w:cs="宋体"/>
          <w:color w:val="auto"/>
          <w:szCs w:val="21"/>
          <w:highlight w:val="none"/>
          <w:lang w:eastAsia="zh-CN"/>
        </w:rPr>
        <w:t>202403020606015</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项目名称：</w:t>
      </w:r>
      <w:r>
        <w:rPr>
          <w:rFonts w:hint="eastAsia" w:ascii="宋体" w:hAnsi="宋体" w:cs="宋体"/>
          <w:color w:val="auto"/>
          <w:szCs w:val="21"/>
          <w:highlight w:val="none"/>
          <w:lang w:eastAsia="zh-CN"/>
        </w:rPr>
        <w:t>广东省英德监狱采购租赁车辆项目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采购方式：竞争性磋商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预算金额：</w:t>
      </w:r>
      <w:r>
        <w:rPr>
          <w:rFonts w:hint="eastAsia" w:ascii="宋体" w:hAnsi="宋体" w:eastAsia="宋体" w:cs="宋体"/>
          <w:color w:val="auto"/>
          <w:szCs w:val="21"/>
          <w:highlight w:val="none"/>
          <w:lang w:val="en-US" w:eastAsia="zh-CN"/>
        </w:rPr>
        <w:t>人民币96万元/两年(含税）</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采购需求：</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（1）标的名称：</w:t>
      </w:r>
      <w:r>
        <w:rPr>
          <w:rFonts w:hint="eastAsia" w:ascii="宋体" w:hAnsi="宋体" w:cs="宋体"/>
          <w:color w:val="auto"/>
          <w:szCs w:val="21"/>
          <w:highlight w:val="none"/>
          <w:lang w:eastAsia="zh-CN"/>
        </w:rPr>
        <w:t>广东省英德监狱采购租赁车辆项目</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（2）标的数量：1项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（3）简要技术需求或服务要求：</w:t>
      </w:r>
    </w:p>
    <w:p>
      <w:pPr>
        <w:pStyle w:val="119"/>
        <w:spacing w:line="360" w:lineRule="auto"/>
        <w:ind w:left="0" w:right="-147"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eastAsia="zh-CN"/>
        </w:rPr>
        <w:t>广东省英德监狱采购租赁车辆项目</w:t>
      </w:r>
      <w:r>
        <w:rPr>
          <w:rFonts w:hint="eastAsia" w:ascii="宋体" w:hAnsi="宋体" w:eastAsia="宋体" w:cs="宋体"/>
          <w:color w:val="auto"/>
          <w:szCs w:val="21"/>
          <w:highlight w:val="none"/>
          <w:lang w:val="en-US" w:eastAsia="zh-CN"/>
        </w:rPr>
        <w:t>1项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详见采购人需求</w:t>
      </w:r>
      <w:r>
        <w:rPr>
          <w:rFonts w:hint="eastAsia" w:ascii="宋体" w:hAnsi="宋体" w:eastAsia="宋体" w:cs="宋体"/>
          <w:color w:val="auto"/>
          <w:szCs w:val="21"/>
          <w:highlight w:val="none"/>
          <w:lang w:eastAsia="zh-CN"/>
        </w:rPr>
        <w:t>）</w:t>
      </w:r>
    </w:p>
    <w:p>
      <w:pPr>
        <w:pStyle w:val="119"/>
        <w:spacing w:line="360" w:lineRule="auto"/>
        <w:ind w:left="0" w:right="-147"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b/>
          <w:bCs/>
          <w:color w:val="auto"/>
          <w:szCs w:val="21"/>
          <w:highlight w:val="none"/>
        </w:rPr>
        <w:t>本项目的中小企业划分标准所属行业为</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交通运输业（不含铁路运输业）</w:t>
      </w:r>
      <w:r>
        <w:rPr>
          <w:rFonts w:hint="eastAsia" w:ascii="宋体" w:hAnsi="宋体" w:eastAsia="宋体" w:cs="宋体"/>
          <w:b/>
          <w:bCs/>
          <w:color w:val="auto"/>
          <w:sz w:val="21"/>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）其他：供应商</w:t>
      </w:r>
      <w:r>
        <w:rPr>
          <w:rFonts w:hint="eastAsia" w:ascii="宋体" w:hAnsi="宋体" w:eastAsia="宋体" w:cs="宋体"/>
          <w:color w:val="auto"/>
          <w:szCs w:val="21"/>
          <w:highlight w:val="none"/>
        </w:rPr>
        <w:t>必须对项目进行整体报价，不允许仅对其中部分内容进行报价。</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6、合同履约期限：</w:t>
      </w:r>
      <w:r>
        <w:rPr>
          <w:rFonts w:hint="eastAsia" w:ascii="宋体" w:hAnsi="宋体" w:eastAsia="宋体" w:cs="宋体"/>
          <w:color w:val="auto"/>
          <w:kern w:val="2"/>
          <w:sz w:val="21"/>
          <w:szCs w:val="21"/>
          <w:highlight w:val="none"/>
          <w:lang w:bidi="ar"/>
        </w:rPr>
        <w:t>自合同生效之日起两年</w:t>
      </w:r>
      <w:r>
        <w:rPr>
          <w:rFonts w:hint="eastAsia" w:ascii="宋体" w:hAnsi="宋体" w:eastAsia="宋体" w:cs="宋体"/>
          <w:color w:val="auto"/>
          <w:kern w:val="2"/>
          <w:sz w:val="21"/>
          <w:szCs w:val="21"/>
          <w:highlight w:val="none"/>
          <w:lang w:eastAsia="zh-CN" w:bidi="ar"/>
        </w:rPr>
        <w:t>，</w:t>
      </w:r>
      <w:r>
        <w:rPr>
          <w:rFonts w:hint="eastAsia" w:ascii="宋体" w:hAnsi="宋体" w:eastAsia="宋体" w:cs="宋体"/>
          <w:color w:val="auto"/>
          <w:kern w:val="2"/>
          <w:sz w:val="21"/>
          <w:szCs w:val="21"/>
          <w:highlight w:val="none"/>
          <w:lang w:bidi="ar"/>
        </w:rPr>
        <w:t>本项目具体终止时间以达到</w:t>
      </w:r>
      <w:r>
        <w:rPr>
          <w:rFonts w:hint="eastAsia" w:ascii="宋体" w:hAnsi="宋体" w:eastAsia="宋体" w:cs="宋体"/>
          <w:color w:val="auto"/>
          <w:kern w:val="2"/>
          <w:sz w:val="21"/>
          <w:szCs w:val="21"/>
          <w:highlight w:val="none"/>
          <w:lang w:eastAsia="zh-CN" w:bidi="ar"/>
        </w:rPr>
        <w:t>采购</w:t>
      </w:r>
      <w:r>
        <w:rPr>
          <w:rFonts w:hint="eastAsia" w:ascii="宋体" w:hAnsi="宋体" w:cs="宋体"/>
          <w:color w:val="auto"/>
          <w:kern w:val="2"/>
          <w:sz w:val="21"/>
          <w:szCs w:val="21"/>
          <w:highlight w:val="none"/>
          <w:lang w:val="en-US" w:eastAsia="zh-CN" w:bidi="ar"/>
        </w:rPr>
        <w:t>人</w:t>
      </w:r>
      <w:r>
        <w:rPr>
          <w:rFonts w:hint="eastAsia" w:ascii="宋体" w:hAnsi="宋体" w:eastAsia="宋体" w:cs="宋体"/>
          <w:color w:val="auto"/>
          <w:kern w:val="2"/>
          <w:sz w:val="21"/>
          <w:szCs w:val="21"/>
          <w:highlight w:val="none"/>
          <w:lang w:bidi="ar"/>
        </w:rPr>
        <w:t>预算金额或合同截止日期两者先到为准。</w:t>
      </w:r>
    </w:p>
    <w:p>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7、本项目不接受联合体投标</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二、供应商的资格要求：</w:t>
      </w:r>
    </w:p>
    <w:p>
      <w:pPr>
        <w:pStyle w:val="35"/>
        <w:keepNext w:val="0"/>
        <w:keepLines w:val="0"/>
        <w:widowControl/>
        <w:suppressLineNumbers w:val="0"/>
        <w:spacing w:before="0" w:beforeAutospacing="0" w:after="140" w:afterAutospacing="0" w:line="150" w:lineRule="atLeast"/>
        <w:ind w:left="0" w:right="0" w:firstLine="56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满足《中华人民共和国政府采购法》第二十二条规定；</w:t>
      </w:r>
    </w:p>
    <w:p>
      <w:pPr>
        <w:pStyle w:val="35"/>
        <w:keepNext w:val="0"/>
        <w:keepLines w:val="0"/>
        <w:widowControl/>
        <w:suppressLineNumbers w:val="0"/>
        <w:spacing w:before="0" w:beforeAutospacing="0" w:after="140" w:afterAutospacing="0" w:line="150" w:lineRule="atLeast"/>
        <w:ind w:left="0" w:right="0" w:firstLine="560"/>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落实政府采购政策需满足的资格要求：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本项目属于专门</w:t>
      </w:r>
      <w:r>
        <w:rPr>
          <w:rFonts w:hint="eastAsia" w:ascii="宋体" w:hAnsi="宋体" w:eastAsia="宋体" w:cs="宋体"/>
          <w:color w:val="auto"/>
          <w:sz w:val="21"/>
          <w:szCs w:val="21"/>
          <w:highlight w:val="none"/>
        </w:rPr>
        <w:t>面向中小企业采购的项目，只允许中小企业参与投标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参与的供应商服务全部由符合政策要求的中小企业承接。</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监狱企业、残疾人福利单位视同小型、微型企业。中小微企业以供应商填写的《中小企业声明函》为判定标准，残疾人福利性单位以供应商填写的《残疾人福利性单位声明函》为判定标准，监狱企业须供应商提供由省级以上监狱管理局、戒毒管理局（含新疆生产建设兵团）出具的属于监狱企业的证明文件，否则不予认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供应商提供以下材料：</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提供在中华人民共和国境内注册的法人或其他组织的营业执照或事业单位法人证书或社会团体法人登记证书复印件，如响应供应商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提供2022年度</w:t>
      </w:r>
      <w:r>
        <w:rPr>
          <w:rFonts w:hint="eastAsia" w:ascii="宋体" w:hAnsi="宋体" w:cs="宋体"/>
          <w:color w:val="auto"/>
          <w:sz w:val="21"/>
          <w:szCs w:val="21"/>
          <w:highlight w:val="none"/>
          <w:lang w:val="en-US" w:eastAsia="zh-CN"/>
        </w:rPr>
        <w:t>审计报告，或2023年</w:t>
      </w:r>
      <w:r>
        <w:rPr>
          <w:rFonts w:hint="eastAsia" w:ascii="宋体" w:hAnsi="宋体" w:eastAsia="宋体" w:cs="宋体"/>
          <w:color w:val="auto"/>
          <w:sz w:val="21"/>
          <w:szCs w:val="21"/>
          <w:highlight w:val="none"/>
        </w:rPr>
        <w:t>财务状况报告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或202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年以来任意1个月的财务状况报告复印件，或银行出具的资信证明材料复印件；</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有依法缴纳税收和社会保障资金的良好记录</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提供202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年以来任意1个月缴纳税收的凭据证明材料复印件；如依法免税的，应提供相关材料；</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有依法缴纳税收和社会保障资金的良好记录</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提供202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年以来任意1个月缴纳社会保障资金的凭据证明材料复印件；如依法不需要缴纳社会保障资金的，应提供相关材料</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提供具有履行合同所必需的设备和专业技术能力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w:t>
      </w:r>
      <w:r>
        <w:rPr>
          <w:rFonts w:hint="eastAsia" w:ascii="宋体" w:hAnsi="宋体" w:eastAsia="宋体" w:cs="宋体"/>
          <w:color w:val="auto"/>
          <w:sz w:val="21"/>
          <w:szCs w:val="21"/>
          <w:highlight w:val="none"/>
          <w:lang w:val="en-US" w:eastAsia="zh-CN"/>
        </w:rPr>
        <w:t>关于资格证明文件的声明函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设备及专业技术能力情况表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提供参加政府采购活动前</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年内在经营活动中没有重大违法记录的书面声明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w:t>
      </w:r>
      <w:r>
        <w:rPr>
          <w:rFonts w:hint="eastAsia" w:ascii="宋体" w:hAnsi="宋体" w:eastAsia="宋体" w:cs="宋体"/>
          <w:color w:val="auto"/>
          <w:sz w:val="21"/>
          <w:szCs w:val="21"/>
          <w:highlight w:val="none"/>
          <w:lang w:val="en-US" w:eastAsia="zh-CN"/>
        </w:rPr>
        <w:t>关于资格证明文件的声明函</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bCs/>
          <w:color w:val="auto"/>
          <w:sz w:val="21"/>
          <w:szCs w:val="21"/>
          <w:highlight w:val="none"/>
        </w:rPr>
        <w:t>未列入</w:t>
      </w:r>
      <w:r>
        <w:rPr>
          <w:rFonts w:hint="eastAsia" w:ascii="宋体" w:hAnsi="宋体" w:eastAsia="宋体" w:cs="宋体"/>
          <w:bCs/>
          <w:color w:val="auto"/>
          <w:kern w:val="2"/>
          <w:sz w:val="21"/>
          <w:szCs w:val="21"/>
          <w:highlight w:val="none"/>
          <w:rtl w:val="0"/>
          <w:lang w:val="en-US" w:eastAsia="zh-CN" w:bidi="ar-SA"/>
        </w:rPr>
        <w:t>“信用中国”网站中“失信被执行人或重大税收违法案件当事人名单（税收违法黑名单或重大税收违法失信主体）或政府采购严重违法失信行为”的记录名单；不处于“中国政府采购网”中“政府采购严重违法失信行为信息记录”的禁止参加政府采购活动期间</w:t>
      </w:r>
      <w:r>
        <w:rPr>
          <w:rFonts w:hint="eastAsia" w:ascii="宋体" w:hAnsi="宋体" w:eastAsia="宋体" w:cs="宋体"/>
          <w:bCs/>
          <w:color w:val="auto"/>
          <w:sz w:val="21"/>
          <w:szCs w:val="21"/>
          <w:highlight w:val="none"/>
        </w:rPr>
        <w:t>（</w:t>
      </w:r>
      <w:r>
        <w:rPr>
          <w:rFonts w:hint="eastAsia" w:ascii="宋体" w:hAnsi="宋体" w:eastAsia="宋体" w:cs="宋体"/>
          <w:bCs/>
          <w:color w:val="auto"/>
          <w:kern w:val="2"/>
          <w:sz w:val="21"/>
          <w:szCs w:val="21"/>
          <w:highlight w:val="none"/>
          <w:rtl w:val="0"/>
          <w:lang w:val="en-US" w:eastAsia="zh-CN" w:bidi="ar-SA"/>
        </w:rPr>
        <w:t>以采购代理机构于响应文件截止时间当天在“信用中国”网站（www.creditchina.gov.cn）及中国政府采购网（http://www.ccgp.gov.cn/）查询结果为准，如相关失信记录已失效，供应商需提供相关证明资料</w:t>
      </w:r>
      <w:r>
        <w:rPr>
          <w:rFonts w:hint="eastAsia" w:ascii="宋体" w:hAnsi="宋体" w:eastAsia="宋体" w:cs="宋体"/>
          <w:bCs/>
          <w:color w:val="auto"/>
          <w:sz w:val="21"/>
          <w:szCs w:val="21"/>
          <w:highlight w:val="none"/>
        </w:rPr>
        <w:t>）</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供应商必须具备有效期内的《道路旅客运输经营许可证》，提供</w:t>
      </w:r>
      <w:r>
        <w:rPr>
          <w:rFonts w:hint="eastAsia" w:ascii="宋体" w:hAnsi="宋体" w:eastAsia="宋体" w:cs="宋体"/>
          <w:color w:val="auto"/>
          <w:sz w:val="21"/>
          <w:szCs w:val="21"/>
          <w:highlight w:val="none"/>
          <w:lang w:val="en-US" w:eastAsia="zh-CN"/>
        </w:rPr>
        <w:t>扫描件</w:t>
      </w:r>
      <w:r>
        <w:rPr>
          <w:rFonts w:hint="eastAsia" w:ascii="宋体" w:hAnsi="宋体" w:eastAsia="宋体" w:cs="宋体"/>
          <w:color w:val="auto"/>
          <w:sz w:val="21"/>
          <w:szCs w:val="21"/>
          <w:highlight w:val="none"/>
        </w:rPr>
        <w:t>（如国家另有规定的，适用其规定）；</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已登记并获取本项目采购文件</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本项目不接受联合体报价。</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登记获取文件时提供</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获取文件</w:t>
      </w:r>
      <w:r>
        <w:rPr>
          <w:rFonts w:hint="eastAsia" w:ascii="宋体" w:hAnsi="宋体" w:eastAsia="宋体" w:cs="宋体"/>
          <w:bCs/>
          <w:color w:val="auto"/>
          <w:sz w:val="21"/>
          <w:szCs w:val="21"/>
          <w:highlight w:val="none"/>
        </w:rPr>
        <w:t>登记表</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（版本从</w:t>
      </w:r>
      <w:r>
        <w:rPr>
          <w:rFonts w:hint="eastAsia" w:ascii="宋体" w:hAnsi="宋体" w:eastAsia="宋体" w:cs="宋体"/>
          <w:color w:val="auto"/>
          <w:sz w:val="21"/>
          <w:szCs w:val="21"/>
          <w:highlight w:val="none"/>
        </w:rPr>
        <w:t>www.gzqunsheng.com/常用文件一栏</w:t>
      </w:r>
      <w:r>
        <w:rPr>
          <w:rFonts w:hint="eastAsia" w:ascii="宋体" w:hAnsi="宋体" w:eastAsia="宋体" w:cs="宋体"/>
          <w:bCs/>
          <w:color w:val="auto"/>
          <w:sz w:val="21"/>
          <w:szCs w:val="21"/>
          <w:highlight w:val="none"/>
        </w:rPr>
        <w:t>下载））</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三、获取采购文件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lang w:eastAsia="zh-CN"/>
        </w:rPr>
        <w:t>2024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eastAsia="宋体" w:cs="宋体"/>
          <w:color w:val="auto"/>
          <w:szCs w:val="21"/>
          <w:highlight w:val="none"/>
        </w:rPr>
        <w:t>日，每天上午09:00:00至12:00:00，下午14:00:00至17:00:00（北京时间,法定节假日除外）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地点：广州市东风东路555号粤海集团大厦2204</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方式：现场获取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售价：300元</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四、响应文件提交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eastAsia="宋体" w:cs="宋体"/>
          <w:color w:val="auto"/>
          <w:szCs w:val="21"/>
          <w:highlight w:val="none"/>
          <w:lang w:eastAsia="zh-CN"/>
        </w:rPr>
        <w:t>2024</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分00秒（北京时间）</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地点：广州市东风东路555号粤海集团大厦220</w:t>
      </w:r>
      <w:r>
        <w:rPr>
          <w:rFonts w:hint="eastAsia" w:ascii="宋体" w:hAnsi="宋体" w:eastAsia="宋体" w:cs="宋体"/>
          <w:color w:val="auto"/>
          <w:szCs w:val="21"/>
          <w:highlight w:val="none"/>
          <w:lang w:val="en-US" w:eastAsia="zh-CN"/>
        </w:rPr>
        <w:t>1</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五、开启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eastAsia="宋体" w:cs="宋体"/>
          <w:color w:val="auto"/>
          <w:szCs w:val="21"/>
          <w:highlight w:val="none"/>
          <w:lang w:eastAsia="zh-CN"/>
        </w:rPr>
        <w:t>2024</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rPr>
        <w:t>分00秒（北京时间）</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地点：广州市东风东路555号粤海集团大厦220</w:t>
      </w:r>
      <w:r>
        <w:rPr>
          <w:rFonts w:hint="eastAsia" w:ascii="宋体" w:hAnsi="宋体" w:eastAsia="宋体" w:cs="宋体"/>
          <w:color w:val="auto"/>
          <w:szCs w:val="21"/>
          <w:highlight w:val="none"/>
          <w:lang w:val="en-US" w:eastAsia="zh-CN"/>
        </w:rPr>
        <w:t>1</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六、公告期限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自本公告发布之日起3个工作日。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七、其他补充事宜</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需落实政府采购政策为：</w:t>
      </w:r>
      <w:r>
        <w:rPr>
          <w:rFonts w:hint="eastAsia" w:ascii="宋体" w:hAnsi="宋体" w:eastAsia="宋体" w:cs="宋体"/>
          <w:bCs/>
          <w:color w:val="auto"/>
          <w:szCs w:val="21"/>
          <w:highlight w:val="none"/>
        </w:rPr>
        <w:t>《政府采购促进中小企业发展管理办法》（财库〔2020〕46号）</w:t>
      </w:r>
      <w:r>
        <w:rPr>
          <w:rFonts w:hint="eastAsia" w:ascii="宋体" w:hAnsi="宋体" w:eastAsia="宋体" w:cs="宋体"/>
          <w:color w:val="auto"/>
          <w:sz w:val="21"/>
          <w:szCs w:val="21"/>
          <w:highlight w:val="none"/>
        </w:rPr>
        <w:t>、</w:t>
      </w:r>
      <w:r>
        <w:rPr>
          <w:rFonts w:hint="eastAsia" w:ascii="宋体" w:hAnsi="宋体" w:eastAsia="宋体" w:cs="宋体"/>
          <w:bCs/>
          <w:color w:val="auto"/>
          <w:szCs w:val="21"/>
          <w:highlight w:val="none"/>
        </w:rPr>
        <w:t>《关于政府采购支持监狱企业发展有关问题的通知》(财库〔2014〕68号)</w:t>
      </w:r>
      <w:r>
        <w:rPr>
          <w:rFonts w:hint="eastAsia" w:ascii="宋体" w:hAnsi="宋体" w:eastAsia="宋体" w:cs="宋体"/>
          <w:color w:val="auto"/>
          <w:sz w:val="21"/>
          <w:szCs w:val="21"/>
          <w:highlight w:val="none"/>
        </w:rPr>
        <w:t>、</w:t>
      </w:r>
      <w:r>
        <w:rPr>
          <w:rFonts w:hint="eastAsia" w:ascii="宋体" w:hAnsi="宋体" w:eastAsia="宋体" w:cs="宋体"/>
          <w:bCs/>
          <w:color w:val="auto"/>
          <w:szCs w:val="21"/>
          <w:highlight w:val="none"/>
        </w:rPr>
        <w:t>《关于促进残疾人就业政府采购政策的通知》（财库〔2017〕141号)，《关于环境标志产品政府采购实施的意见》（财库〔2006〕90号），《节能产品政府采购实施意见》的通知（财库〔2004〕185号）</w:t>
      </w:r>
      <w:r>
        <w:rPr>
          <w:rFonts w:hint="eastAsia" w:ascii="宋体" w:hAnsi="宋体" w:eastAsia="宋体" w:cs="宋体"/>
          <w:color w:val="auto"/>
          <w:sz w:val="21"/>
          <w:szCs w:val="21"/>
          <w:highlight w:val="none"/>
        </w:rPr>
        <w:t>、支持脱贫攻坚相关政策等</w:t>
      </w:r>
      <w:r>
        <w:rPr>
          <w:rFonts w:hint="eastAsia" w:ascii="宋体" w:hAnsi="宋体" w:eastAsia="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2.采购信息发布及结果公告网站：</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1）中国政府采购网(http://www.ccgp.gov.cn/)</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2）广东省英德监狱门户网站(www.ydjy.gd.gov.cn)</w:t>
      </w:r>
    </w:p>
    <w:p>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3）广州群生招标代理有限公司(www.gzqunsheng.com)</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注：</w:t>
      </w:r>
      <w:r>
        <w:rPr>
          <w:rFonts w:hint="eastAsia" w:ascii="宋体" w:hAnsi="宋体" w:eastAsia="宋体" w:cs="宋体"/>
          <w:color w:val="auto"/>
          <w:szCs w:val="21"/>
          <w:highlight w:val="none"/>
        </w:rPr>
        <w:t>本项目的所有相关公告会在</w:t>
      </w:r>
      <w:r>
        <w:rPr>
          <w:rFonts w:hint="eastAsia" w:ascii="宋体" w:hAnsi="宋体" w:eastAsia="宋体" w:cs="宋体"/>
          <w:color w:val="auto"/>
          <w:szCs w:val="21"/>
          <w:highlight w:val="none"/>
          <w:lang w:val="en-US" w:eastAsia="zh-CN"/>
        </w:rPr>
        <w:t>以</w:t>
      </w:r>
      <w:r>
        <w:rPr>
          <w:rFonts w:hint="eastAsia" w:ascii="宋体" w:hAnsi="宋体" w:eastAsia="宋体" w:cs="宋体"/>
          <w:color w:val="auto"/>
          <w:szCs w:val="21"/>
          <w:highlight w:val="none"/>
        </w:rPr>
        <w:t>上</w:t>
      </w:r>
      <w:r>
        <w:rPr>
          <w:rFonts w:hint="eastAsia" w:ascii="宋体" w:hAnsi="宋体" w:eastAsia="宋体" w:cs="宋体"/>
          <w:color w:val="auto"/>
          <w:szCs w:val="21"/>
          <w:highlight w:val="none"/>
          <w:lang w:val="en-US" w:eastAsia="zh-CN"/>
        </w:rPr>
        <w:t>网站</w:t>
      </w:r>
      <w:r>
        <w:rPr>
          <w:rFonts w:hint="eastAsia" w:ascii="宋体" w:hAnsi="宋体" w:eastAsia="宋体" w:cs="宋体"/>
          <w:color w:val="auto"/>
          <w:szCs w:val="21"/>
          <w:highlight w:val="none"/>
        </w:rPr>
        <w:t>公布，</w:t>
      </w:r>
      <w:r>
        <w:rPr>
          <w:rFonts w:hint="eastAsia" w:ascii="宋体" w:hAnsi="宋体" w:eastAsia="宋体" w:cs="宋体"/>
          <w:color w:val="auto"/>
          <w:szCs w:val="21"/>
          <w:highlight w:val="none"/>
          <w:lang w:eastAsia="zh-CN"/>
        </w:rPr>
        <w:t>在不同媒体发布的同一采购信息内容、时间不一致的，以在中国政府采购网发布的信息为准。</w:t>
      </w:r>
      <w:r>
        <w:rPr>
          <w:rFonts w:hint="eastAsia" w:ascii="宋体" w:hAnsi="宋体" w:eastAsia="宋体" w:cs="宋体"/>
          <w:color w:val="auto"/>
          <w:szCs w:val="21"/>
          <w:highlight w:val="none"/>
        </w:rPr>
        <w:t>公布之日即视为有效送达之日，不再另行通知。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八、凡对本次采购提出询问，请按以下方式联系。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1.釆购人信息</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lang w:val="en-US" w:eastAsia="zh-CN"/>
        </w:rPr>
        <w:t xml:space="preserve">广东省英德监狱 </w:t>
      </w:r>
    </w:p>
    <w:p>
      <w:pPr>
        <w:snapToGrid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联系人： </w:t>
      </w:r>
      <w:r>
        <w:rPr>
          <w:rFonts w:hint="eastAsia" w:ascii="宋体" w:hAnsi="宋体" w:eastAsia="宋体" w:cs="宋体"/>
          <w:color w:val="auto"/>
          <w:highlight w:val="none"/>
        </w:rPr>
        <w:t>陈女士</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highlight w:val="none"/>
        </w:rPr>
        <w:t>0763-316505</w:t>
      </w:r>
      <w:r>
        <w:rPr>
          <w:rFonts w:hint="eastAsia" w:ascii="宋体" w:hAnsi="宋体" w:eastAsia="宋体" w:cs="宋体"/>
          <w:color w:val="auto"/>
          <w:highlight w:val="none"/>
          <w:lang w:val="en-US" w:eastAsia="zh-CN"/>
        </w:rPr>
        <w:t>5</w:t>
      </w:r>
    </w:p>
    <w:p>
      <w:pPr>
        <w:tabs>
          <w:tab w:val="left" w:pos="4680"/>
        </w:tabs>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采购人监督部门：广东省英德监狱纪委</w:t>
      </w:r>
    </w:p>
    <w:p>
      <w:pPr>
        <w:tabs>
          <w:tab w:val="left" w:pos="468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采购人监督电话：0763-3165065/0763-3165066</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2.釆购代理机构信息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称：广州群生招标代理有限公司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址：广东省广州市越秀区东风东路555号粤海集团大厦2204</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联系方式：020-83812782、83812935，18011735206</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eastAsia="宋体" w:cs="宋体"/>
          <w:color w:val="auto"/>
          <w:szCs w:val="21"/>
          <w:highlight w:val="none"/>
          <w:lang w:val="en-US" w:eastAsia="zh-CN"/>
        </w:rPr>
        <w:t>马小姐</w:t>
      </w:r>
    </w:p>
    <w:p>
      <w:pPr>
        <w:spacing w:line="360" w:lineRule="auto"/>
        <w:ind w:left="420" w:left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电  话：020-83812782、83812935，18011735206</w:t>
      </w:r>
    </w:p>
    <w:bookmarkEnd w:id="0"/>
    <w:bookmarkEnd w:id="1"/>
    <w:bookmarkEnd w:id="2"/>
    <w:bookmarkEnd w:id="3"/>
    <w:bookmarkEnd w:id="4"/>
    <w:bookmarkEnd w:id="5"/>
    <w:bookmarkEnd w:id="6"/>
    <w:bookmarkEnd w:id="7"/>
    <w:p>
      <w:pPr>
        <w:tabs>
          <w:tab w:val="left" w:pos="4680"/>
        </w:tabs>
        <w:snapToGrid w:val="0"/>
        <w:spacing w:line="360" w:lineRule="auto"/>
        <w:ind w:firstLine="420" w:firstLineChars="200"/>
        <w:rPr>
          <w:rFonts w:hint="eastAsia" w:ascii="宋体" w:hAnsi="宋体" w:eastAsia="宋体" w:cs="宋体"/>
          <w:color w:val="auto"/>
          <w:highlight w:val="none"/>
        </w:rPr>
      </w:pPr>
      <w:bookmarkStart w:id="11" w:name="_Toc43548070"/>
      <w:bookmarkStart w:id="12" w:name="_Toc461991232"/>
    </w:p>
    <w:p>
      <w:pPr>
        <w:pStyle w:val="2"/>
        <w:keepNext/>
        <w:keepLines/>
        <w:widowControl w:val="0"/>
        <w:numPr>
          <w:ilvl w:val="0"/>
          <w:numId w:val="0"/>
        </w:numPr>
        <w:spacing w:before="340" w:after="330" w:line="360" w:lineRule="auto"/>
        <w:jc w:val="center"/>
        <w:outlineLvl w:val="0"/>
        <w:rPr>
          <w:rFonts w:hint="eastAsia" w:ascii="宋体" w:hAnsi="宋体" w:eastAsia="宋体" w:cs="宋体"/>
          <w:color w:val="auto"/>
          <w:sz w:val="32"/>
          <w:szCs w:val="32"/>
          <w:highlight w:val="none"/>
        </w:rPr>
      </w:pPr>
    </w:p>
    <w:p>
      <w:pPr>
        <w:rPr>
          <w:rFonts w:hint="eastAsia" w:ascii="宋体" w:hAnsi="宋体" w:eastAsia="宋体" w:cs="宋体"/>
          <w:color w:val="auto"/>
          <w:highlight w:val="none"/>
        </w:rPr>
        <w:sectPr>
          <w:footerReference r:id="rId7" w:type="default"/>
          <w:pgSz w:w="11906" w:h="16838"/>
          <w:pgMar w:top="1191" w:right="1361" w:bottom="1191" w:left="1191" w:header="794" w:footer="794" w:gutter="0"/>
          <w:pgNumType w:fmt="decimal" w:start="1"/>
          <w:cols w:space="720" w:num="1"/>
          <w:docGrid w:linePitch="285" w:charSpace="0"/>
        </w:sectPr>
      </w:pPr>
    </w:p>
    <w:p>
      <w:pPr>
        <w:spacing w:line="360" w:lineRule="auto"/>
        <w:jc w:val="center"/>
        <w:rPr>
          <w:rFonts w:hint="eastAsia" w:ascii="宋体" w:hAnsi="宋体" w:eastAsia="宋体" w:cs="宋体"/>
          <w:color w:val="auto"/>
          <w:highlight w:val="none"/>
        </w:rPr>
      </w:pPr>
    </w:p>
    <w:p>
      <w:pPr>
        <w:pStyle w:val="2"/>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第二章</w:t>
      </w:r>
      <w:bookmarkStart w:id="13" w:name="_Toc10525515"/>
      <w:r>
        <w:rPr>
          <w:rFonts w:hint="eastAsia" w:ascii="宋体" w:hAnsi="宋体" w:eastAsia="宋体" w:cs="宋体"/>
          <w:color w:val="auto"/>
          <w:sz w:val="32"/>
          <w:szCs w:val="32"/>
          <w:highlight w:val="none"/>
        </w:rPr>
        <w:t xml:space="preserve"> </w:t>
      </w:r>
      <w:r>
        <w:rPr>
          <w:rFonts w:hint="eastAsia" w:ascii="宋体" w:hAnsi="宋体" w:eastAsia="宋体" w:cs="宋体"/>
          <w:color w:val="auto"/>
          <w:sz w:val="32"/>
          <w:szCs w:val="32"/>
          <w:highlight w:val="none"/>
          <w:lang w:eastAsia="zh-CN"/>
        </w:rPr>
        <w:t>供应商</w:t>
      </w:r>
      <w:r>
        <w:rPr>
          <w:rFonts w:hint="eastAsia" w:ascii="宋体" w:hAnsi="宋体" w:eastAsia="宋体" w:cs="宋体"/>
          <w:color w:val="auto"/>
          <w:sz w:val="32"/>
          <w:szCs w:val="32"/>
          <w:highlight w:val="none"/>
        </w:rPr>
        <w:t>须知</w:t>
      </w:r>
      <w:bookmarkEnd w:id="11"/>
      <w:bookmarkEnd w:id="12"/>
      <w:bookmarkEnd w:id="13"/>
    </w:p>
    <w:p>
      <w:pPr>
        <w:pStyle w:val="4"/>
        <w:numPr>
          <w:ilvl w:val="0"/>
          <w:numId w:val="2"/>
        </w:numPr>
        <w:autoSpaceDE/>
        <w:autoSpaceDN/>
        <w:adjustRightInd/>
        <w:snapToGrid/>
        <w:spacing w:before="260"/>
        <w:textAlignment w:val="auto"/>
        <w:rPr>
          <w:rFonts w:hint="eastAsia" w:ascii="宋体" w:hAnsi="宋体" w:eastAsia="宋体" w:cs="宋体"/>
          <w:bCs/>
          <w:color w:val="auto"/>
          <w:sz w:val="21"/>
          <w:szCs w:val="21"/>
          <w:highlight w:val="none"/>
        </w:rPr>
      </w:pPr>
      <w:bookmarkStart w:id="14" w:name="_Toc56938696"/>
      <w:bookmarkStart w:id="15" w:name="_Toc56851223"/>
      <w:bookmarkStart w:id="16" w:name="_Toc56846630"/>
      <w:bookmarkStart w:id="17" w:name="_Toc52270232"/>
      <w:bookmarkStart w:id="18" w:name="_Toc56855616"/>
      <w:bookmarkStart w:id="19" w:name="_Toc52288201"/>
      <w:bookmarkStart w:id="20" w:name="_Toc56855648"/>
      <w:r>
        <w:rPr>
          <w:rFonts w:hint="eastAsia" w:ascii="宋体" w:hAnsi="宋体" w:eastAsia="宋体" w:cs="宋体"/>
          <w:bCs/>
          <w:color w:val="auto"/>
          <w:sz w:val="21"/>
          <w:szCs w:val="21"/>
          <w:highlight w:val="none"/>
        </w:rPr>
        <w:t>总体说明</w:t>
      </w:r>
      <w:bookmarkEnd w:id="14"/>
      <w:bookmarkEnd w:id="15"/>
      <w:bookmarkEnd w:id="16"/>
      <w:bookmarkEnd w:id="17"/>
      <w:bookmarkEnd w:id="18"/>
      <w:bookmarkEnd w:id="19"/>
      <w:bookmarkEnd w:id="20"/>
    </w:p>
    <w:p>
      <w:pPr>
        <w:numPr>
          <w:ilvl w:val="1"/>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资金</w:t>
      </w:r>
      <w:r>
        <w:rPr>
          <w:rFonts w:hint="eastAsia" w:ascii="宋体" w:hAnsi="宋体" w:eastAsia="宋体" w:cs="宋体"/>
          <w:b/>
          <w:bCs/>
          <w:color w:val="auto"/>
          <w:szCs w:val="21"/>
          <w:highlight w:val="none"/>
          <w:lang w:val="en-US" w:eastAsia="zh-CN"/>
        </w:rPr>
        <w:t>来源</w:t>
      </w:r>
    </w:p>
    <w:p>
      <w:pPr>
        <w:snapToGrid/>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财政性资金。</w:t>
      </w:r>
    </w:p>
    <w:p>
      <w:pPr>
        <w:numPr>
          <w:ilvl w:val="1"/>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适用范围</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本项目仅适用于本磋商文件所述的</w:t>
      </w:r>
      <w:r>
        <w:rPr>
          <w:rFonts w:hint="eastAsia" w:ascii="宋体" w:hAnsi="宋体" w:eastAsia="宋体" w:cs="宋体"/>
          <w:color w:val="auto"/>
          <w:szCs w:val="21"/>
          <w:highlight w:val="none"/>
        </w:rPr>
        <w:t>报价内容</w:t>
      </w:r>
      <w:r>
        <w:rPr>
          <w:rFonts w:hint="eastAsia" w:ascii="宋体" w:hAnsi="宋体" w:eastAsia="宋体" w:cs="宋体"/>
          <w:bCs/>
          <w:color w:val="auto"/>
          <w:szCs w:val="21"/>
          <w:highlight w:val="none"/>
        </w:rPr>
        <w:t>。</w:t>
      </w:r>
    </w:p>
    <w:p>
      <w:pPr>
        <w:numPr>
          <w:ilvl w:val="1"/>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合格的</w:t>
      </w:r>
      <w:r>
        <w:rPr>
          <w:rFonts w:hint="eastAsia" w:ascii="宋体" w:hAnsi="宋体" w:eastAsia="宋体" w:cs="宋体"/>
          <w:b/>
          <w:bCs/>
          <w:color w:val="auto"/>
          <w:szCs w:val="21"/>
          <w:highlight w:val="none"/>
          <w:lang w:eastAsia="zh-CN"/>
        </w:rPr>
        <w:t>供应商</w:t>
      </w:r>
    </w:p>
    <w:p>
      <w:pPr>
        <w:tabs>
          <w:tab w:val="left" w:pos="1164"/>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.1具有符合磋商邀请中合格</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资格要求</w:t>
      </w:r>
      <w:r>
        <w:rPr>
          <w:rFonts w:hint="eastAsia" w:ascii="宋体" w:hAnsi="宋体" w:eastAsia="宋体" w:cs="宋体"/>
          <w:color w:val="auto"/>
          <w:szCs w:val="21"/>
          <w:highlight w:val="none"/>
          <w:lang w:val="en-US" w:eastAsia="zh-CN"/>
        </w:rPr>
        <w:t>及实质性要求</w:t>
      </w:r>
      <w:r>
        <w:rPr>
          <w:rFonts w:hint="eastAsia" w:ascii="宋体" w:hAnsi="宋体" w:eastAsia="宋体" w:cs="宋体"/>
          <w:color w:val="auto"/>
          <w:szCs w:val="21"/>
          <w:highlight w:val="none"/>
        </w:rPr>
        <w:t>；</w:t>
      </w:r>
    </w:p>
    <w:p>
      <w:pPr>
        <w:tabs>
          <w:tab w:val="left" w:pos="1164"/>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.2已在本项目</w:t>
      </w:r>
      <w:r>
        <w:rPr>
          <w:rFonts w:hint="eastAsia" w:ascii="宋体" w:hAnsi="宋体" w:eastAsia="宋体" w:cs="宋体"/>
          <w:color w:val="auto"/>
          <w:szCs w:val="21"/>
          <w:highlight w:val="none"/>
          <w:lang w:eastAsia="zh-CN"/>
        </w:rPr>
        <w:t>登记</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获取</w:t>
      </w:r>
      <w:r>
        <w:rPr>
          <w:rFonts w:hint="eastAsia" w:ascii="宋体" w:hAnsi="宋体" w:eastAsia="宋体" w:cs="宋体"/>
          <w:color w:val="auto"/>
          <w:szCs w:val="21"/>
          <w:highlight w:val="none"/>
        </w:rPr>
        <w:t>磋商文件的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p>
    <w:p>
      <w:pPr>
        <w:numPr>
          <w:ilvl w:val="1"/>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应承担所有参与本次报价的全部费用。</w:t>
      </w:r>
    </w:p>
    <w:p>
      <w:pPr>
        <w:numPr>
          <w:ilvl w:val="1"/>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合格的货物和服务</w:t>
      </w:r>
    </w:p>
    <w:p>
      <w:pPr>
        <w:tabs>
          <w:tab w:val="left" w:pos="1164"/>
          <w:tab w:val="left" w:pos="216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提供的所有服务（含提供服务所需的设备、货物、产品及有关材料），其来源均应符合《中华人民共和国政府采购法》等相关法律法规的规定。</w:t>
      </w:r>
    </w:p>
    <w:p>
      <w:pPr>
        <w:tabs>
          <w:tab w:val="left" w:pos="1164"/>
          <w:tab w:val="left" w:pos="216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如</w:t>
      </w:r>
      <w:r>
        <w:rPr>
          <w:rFonts w:hint="eastAsia" w:ascii="宋体" w:hAnsi="宋体" w:eastAsia="宋体" w:cs="宋体"/>
          <w:color w:val="auto"/>
          <w:szCs w:val="21"/>
          <w:highlight w:val="none"/>
        </w:rPr>
        <w:t>本项目</w:t>
      </w:r>
      <w:r>
        <w:rPr>
          <w:rFonts w:hint="eastAsia" w:ascii="宋体" w:hAnsi="宋体" w:eastAsia="宋体" w:cs="宋体"/>
          <w:color w:val="auto"/>
          <w:szCs w:val="21"/>
          <w:highlight w:val="none"/>
          <w:lang w:val="en-US" w:eastAsia="zh-CN"/>
        </w:rPr>
        <w:t>服务中包含货物采购的，</w:t>
      </w:r>
      <w:r>
        <w:rPr>
          <w:rFonts w:hint="eastAsia" w:ascii="宋体" w:hAnsi="宋体" w:eastAsia="宋体" w:cs="宋体"/>
          <w:color w:val="auto"/>
          <w:szCs w:val="21"/>
          <w:highlight w:val="none"/>
        </w:rPr>
        <w:t>采购本国产品。</w:t>
      </w:r>
    </w:p>
    <w:p>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.3采购人将拒绝接受不合格的货物和服务。</w:t>
      </w:r>
    </w:p>
    <w:p>
      <w:pPr>
        <w:numPr>
          <w:ilvl w:val="1"/>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定义</w:t>
      </w:r>
    </w:p>
    <w:p>
      <w:pPr>
        <w:numPr>
          <w:ilvl w:val="2"/>
          <w:numId w:val="2"/>
        </w:numPr>
        <w:tabs>
          <w:tab w:val="left" w:pos="720"/>
        </w:tabs>
        <w:spacing w:line="360" w:lineRule="auto"/>
        <w:ind w:left="720" w:hanging="7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“采购人”系指磋商邀请中所指采购人，亦指业主。</w:t>
      </w:r>
    </w:p>
    <w:p>
      <w:pPr>
        <w:numPr>
          <w:ilvl w:val="2"/>
          <w:numId w:val="2"/>
        </w:numPr>
        <w:tabs>
          <w:tab w:val="left" w:pos="720"/>
        </w:tabs>
        <w:spacing w:line="360" w:lineRule="auto"/>
        <w:ind w:left="720" w:hanging="720"/>
        <w:rPr>
          <w:rFonts w:hint="eastAsia" w:ascii="宋体" w:hAnsi="宋体" w:eastAsia="宋体" w:cs="宋体"/>
          <w:bCs w:val="0"/>
          <w:color w:val="auto"/>
          <w:szCs w:val="21"/>
          <w:highlight w:val="none"/>
        </w:rPr>
      </w:pPr>
      <w:r>
        <w:rPr>
          <w:rFonts w:hint="eastAsia" w:ascii="宋体" w:hAnsi="宋体" w:eastAsia="宋体" w:cs="宋体"/>
          <w:bCs w:val="0"/>
          <w:color w:val="auto"/>
          <w:szCs w:val="21"/>
          <w:highlight w:val="none"/>
        </w:rPr>
        <w:t>“业主/用户”系指本项目的</w:t>
      </w:r>
      <w:r>
        <w:rPr>
          <w:rFonts w:hint="eastAsia" w:ascii="宋体" w:hAnsi="宋体" w:eastAsia="宋体" w:cs="宋体"/>
          <w:bCs w:val="0"/>
          <w:color w:val="auto"/>
          <w:szCs w:val="21"/>
          <w:highlight w:val="none"/>
          <w:lang w:val="en-US" w:eastAsia="zh-CN"/>
        </w:rPr>
        <w:t>采购人或采购人指定的</w:t>
      </w:r>
      <w:r>
        <w:rPr>
          <w:rFonts w:hint="eastAsia" w:ascii="宋体" w:hAnsi="宋体" w:eastAsia="宋体" w:cs="宋体"/>
          <w:bCs w:val="0"/>
          <w:color w:val="auto"/>
          <w:szCs w:val="21"/>
          <w:highlight w:val="none"/>
        </w:rPr>
        <w:t>最终使用单位。</w:t>
      </w:r>
    </w:p>
    <w:p>
      <w:pPr>
        <w:numPr>
          <w:ilvl w:val="2"/>
          <w:numId w:val="2"/>
        </w:numPr>
        <w:tabs>
          <w:tab w:val="left" w:pos="720"/>
        </w:tabs>
        <w:spacing w:line="360" w:lineRule="auto"/>
        <w:ind w:left="720" w:hanging="7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“采购代理机构”系指广州群生招标代理有限公司。</w:t>
      </w:r>
    </w:p>
    <w:p>
      <w:pPr>
        <w:numPr>
          <w:ilvl w:val="2"/>
          <w:numId w:val="2"/>
        </w:numPr>
        <w:tabs>
          <w:tab w:val="left" w:pos="720"/>
        </w:tabs>
        <w:spacing w:line="360" w:lineRule="auto"/>
        <w:ind w:left="720" w:hanging="72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w:t>
      </w:r>
      <w:r>
        <w:rPr>
          <w:rFonts w:hint="eastAsia" w:ascii="宋体" w:hAnsi="宋体" w:eastAsia="宋体" w:cs="宋体"/>
          <w:bCs w:val="0"/>
          <w:color w:val="auto"/>
          <w:szCs w:val="21"/>
          <w:highlight w:val="none"/>
        </w:rPr>
        <w:t>系指向采购代理机构提交</w:t>
      </w:r>
      <w:r>
        <w:rPr>
          <w:rFonts w:hint="eastAsia" w:ascii="宋体" w:hAnsi="宋体" w:eastAsia="宋体" w:cs="宋体"/>
          <w:bCs w:val="0"/>
          <w:color w:val="auto"/>
          <w:szCs w:val="21"/>
          <w:highlight w:val="none"/>
          <w:lang w:val="en-US" w:eastAsia="zh-CN"/>
        </w:rPr>
        <w:t>报价响应</w:t>
      </w:r>
      <w:r>
        <w:rPr>
          <w:rFonts w:hint="eastAsia" w:ascii="宋体" w:hAnsi="宋体" w:eastAsia="宋体" w:cs="宋体"/>
          <w:bCs w:val="0"/>
          <w:color w:val="auto"/>
          <w:szCs w:val="21"/>
          <w:highlight w:val="none"/>
        </w:rPr>
        <w:t>文件的供应商。</w:t>
      </w:r>
    </w:p>
    <w:p>
      <w:pPr>
        <w:numPr>
          <w:ilvl w:val="2"/>
          <w:numId w:val="2"/>
        </w:numPr>
        <w:tabs>
          <w:tab w:val="left" w:pos="720"/>
        </w:tabs>
        <w:spacing w:line="360" w:lineRule="auto"/>
        <w:ind w:left="720" w:hanging="720"/>
        <w:rPr>
          <w:rFonts w:hint="eastAsia" w:ascii="宋体" w:hAnsi="宋体" w:eastAsia="宋体" w:cs="宋体"/>
          <w:color w:val="auto"/>
          <w:szCs w:val="21"/>
          <w:highlight w:val="none"/>
        </w:rPr>
      </w:pPr>
      <w:r>
        <w:rPr>
          <w:rFonts w:hint="eastAsia" w:ascii="宋体" w:hAnsi="宋体" w:eastAsia="宋体" w:cs="宋体"/>
          <w:bCs w:val="0"/>
          <w:color w:val="auto"/>
          <w:szCs w:val="21"/>
          <w:highlight w:val="none"/>
          <w:lang w:eastAsia="zh-CN"/>
        </w:rPr>
        <w:t>“</w:t>
      </w:r>
      <w:r>
        <w:rPr>
          <w:rFonts w:hint="eastAsia" w:ascii="宋体" w:hAnsi="宋体" w:eastAsia="宋体" w:cs="宋体"/>
          <w:bCs w:val="0"/>
          <w:color w:val="auto"/>
          <w:szCs w:val="21"/>
          <w:highlight w:val="none"/>
          <w:lang w:val="en-US" w:eastAsia="zh-CN"/>
        </w:rPr>
        <w:t>响应文件</w:t>
      </w:r>
      <w:r>
        <w:rPr>
          <w:rFonts w:hint="eastAsia" w:ascii="宋体" w:hAnsi="宋体" w:eastAsia="宋体" w:cs="宋体"/>
          <w:bCs w:val="0"/>
          <w:color w:val="auto"/>
          <w:szCs w:val="21"/>
          <w:highlight w:val="none"/>
          <w:lang w:eastAsia="zh-CN"/>
        </w:rPr>
        <w:t>”、“</w:t>
      </w:r>
      <w:r>
        <w:rPr>
          <w:rFonts w:hint="eastAsia" w:ascii="宋体" w:hAnsi="宋体" w:eastAsia="宋体" w:cs="宋体"/>
          <w:bCs w:val="0"/>
          <w:color w:val="auto"/>
          <w:szCs w:val="21"/>
          <w:highlight w:val="none"/>
          <w:lang w:val="en-US" w:eastAsia="zh-CN"/>
        </w:rPr>
        <w:t>报价响应文件</w:t>
      </w:r>
      <w:r>
        <w:rPr>
          <w:rFonts w:hint="eastAsia" w:ascii="宋体" w:hAnsi="宋体" w:eastAsia="宋体" w:cs="宋体"/>
          <w:bCs w:val="0"/>
          <w:color w:val="auto"/>
          <w:szCs w:val="21"/>
          <w:highlight w:val="none"/>
          <w:lang w:eastAsia="zh-CN"/>
        </w:rPr>
        <w:t>”</w:t>
      </w:r>
      <w:r>
        <w:rPr>
          <w:rFonts w:hint="eastAsia" w:ascii="宋体" w:hAnsi="宋体" w:eastAsia="宋体" w:cs="宋体"/>
          <w:bCs w:val="0"/>
          <w:color w:val="auto"/>
          <w:szCs w:val="21"/>
          <w:highlight w:val="none"/>
          <w:lang w:val="en-US" w:eastAsia="zh-CN"/>
        </w:rPr>
        <w:t>系指供应商提交的响应本次项目的响应文件。</w:t>
      </w:r>
    </w:p>
    <w:p>
      <w:pPr>
        <w:numPr>
          <w:ilvl w:val="2"/>
          <w:numId w:val="2"/>
        </w:numPr>
        <w:tabs>
          <w:tab w:val="left" w:pos="720"/>
        </w:tabs>
        <w:spacing w:line="360" w:lineRule="auto"/>
        <w:ind w:left="720" w:hanging="720"/>
        <w:rPr>
          <w:rFonts w:hint="eastAsia" w:ascii="宋体" w:hAnsi="宋体" w:eastAsia="宋体" w:cs="宋体"/>
          <w:color w:val="auto"/>
          <w:szCs w:val="21"/>
          <w:highlight w:val="none"/>
        </w:rPr>
      </w:pPr>
      <w:r>
        <w:rPr>
          <w:rFonts w:hint="eastAsia" w:ascii="宋体" w:hAnsi="宋体" w:eastAsia="宋体" w:cs="宋体"/>
          <w:bCs w:val="0"/>
          <w:color w:val="auto"/>
          <w:szCs w:val="21"/>
          <w:highlight w:val="none"/>
        </w:rPr>
        <w:t>“甲方”系指采购人</w:t>
      </w:r>
      <w:r>
        <w:rPr>
          <w:rFonts w:hint="eastAsia" w:ascii="宋体" w:hAnsi="宋体" w:eastAsia="宋体" w:cs="宋体"/>
          <w:bCs w:val="0"/>
          <w:color w:val="auto"/>
          <w:szCs w:val="21"/>
          <w:highlight w:val="none"/>
          <w:lang w:val="en-US" w:eastAsia="zh-CN"/>
        </w:rPr>
        <w:t>或采购人指定的最终使用单位</w:t>
      </w:r>
      <w:r>
        <w:rPr>
          <w:rFonts w:hint="eastAsia" w:ascii="宋体" w:hAnsi="宋体" w:eastAsia="宋体" w:cs="宋体"/>
          <w:bCs w:val="0"/>
          <w:color w:val="auto"/>
          <w:szCs w:val="21"/>
          <w:highlight w:val="none"/>
        </w:rPr>
        <w:t>。</w:t>
      </w:r>
    </w:p>
    <w:p>
      <w:pPr>
        <w:numPr>
          <w:ilvl w:val="2"/>
          <w:numId w:val="2"/>
        </w:numPr>
        <w:tabs>
          <w:tab w:val="left" w:pos="720"/>
        </w:tabs>
        <w:spacing w:line="360" w:lineRule="auto"/>
        <w:ind w:left="720" w:hanging="7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“乙方”系指成交供应商。</w:t>
      </w:r>
    </w:p>
    <w:p>
      <w:pPr>
        <w:numPr>
          <w:ilvl w:val="2"/>
          <w:numId w:val="2"/>
        </w:numPr>
        <w:tabs>
          <w:tab w:val="left" w:pos="180"/>
          <w:tab w:val="left" w:pos="540"/>
        </w:tabs>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“日期”指公历日,“时间”指北京时间</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24小时制</w:t>
      </w:r>
      <w:r>
        <w:rPr>
          <w:rFonts w:hint="eastAsia" w:ascii="宋体" w:hAnsi="宋体" w:eastAsia="宋体" w:cs="宋体"/>
          <w:bCs/>
          <w:color w:val="auto"/>
          <w:szCs w:val="21"/>
          <w:highlight w:val="none"/>
        </w:rPr>
        <w:t>。</w:t>
      </w:r>
    </w:p>
    <w:p>
      <w:pPr>
        <w:numPr>
          <w:ilvl w:val="2"/>
          <w:numId w:val="2"/>
        </w:numPr>
        <w:tabs>
          <w:tab w:val="left" w:pos="720"/>
        </w:tabs>
        <w:spacing w:line="360" w:lineRule="auto"/>
        <w:ind w:left="720" w:hanging="720"/>
        <w:rPr>
          <w:rFonts w:hint="eastAsia" w:ascii="宋体" w:hAnsi="宋体" w:eastAsia="宋体" w:cs="宋体"/>
          <w:bCs w:val="0"/>
          <w:color w:val="auto"/>
          <w:szCs w:val="21"/>
          <w:highlight w:val="none"/>
        </w:rPr>
      </w:pPr>
      <w:r>
        <w:rPr>
          <w:rFonts w:hint="eastAsia" w:ascii="宋体" w:hAnsi="宋体" w:eastAsia="宋体" w:cs="宋体"/>
          <w:bCs w:val="0"/>
          <w:color w:val="auto"/>
          <w:szCs w:val="21"/>
          <w:highlight w:val="none"/>
        </w:rPr>
        <w:t>“服务”系指</w:t>
      </w:r>
      <w:r>
        <w:rPr>
          <w:rFonts w:hint="eastAsia" w:ascii="宋体" w:hAnsi="宋体" w:eastAsia="宋体" w:cs="宋体"/>
          <w:bCs w:val="0"/>
          <w:color w:val="auto"/>
          <w:szCs w:val="21"/>
          <w:highlight w:val="none"/>
          <w:lang w:val="en-US" w:eastAsia="zh-CN"/>
        </w:rPr>
        <w:t>磋商</w:t>
      </w:r>
      <w:r>
        <w:rPr>
          <w:rFonts w:hint="eastAsia" w:ascii="宋体" w:hAnsi="宋体" w:eastAsia="宋体" w:cs="宋体"/>
          <w:bCs w:val="0"/>
          <w:color w:val="auto"/>
          <w:szCs w:val="21"/>
          <w:highlight w:val="none"/>
        </w:rPr>
        <w:t>文件规定</w:t>
      </w:r>
      <w:r>
        <w:rPr>
          <w:rFonts w:hint="eastAsia" w:ascii="宋体" w:hAnsi="宋体" w:eastAsia="宋体" w:cs="宋体"/>
          <w:bCs w:val="0"/>
          <w:color w:val="auto"/>
          <w:szCs w:val="21"/>
          <w:highlight w:val="none"/>
          <w:lang w:val="en-US" w:eastAsia="zh-CN"/>
        </w:rPr>
        <w:t>供应商</w:t>
      </w:r>
      <w:r>
        <w:rPr>
          <w:rFonts w:hint="eastAsia" w:ascii="宋体" w:hAnsi="宋体" w:eastAsia="宋体" w:cs="宋体"/>
          <w:bCs w:val="0"/>
          <w:color w:val="auto"/>
          <w:szCs w:val="21"/>
          <w:highlight w:val="none"/>
        </w:rPr>
        <w:t>须承担的相关服务。</w:t>
      </w:r>
    </w:p>
    <w:p>
      <w:pPr>
        <w:numPr>
          <w:ilvl w:val="2"/>
          <w:numId w:val="2"/>
        </w:numPr>
        <w:tabs>
          <w:tab w:val="left" w:pos="720"/>
        </w:tabs>
        <w:spacing w:line="360" w:lineRule="auto"/>
        <w:ind w:left="720" w:hanging="720"/>
        <w:rPr>
          <w:rFonts w:hint="eastAsia" w:ascii="宋体" w:hAnsi="宋体" w:eastAsia="宋体" w:cs="宋体"/>
          <w:bCs w:val="0"/>
          <w:color w:val="auto"/>
          <w:szCs w:val="21"/>
          <w:highlight w:val="none"/>
        </w:rPr>
      </w:pPr>
      <w:r>
        <w:rPr>
          <w:rFonts w:hint="eastAsia" w:ascii="宋体" w:hAnsi="宋体" w:eastAsia="宋体" w:cs="宋体"/>
          <w:bCs w:val="0"/>
          <w:color w:val="auto"/>
          <w:szCs w:val="21"/>
          <w:highlight w:val="none"/>
        </w:rPr>
        <w:t>“书面形式”系指纸质文件形式，</w:t>
      </w:r>
      <w:r>
        <w:rPr>
          <w:rFonts w:hint="eastAsia" w:ascii="宋体" w:hAnsi="宋体" w:eastAsia="宋体" w:cs="宋体"/>
          <w:bCs w:val="0"/>
          <w:color w:val="auto"/>
          <w:szCs w:val="21"/>
          <w:highlight w:val="none"/>
          <w:lang w:val="en-US" w:eastAsia="zh-CN"/>
        </w:rPr>
        <w:t>除非特别说明，</w:t>
      </w:r>
      <w:r>
        <w:rPr>
          <w:rFonts w:hint="eastAsia" w:ascii="宋体" w:hAnsi="宋体" w:eastAsia="宋体" w:cs="宋体"/>
          <w:bCs w:val="0"/>
          <w:color w:val="auto"/>
          <w:szCs w:val="21"/>
          <w:highlight w:val="none"/>
        </w:rPr>
        <w:t>不包含电子邮件、手机短信等非纸质形式。</w:t>
      </w:r>
    </w:p>
    <w:p>
      <w:pPr>
        <w:numPr>
          <w:ilvl w:val="2"/>
          <w:numId w:val="2"/>
        </w:numPr>
        <w:tabs>
          <w:tab w:val="left" w:pos="720"/>
        </w:tabs>
        <w:spacing w:line="360" w:lineRule="auto"/>
        <w:ind w:left="720" w:hanging="720"/>
        <w:rPr>
          <w:rFonts w:hint="eastAsia" w:ascii="宋体" w:hAnsi="宋体" w:eastAsia="宋体" w:cs="宋体"/>
          <w:color w:val="auto"/>
          <w:szCs w:val="21"/>
          <w:highlight w:val="none"/>
        </w:rPr>
      </w:pPr>
      <w:r>
        <w:rPr>
          <w:rFonts w:hint="eastAsia" w:ascii="宋体" w:hAnsi="宋体" w:eastAsia="宋体" w:cs="宋体"/>
          <w:bCs w:val="0"/>
          <w:color w:val="auto"/>
          <w:szCs w:val="21"/>
          <w:highlight w:val="none"/>
          <w:lang w:val="en-US" w:eastAsia="zh-CN"/>
        </w:rPr>
        <w:t>“</w:t>
      </w:r>
      <w:r>
        <w:rPr>
          <w:rFonts w:hint="eastAsia" w:ascii="宋体" w:hAnsi="宋体" w:eastAsia="宋体" w:cs="宋体"/>
          <w:color w:val="auto"/>
          <w:sz w:val="21"/>
          <w:szCs w:val="21"/>
          <w:highlight w:val="none"/>
        </w:rPr>
        <w:t>不可抗力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指战争、严重火灾、洪水、台风、地震等或其他</w:t>
      </w:r>
      <w:r>
        <w:rPr>
          <w:rFonts w:hint="eastAsia" w:ascii="宋体" w:hAnsi="宋体" w:eastAsia="宋体" w:cs="宋体"/>
          <w:color w:val="auto"/>
          <w:sz w:val="21"/>
          <w:szCs w:val="21"/>
          <w:highlight w:val="none"/>
          <w:lang w:val="en-US" w:eastAsia="zh-CN"/>
        </w:rPr>
        <w:t>采购人（或采购人指定的最终使用单位）、双方</w:t>
      </w:r>
      <w:r>
        <w:rPr>
          <w:rFonts w:hint="eastAsia" w:ascii="宋体" w:hAnsi="宋体" w:eastAsia="宋体" w:cs="宋体"/>
          <w:color w:val="auto"/>
          <w:sz w:val="21"/>
          <w:szCs w:val="21"/>
          <w:highlight w:val="none"/>
        </w:rPr>
        <w:t>认定的不可抗力事件。</w:t>
      </w:r>
    </w:p>
    <w:p>
      <w:pPr>
        <w:numPr>
          <w:ilvl w:val="2"/>
          <w:numId w:val="2"/>
        </w:numPr>
        <w:tabs>
          <w:tab w:val="left" w:pos="720"/>
        </w:tabs>
        <w:spacing w:line="360" w:lineRule="auto"/>
        <w:ind w:left="720" w:hanging="720" w:firstLineChars="0"/>
        <w:rPr>
          <w:rFonts w:hint="eastAsia" w:ascii="宋体" w:hAnsi="宋体" w:eastAsia="宋体" w:cs="宋体"/>
          <w:bCs w:val="0"/>
          <w:color w:val="auto"/>
          <w:szCs w:val="21"/>
          <w:highlight w:val="none"/>
          <w:lang w:val="en-US" w:eastAsia="zh-CN"/>
        </w:rPr>
      </w:pPr>
      <w:r>
        <w:rPr>
          <w:rFonts w:hint="eastAsia" w:ascii="宋体" w:hAnsi="宋体" w:eastAsia="宋体" w:cs="宋体"/>
          <w:bCs/>
          <w:color w:val="auto"/>
          <w:szCs w:val="21"/>
          <w:highlight w:val="none"/>
        </w:rPr>
        <w:t>“实质性响应”系指符合</w:t>
      </w:r>
      <w:r>
        <w:rPr>
          <w:rFonts w:hint="eastAsia" w:ascii="宋体" w:hAnsi="宋体" w:eastAsia="宋体" w:cs="宋体"/>
          <w:bCs/>
          <w:color w:val="auto"/>
          <w:szCs w:val="21"/>
          <w:highlight w:val="none"/>
          <w:lang w:val="en-US" w:eastAsia="zh-CN"/>
        </w:rPr>
        <w:t>磋商</w:t>
      </w:r>
      <w:r>
        <w:rPr>
          <w:rFonts w:hint="eastAsia" w:ascii="宋体" w:hAnsi="宋体" w:eastAsia="宋体" w:cs="宋体"/>
          <w:bCs/>
          <w:color w:val="auto"/>
          <w:szCs w:val="21"/>
          <w:highlight w:val="none"/>
        </w:rPr>
        <w:t>文件实质性要求、条款、条件和规定，且没有重大偏离或保留。重大偏离或保留指影响到</w:t>
      </w:r>
      <w:r>
        <w:rPr>
          <w:rFonts w:hint="eastAsia" w:ascii="宋体" w:hAnsi="宋体" w:eastAsia="宋体" w:cs="宋体"/>
          <w:bCs/>
          <w:color w:val="auto"/>
          <w:szCs w:val="21"/>
          <w:highlight w:val="none"/>
          <w:lang w:eastAsia="zh-CN"/>
        </w:rPr>
        <w:t>磋商</w:t>
      </w:r>
      <w:r>
        <w:rPr>
          <w:rFonts w:hint="eastAsia" w:ascii="宋体" w:hAnsi="宋体" w:eastAsia="宋体" w:cs="宋体"/>
          <w:bCs/>
          <w:color w:val="auto"/>
          <w:szCs w:val="21"/>
          <w:highlight w:val="none"/>
        </w:rPr>
        <w:t>文件规定的范围、质量和性能，或限制</w:t>
      </w:r>
      <w:r>
        <w:rPr>
          <w:rFonts w:hint="eastAsia" w:ascii="宋体" w:hAnsi="宋体" w:eastAsia="宋体" w:cs="宋体"/>
          <w:bCs/>
          <w:color w:val="auto"/>
          <w:szCs w:val="21"/>
          <w:highlight w:val="none"/>
          <w:lang w:val="en-US" w:eastAsia="zh-CN"/>
        </w:rPr>
        <w:t>采购人</w:t>
      </w:r>
      <w:r>
        <w:rPr>
          <w:rFonts w:hint="eastAsia" w:ascii="宋体" w:hAnsi="宋体" w:eastAsia="宋体" w:cs="宋体"/>
          <w:bCs/>
          <w:color w:val="auto"/>
          <w:szCs w:val="21"/>
          <w:highlight w:val="none"/>
        </w:rPr>
        <w:t>的权</w:t>
      </w:r>
      <w:r>
        <w:rPr>
          <w:rFonts w:hint="eastAsia" w:ascii="宋体" w:hAnsi="宋体" w:eastAsia="宋体" w:cs="宋体"/>
          <w:color w:val="auto"/>
          <w:szCs w:val="21"/>
          <w:highlight w:val="none"/>
        </w:rPr>
        <w:t>利和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的义务的规定，而纠正这些偏离将影响到其他递交实质性响应</w:t>
      </w:r>
      <w:r>
        <w:rPr>
          <w:rFonts w:hint="eastAsia" w:ascii="宋体" w:hAnsi="宋体" w:eastAsia="宋体" w:cs="宋体"/>
          <w:bCs/>
          <w:color w:val="auto"/>
          <w:szCs w:val="21"/>
          <w:highlight w:val="none"/>
          <w:lang w:val="en-US" w:eastAsia="zh-CN"/>
        </w:rPr>
        <w:t>磋商</w:t>
      </w:r>
      <w:r>
        <w:rPr>
          <w:rFonts w:hint="eastAsia" w:ascii="宋体" w:hAnsi="宋体" w:eastAsia="宋体" w:cs="宋体"/>
          <w:bCs/>
          <w:color w:val="auto"/>
          <w:szCs w:val="21"/>
          <w:highlight w:val="none"/>
        </w:rPr>
        <w:t>文件</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的公平竞争地位。</w:t>
      </w:r>
    </w:p>
    <w:p>
      <w:pPr>
        <w:numPr>
          <w:ilvl w:val="2"/>
          <w:numId w:val="2"/>
        </w:numPr>
        <w:tabs>
          <w:tab w:val="left" w:pos="720"/>
        </w:tabs>
        <w:spacing w:line="360" w:lineRule="auto"/>
        <w:ind w:left="720" w:hanging="720"/>
        <w:rPr>
          <w:rFonts w:hint="eastAsia" w:ascii="宋体" w:hAnsi="宋体" w:eastAsia="宋体" w:cs="宋体"/>
          <w:color w:val="auto"/>
          <w:szCs w:val="21"/>
          <w:highlight w:val="none"/>
        </w:rPr>
      </w:pPr>
      <w:r>
        <w:rPr>
          <w:rFonts w:hint="eastAsia" w:ascii="宋体" w:hAnsi="宋体" w:eastAsia="宋体" w:cs="宋体"/>
          <w:bCs w:val="0"/>
          <w:color w:val="auto"/>
          <w:szCs w:val="21"/>
          <w:highlight w:val="none"/>
          <w:lang w:val="en-US" w:eastAsia="zh-CN"/>
        </w:rPr>
        <w:t>磋商</w:t>
      </w:r>
      <w:r>
        <w:rPr>
          <w:rFonts w:hint="eastAsia" w:ascii="宋体" w:hAnsi="宋体" w:eastAsia="宋体" w:cs="宋体"/>
          <w:bCs w:val="0"/>
          <w:color w:val="auto"/>
          <w:szCs w:val="21"/>
          <w:highlight w:val="none"/>
        </w:rPr>
        <w:t>文件中的标题或题名仅起引导作用，而不应该作为对</w:t>
      </w:r>
      <w:r>
        <w:rPr>
          <w:rFonts w:hint="eastAsia" w:ascii="宋体" w:hAnsi="宋体" w:eastAsia="宋体" w:cs="宋体"/>
          <w:bCs w:val="0"/>
          <w:color w:val="auto"/>
          <w:szCs w:val="21"/>
          <w:highlight w:val="none"/>
          <w:lang w:val="en-US" w:eastAsia="zh-CN"/>
        </w:rPr>
        <w:t>磋商</w:t>
      </w:r>
      <w:r>
        <w:rPr>
          <w:rFonts w:hint="eastAsia" w:ascii="宋体" w:hAnsi="宋体" w:eastAsia="宋体" w:cs="宋体"/>
          <w:bCs w:val="0"/>
          <w:color w:val="auto"/>
          <w:szCs w:val="21"/>
          <w:highlight w:val="none"/>
        </w:rPr>
        <w:t>文件内容的理解或解释。</w:t>
      </w:r>
    </w:p>
    <w:p>
      <w:pPr>
        <w:numPr>
          <w:ilvl w:val="1"/>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知识产权</w:t>
      </w:r>
    </w:p>
    <w:p>
      <w:pPr>
        <w:numPr>
          <w:ilvl w:val="2"/>
          <w:numId w:val="2"/>
        </w:numPr>
        <w:tabs>
          <w:tab w:val="left" w:pos="720"/>
        </w:tabs>
        <w:spacing w:line="360" w:lineRule="auto"/>
        <w:ind w:left="720" w:hanging="72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GB" w:eastAsia="zh-CN"/>
        </w:rPr>
        <w:t>供应商</w:t>
      </w:r>
      <w:r>
        <w:rPr>
          <w:rFonts w:hint="eastAsia" w:ascii="宋体" w:hAnsi="宋体" w:eastAsia="宋体" w:cs="宋体"/>
          <w:color w:val="auto"/>
          <w:szCs w:val="21"/>
          <w:highlight w:val="none"/>
          <w:lang w:val="en-GB"/>
        </w:rPr>
        <w:t>必须保证，采购人在中华人民共和国境内使用报价货物、资料、技术、服务或其任何一部分时，享有不受限制的无偿使用权，不会产生因第三方提出侵犯其专利权、商标权或其它知识产权而引起的法律或经济纠纷。如</w:t>
      </w:r>
      <w:r>
        <w:rPr>
          <w:rFonts w:hint="eastAsia" w:ascii="宋体" w:hAnsi="宋体" w:eastAsia="宋体" w:cs="宋体"/>
          <w:color w:val="auto"/>
          <w:szCs w:val="21"/>
          <w:highlight w:val="none"/>
          <w:lang w:val="en-GB" w:eastAsia="zh-CN"/>
        </w:rPr>
        <w:t>供应商</w:t>
      </w:r>
      <w:r>
        <w:rPr>
          <w:rFonts w:hint="eastAsia" w:ascii="宋体" w:hAnsi="宋体" w:eastAsia="宋体" w:cs="宋体"/>
          <w:color w:val="auto"/>
          <w:szCs w:val="21"/>
          <w:highlight w:val="none"/>
          <w:lang w:val="en-GB"/>
        </w:rPr>
        <w:t>不拥有相应的知识产权，则应由</w:t>
      </w:r>
      <w:r>
        <w:rPr>
          <w:rFonts w:hint="eastAsia" w:ascii="宋体" w:hAnsi="宋体" w:eastAsia="宋体" w:cs="宋体"/>
          <w:color w:val="auto"/>
          <w:szCs w:val="21"/>
          <w:highlight w:val="none"/>
          <w:lang w:val="en-GB" w:eastAsia="zh-CN"/>
        </w:rPr>
        <w:t>供应商</w:t>
      </w:r>
      <w:r>
        <w:rPr>
          <w:rFonts w:hint="eastAsia" w:ascii="宋体" w:hAnsi="宋体" w:eastAsia="宋体" w:cs="宋体"/>
          <w:color w:val="auto"/>
          <w:szCs w:val="21"/>
          <w:highlight w:val="none"/>
          <w:lang w:val="en-GB"/>
        </w:rPr>
        <w:t>负责获得并提供给采购人使用，其报价中必须包括合法获取该知识产权的一切相关费用，如</w:t>
      </w:r>
      <w:r>
        <w:rPr>
          <w:rFonts w:hint="eastAsia" w:ascii="宋体" w:hAnsi="宋体" w:eastAsia="宋体" w:cs="宋体"/>
          <w:color w:val="auto"/>
          <w:szCs w:val="21"/>
          <w:highlight w:val="none"/>
          <w:lang w:val="en-GB" w:eastAsia="zh-CN"/>
        </w:rPr>
        <w:t>供应商</w:t>
      </w:r>
      <w:r>
        <w:rPr>
          <w:rFonts w:hint="eastAsia" w:ascii="宋体" w:hAnsi="宋体" w:eastAsia="宋体" w:cs="宋体"/>
          <w:color w:val="auto"/>
          <w:szCs w:val="21"/>
          <w:highlight w:val="none"/>
          <w:lang w:val="en-GB"/>
        </w:rPr>
        <w:t>没有单独列出的，视为已包含在相应报价中</w:t>
      </w:r>
      <w:r>
        <w:rPr>
          <w:rFonts w:hint="eastAsia" w:ascii="宋体" w:hAnsi="宋体" w:eastAsia="宋体" w:cs="宋体"/>
          <w:color w:val="auto"/>
          <w:szCs w:val="21"/>
          <w:highlight w:val="none"/>
        </w:rPr>
        <w:t>。一旦使用</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提供的产品或服务，采购人不再</w:t>
      </w:r>
      <w:r>
        <w:rPr>
          <w:rFonts w:hint="eastAsia" w:ascii="宋体" w:hAnsi="宋体" w:eastAsia="宋体" w:cs="宋体"/>
          <w:color w:val="auto"/>
          <w:szCs w:val="21"/>
          <w:highlight w:val="none"/>
          <w:lang w:val="en-GB"/>
        </w:rPr>
        <w:t>承担第三方提出侵犯其专利权、商标权或其它知识产权而引起的法律或经济纠纷。</w:t>
      </w:r>
    </w:p>
    <w:p>
      <w:pPr>
        <w:numPr>
          <w:ilvl w:val="1"/>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联合体报价（如适用）</w:t>
      </w:r>
    </w:p>
    <w:p>
      <w:pPr>
        <w:tabs>
          <w:tab w:val="left" w:pos="1674"/>
        </w:tabs>
        <w:spacing w:line="360" w:lineRule="auto"/>
        <w:ind w:left="735" w:hanging="735" w:hangingChars="3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对接受联合体报价的项目：</w:t>
      </w:r>
    </w:p>
    <w:p>
      <w:pPr>
        <w:numPr>
          <w:ilvl w:val="2"/>
          <w:numId w:val="2"/>
        </w:numPr>
        <w:tabs>
          <w:tab w:val="left" w:pos="720"/>
        </w:tabs>
        <w:spacing w:line="360" w:lineRule="auto"/>
        <w:ind w:left="720" w:hanging="7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两个以上供应商可以组成一个</w:t>
      </w:r>
      <w:r>
        <w:rPr>
          <w:rFonts w:hint="eastAsia" w:ascii="宋体" w:hAnsi="宋体" w:eastAsia="宋体" w:cs="宋体"/>
          <w:bCs/>
          <w:color w:val="auto"/>
          <w:szCs w:val="21"/>
          <w:highlight w:val="none"/>
          <w:lang w:val="en-US" w:eastAsia="zh-CN"/>
        </w:rPr>
        <w:t>报价</w:t>
      </w:r>
      <w:r>
        <w:rPr>
          <w:rFonts w:hint="eastAsia" w:ascii="宋体" w:hAnsi="宋体" w:eastAsia="宋体" w:cs="宋体"/>
          <w:bCs/>
          <w:color w:val="auto"/>
          <w:szCs w:val="21"/>
          <w:highlight w:val="none"/>
        </w:rPr>
        <w:t>联合体，以一个</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的身份</w:t>
      </w:r>
      <w:r>
        <w:rPr>
          <w:rFonts w:hint="eastAsia" w:ascii="宋体" w:hAnsi="宋体" w:eastAsia="宋体" w:cs="宋体"/>
          <w:bCs/>
          <w:color w:val="auto"/>
          <w:szCs w:val="21"/>
          <w:highlight w:val="none"/>
          <w:lang w:val="en-US" w:eastAsia="zh-CN"/>
        </w:rPr>
        <w:t>报价</w:t>
      </w:r>
      <w:r>
        <w:rPr>
          <w:rFonts w:hint="eastAsia" w:ascii="宋体" w:hAnsi="宋体" w:eastAsia="宋体" w:cs="宋体"/>
          <w:bCs/>
          <w:color w:val="auto"/>
          <w:szCs w:val="21"/>
          <w:highlight w:val="none"/>
        </w:rPr>
        <w:t>。</w:t>
      </w:r>
    </w:p>
    <w:p>
      <w:pPr>
        <w:numPr>
          <w:ilvl w:val="2"/>
          <w:numId w:val="2"/>
        </w:numPr>
        <w:tabs>
          <w:tab w:val="left" w:pos="720"/>
        </w:tabs>
        <w:spacing w:line="360" w:lineRule="auto"/>
        <w:ind w:left="720" w:hanging="7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联合体各方均应当符合《政府采购法》第二十二条第一款规定的条件，根据采购项目的特殊要求规定</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特定条件的，联合体各方或按本项目要求各方中至少应当有一方符合采购人规定的特定条件。</w:t>
      </w:r>
    </w:p>
    <w:p>
      <w:pPr>
        <w:numPr>
          <w:ilvl w:val="2"/>
          <w:numId w:val="2"/>
        </w:numPr>
        <w:tabs>
          <w:tab w:val="left" w:pos="720"/>
        </w:tabs>
        <w:spacing w:line="360" w:lineRule="auto"/>
        <w:ind w:left="720" w:hanging="7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联合体各方之间应当签订共同</w:t>
      </w:r>
      <w:r>
        <w:rPr>
          <w:rFonts w:hint="eastAsia" w:ascii="宋体" w:hAnsi="宋体" w:eastAsia="宋体" w:cs="宋体"/>
          <w:bCs/>
          <w:color w:val="auto"/>
          <w:szCs w:val="21"/>
          <w:highlight w:val="none"/>
          <w:lang w:val="en-US" w:eastAsia="zh-CN"/>
        </w:rPr>
        <w:t>报价</w:t>
      </w:r>
      <w:r>
        <w:rPr>
          <w:rFonts w:hint="eastAsia" w:ascii="宋体" w:hAnsi="宋体" w:eastAsia="宋体" w:cs="宋体"/>
          <w:bCs/>
          <w:color w:val="auto"/>
          <w:szCs w:val="21"/>
          <w:highlight w:val="none"/>
        </w:rPr>
        <w:t>协议并在</w:t>
      </w:r>
      <w:r>
        <w:rPr>
          <w:rFonts w:hint="eastAsia" w:ascii="宋体" w:hAnsi="宋体" w:eastAsia="宋体" w:cs="宋体"/>
          <w:bCs/>
          <w:color w:val="auto"/>
          <w:szCs w:val="21"/>
          <w:highlight w:val="none"/>
          <w:lang w:val="en-US" w:eastAsia="zh-CN"/>
        </w:rPr>
        <w:t>响应文件</w:t>
      </w:r>
      <w:r>
        <w:rPr>
          <w:rFonts w:hint="eastAsia" w:ascii="宋体" w:hAnsi="宋体" w:eastAsia="宋体" w:cs="宋体"/>
          <w:bCs/>
          <w:color w:val="auto"/>
          <w:szCs w:val="21"/>
          <w:highlight w:val="none"/>
        </w:rPr>
        <w:t>内提交，明确约定联合体各方承担的工作和相应的责任。联合体各方签订共同</w:t>
      </w:r>
      <w:r>
        <w:rPr>
          <w:rFonts w:hint="eastAsia" w:ascii="宋体" w:hAnsi="宋体" w:eastAsia="宋体" w:cs="宋体"/>
          <w:bCs/>
          <w:color w:val="auto"/>
          <w:szCs w:val="21"/>
          <w:highlight w:val="none"/>
          <w:lang w:val="en-US" w:eastAsia="zh-CN"/>
        </w:rPr>
        <w:t>报价</w:t>
      </w:r>
      <w:r>
        <w:rPr>
          <w:rFonts w:hint="eastAsia" w:ascii="宋体" w:hAnsi="宋体" w:eastAsia="宋体" w:cs="宋体"/>
          <w:bCs/>
          <w:color w:val="auto"/>
          <w:szCs w:val="21"/>
          <w:highlight w:val="none"/>
        </w:rPr>
        <w:t>协议后，不得再以自己名义单独在同一项目中</w:t>
      </w:r>
      <w:r>
        <w:rPr>
          <w:rFonts w:hint="eastAsia" w:ascii="宋体" w:hAnsi="宋体" w:eastAsia="宋体" w:cs="宋体"/>
          <w:bCs/>
          <w:color w:val="auto"/>
          <w:szCs w:val="21"/>
          <w:highlight w:val="none"/>
          <w:lang w:val="en-US" w:eastAsia="zh-CN"/>
        </w:rPr>
        <w:t>报价</w:t>
      </w:r>
      <w:r>
        <w:rPr>
          <w:rFonts w:hint="eastAsia" w:ascii="宋体" w:hAnsi="宋体" w:eastAsia="宋体" w:cs="宋体"/>
          <w:bCs/>
          <w:color w:val="auto"/>
          <w:szCs w:val="21"/>
          <w:highlight w:val="none"/>
        </w:rPr>
        <w:t>，也不得组成新的联合体参加同一项目</w:t>
      </w:r>
      <w:r>
        <w:rPr>
          <w:rFonts w:hint="eastAsia" w:ascii="宋体" w:hAnsi="宋体" w:eastAsia="宋体" w:cs="宋体"/>
          <w:bCs/>
          <w:color w:val="auto"/>
          <w:szCs w:val="21"/>
          <w:highlight w:val="none"/>
          <w:lang w:val="en-US" w:eastAsia="zh-CN"/>
        </w:rPr>
        <w:t>报价</w:t>
      </w:r>
      <w:r>
        <w:rPr>
          <w:rFonts w:hint="eastAsia" w:ascii="宋体" w:hAnsi="宋体" w:eastAsia="宋体" w:cs="宋体"/>
          <w:bCs/>
          <w:color w:val="auto"/>
          <w:szCs w:val="21"/>
          <w:highlight w:val="none"/>
        </w:rPr>
        <w:t>。</w:t>
      </w:r>
    </w:p>
    <w:p>
      <w:pPr>
        <w:numPr>
          <w:ilvl w:val="2"/>
          <w:numId w:val="2"/>
        </w:numPr>
        <w:tabs>
          <w:tab w:val="left" w:pos="720"/>
        </w:tabs>
        <w:spacing w:line="360" w:lineRule="auto"/>
        <w:ind w:left="720" w:hanging="720"/>
        <w:rPr>
          <w:rFonts w:hint="eastAsia" w:ascii="宋体" w:hAnsi="宋体" w:eastAsia="宋体" w:cs="宋体"/>
          <w:bCs/>
          <w:color w:val="auto"/>
          <w:szCs w:val="21"/>
          <w:highlight w:val="none"/>
        </w:rPr>
      </w:pPr>
      <w:r>
        <w:rPr>
          <w:rFonts w:hint="eastAsia" w:ascii="宋体" w:hAnsi="宋体" w:eastAsia="宋体" w:cs="宋体"/>
          <w:bCs/>
          <w:color w:val="auto"/>
          <w:kern w:val="2"/>
          <w:szCs w:val="21"/>
          <w:highlight w:val="none"/>
        </w:rPr>
        <w:t>联合体中有同类资质的供应商按照联合体分工承担相同工作的，应当按照资质等级较低的供应商确定资质等级。</w:t>
      </w:r>
    </w:p>
    <w:p>
      <w:pPr>
        <w:numPr>
          <w:ilvl w:val="1"/>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bCs/>
          <w:color w:val="auto"/>
          <w:sz w:val="21"/>
          <w:szCs w:val="21"/>
          <w:highlight w:val="none"/>
          <w:lang w:val="en-US" w:eastAsia="zh-CN"/>
        </w:rPr>
        <w:t>.</w:t>
      </w:r>
      <w:r>
        <w:rPr>
          <w:rFonts w:hint="eastAsia" w:ascii="宋体" w:hAnsi="宋体" w:eastAsia="宋体" w:cs="宋体"/>
          <w:b/>
          <w:bCs/>
          <w:color w:val="auto"/>
          <w:szCs w:val="21"/>
          <w:highlight w:val="none"/>
        </w:rPr>
        <w:t xml:space="preserve">  关联企业</w:t>
      </w:r>
    </w:p>
    <w:p>
      <w:pPr>
        <w:numPr>
          <w:ilvl w:val="2"/>
          <w:numId w:val="2"/>
        </w:numPr>
        <w:tabs>
          <w:tab w:val="left" w:pos="720"/>
        </w:tabs>
        <w:spacing w:line="360" w:lineRule="auto"/>
        <w:ind w:left="720" w:hanging="7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除联合体外，法定代表人或单位负责人为同一个人或者存在直接控股、管理关系的不同供应商，不得同时参加同一项目或同一子包（子项、标段等）的报价。如同时参加，则评审时将同时被拒绝。</w:t>
      </w:r>
    </w:p>
    <w:p>
      <w:pPr>
        <w:numPr>
          <w:ilvl w:val="2"/>
          <w:numId w:val="2"/>
        </w:numPr>
        <w:tabs>
          <w:tab w:val="left" w:pos="720"/>
        </w:tabs>
        <w:spacing w:line="360" w:lineRule="auto"/>
        <w:ind w:left="720" w:leftChars="0" w:hanging="7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同一</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授权不同的人员参与同一项目或同一子包（子项、标段等）的报价，则评审时将同时被拒绝。</w:t>
      </w:r>
    </w:p>
    <w:p>
      <w:pPr>
        <w:numPr>
          <w:ilvl w:val="1"/>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提供前期服务的供应商</w:t>
      </w:r>
    </w:p>
    <w:p>
      <w:pPr>
        <w:tabs>
          <w:tab w:val="left" w:pos="1674"/>
        </w:tabs>
        <w:spacing w:line="360" w:lineRule="auto"/>
        <w:ind w:left="840" w:leftChars="4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为采购项目提供整体设计、规范编制或者项目管理、监理、检测等服务的供应商，不得再参加该采购项目的其他采购活动。</w:t>
      </w:r>
    </w:p>
    <w:p>
      <w:pPr>
        <w:numPr>
          <w:ilvl w:val="1"/>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w:t>
      </w:r>
      <w:r>
        <w:rPr>
          <w:rFonts w:hint="eastAsia" w:ascii="宋体" w:hAnsi="宋体" w:eastAsia="宋体" w:cs="宋体"/>
          <w:b/>
          <w:bCs/>
          <w:color w:val="auto"/>
          <w:szCs w:val="21"/>
          <w:highlight w:val="none"/>
          <w:lang w:val="en-US" w:eastAsia="zh-CN"/>
        </w:rPr>
        <w:t>须落实的政府采购政策</w:t>
      </w:r>
    </w:p>
    <w:p>
      <w:pPr>
        <w:numPr>
          <w:ilvl w:val="2"/>
          <w:numId w:val="2"/>
        </w:numPr>
        <w:tabs>
          <w:tab w:val="left" w:pos="720"/>
        </w:tabs>
        <w:spacing w:line="360" w:lineRule="auto"/>
        <w:ind w:left="720" w:leftChars="0" w:hanging="72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政府采购促进中小企业发展暂行办法》（财库〔2011〕181号）</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《关于政府采购支持监狱企</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Cs/>
          <w:color w:val="auto"/>
          <w:szCs w:val="21"/>
          <w:highlight w:val="none"/>
        </w:rPr>
        <w:t>业发展有关问题的通知》(财库〔2014〕68号)</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《关于促进残疾人就业政府采购政策的通知》（财库〔2017〕141号)</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《关于环境标志产品政府采购实施的意见》（财库〔2006〕90号</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《节能产品政府采购实施意见》的通知（财库〔2004〕185号）</w:t>
      </w:r>
      <w:r>
        <w:rPr>
          <w:rFonts w:hint="eastAsia" w:ascii="宋体" w:hAnsi="宋体" w:eastAsia="宋体" w:cs="宋体"/>
          <w:bCs/>
          <w:color w:val="auto"/>
          <w:szCs w:val="21"/>
          <w:highlight w:val="none"/>
          <w:lang w:eastAsia="zh-CN"/>
        </w:rPr>
        <w:t>。</w:t>
      </w:r>
    </w:p>
    <w:p>
      <w:pPr>
        <w:numPr>
          <w:ilvl w:val="2"/>
          <w:numId w:val="2"/>
        </w:numPr>
        <w:tabs>
          <w:tab w:val="left" w:pos="720"/>
        </w:tabs>
        <w:spacing w:line="360" w:lineRule="auto"/>
        <w:ind w:left="720" w:leftChars="0" w:hanging="7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numPr>
          <w:ilvl w:val="2"/>
          <w:numId w:val="2"/>
        </w:numPr>
        <w:tabs>
          <w:tab w:val="left" w:pos="720"/>
        </w:tabs>
        <w:spacing w:line="360" w:lineRule="auto"/>
        <w:ind w:left="720" w:leftChars="0" w:hanging="7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numPr>
          <w:ilvl w:val="2"/>
          <w:numId w:val="2"/>
        </w:numPr>
        <w:tabs>
          <w:tab w:val="left" w:pos="720"/>
        </w:tabs>
        <w:spacing w:line="360" w:lineRule="auto"/>
        <w:ind w:left="720" w:leftChars="0" w:hanging="7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根据财库〔2017〕141号《财政部民政部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宋体" w:hAnsi="宋体" w:eastAsia="宋体" w:cs="宋体"/>
          <w:bCs/>
          <w:color w:val="auto"/>
          <w:szCs w:val="21"/>
          <w:highlight w:val="none"/>
        </w:rPr>
        <w:tab/>
      </w:r>
      <w:r>
        <w:rPr>
          <w:rFonts w:hint="eastAsia" w:ascii="宋体" w:hAnsi="宋体" w:eastAsia="宋体" w:cs="宋体"/>
          <w:bCs/>
          <w:color w:val="auto"/>
          <w:szCs w:val="21"/>
          <w:highlight w:val="none"/>
        </w:rPr>
        <w:tab/>
      </w:r>
      <w:r>
        <w:rPr>
          <w:rFonts w:hint="eastAsia" w:ascii="宋体" w:hAnsi="宋体" w:eastAsia="宋体" w:cs="宋体"/>
          <w:bCs/>
          <w:color w:val="auto"/>
          <w:szCs w:val="21"/>
          <w:highlight w:val="none"/>
        </w:rPr>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一旦</w:t>
      </w:r>
      <w:r>
        <w:rPr>
          <w:rFonts w:hint="eastAsia" w:ascii="宋体" w:hAnsi="宋体" w:eastAsia="宋体" w:cs="宋体"/>
          <w:bCs/>
          <w:color w:val="auto"/>
          <w:szCs w:val="21"/>
          <w:highlight w:val="none"/>
          <w:lang w:val="en-US" w:eastAsia="zh-CN"/>
        </w:rPr>
        <w:t>成交</w:t>
      </w:r>
      <w:r>
        <w:rPr>
          <w:rFonts w:hint="eastAsia" w:ascii="宋体" w:hAnsi="宋体" w:eastAsia="宋体" w:cs="宋体"/>
          <w:bCs/>
          <w:color w:val="auto"/>
          <w:szCs w:val="21"/>
          <w:highlight w:val="none"/>
        </w:rPr>
        <w:t>将在</w:t>
      </w:r>
      <w:r>
        <w:rPr>
          <w:rFonts w:hint="eastAsia" w:ascii="宋体" w:hAnsi="宋体" w:eastAsia="宋体" w:cs="宋体"/>
          <w:bCs/>
          <w:color w:val="auto"/>
          <w:szCs w:val="21"/>
          <w:highlight w:val="none"/>
          <w:lang w:val="en-US" w:eastAsia="zh-CN"/>
        </w:rPr>
        <w:t>成交</w:t>
      </w:r>
      <w:r>
        <w:rPr>
          <w:rFonts w:hint="eastAsia" w:ascii="宋体" w:hAnsi="宋体" w:eastAsia="宋体" w:cs="宋体"/>
          <w:bCs/>
          <w:color w:val="auto"/>
          <w:szCs w:val="21"/>
          <w:highlight w:val="none"/>
        </w:rPr>
        <w:t>公告中公告其声明函，接受社会监督。</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提供的《残疾人福利性单位声明函》与事实不符的，依照《政府采购法》第七十七条第一款的规定追究法律责任。</w:t>
      </w:r>
    </w:p>
    <w:p>
      <w:pPr>
        <w:numPr>
          <w:ilvl w:val="2"/>
          <w:numId w:val="2"/>
        </w:numPr>
        <w:tabs>
          <w:tab w:val="left" w:pos="720"/>
        </w:tabs>
        <w:spacing w:line="360" w:lineRule="auto"/>
        <w:ind w:left="720" w:leftChars="0" w:hanging="720" w:firstLineChars="0"/>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同时为小型、微型企业、监狱企业、残疾人福利性单位任两种或以上情况的，评审中只享受一次价格扣除，不重复进行价格扣除。</w:t>
      </w:r>
    </w:p>
    <w:p>
      <w:pPr>
        <w:numPr>
          <w:ilvl w:val="1"/>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磋商文件的解释权</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本磋商文件的解释权归“广州群生招标代理有限公司”所有。</w:t>
      </w:r>
    </w:p>
    <w:p>
      <w:pPr>
        <w:pStyle w:val="4"/>
        <w:numPr>
          <w:ilvl w:val="0"/>
          <w:numId w:val="2"/>
        </w:numPr>
        <w:autoSpaceDE/>
        <w:autoSpaceDN/>
        <w:adjustRightInd/>
        <w:snapToGrid/>
        <w:spacing w:before="2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w:t>
      </w:r>
    </w:p>
    <w:p>
      <w:pPr>
        <w:numPr>
          <w:ilvl w:val="1"/>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磋商文件的组成</w:t>
      </w:r>
    </w:p>
    <w:p>
      <w:pPr>
        <w:spacing w:line="360" w:lineRule="auto"/>
        <w:ind w:left="301"/>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（1）磋商邀请</w:t>
      </w:r>
    </w:p>
    <w:p>
      <w:pPr>
        <w:spacing w:line="360" w:lineRule="auto"/>
        <w:ind w:left="301"/>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须知</w:t>
      </w:r>
    </w:p>
    <w:p>
      <w:pPr>
        <w:spacing w:line="360" w:lineRule="auto"/>
        <w:ind w:left="301"/>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（3）采购人需求</w:t>
      </w:r>
    </w:p>
    <w:p>
      <w:pPr>
        <w:spacing w:line="360" w:lineRule="auto"/>
        <w:ind w:left="301"/>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合同文本</w:t>
      </w:r>
    </w:p>
    <w:p>
      <w:pPr>
        <w:spacing w:line="360" w:lineRule="auto"/>
        <w:ind w:left="301"/>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bCs/>
          <w:color w:val="auto"/>
          <w:szCs w:val="21"/>
          <w:highlight w:val="none"/>
        </w:rPr>
        <w:t>磋商细则</w:t>
      </w:r>
    </w:p>
    <w:p>
      <w:pPr>
        <w:spacing w:line="360" w:lineRule="auto"/>
        <w:ind w:left="181" w:leftChars="86" w:firstLine="105" w:firstLineChars="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格式</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2.2.磋商文件的澄清</w:t>
      </w:r>
    </w:p>
    <w:p>
      <w:pPr>
        <w:spacing w:line="360" w:lineRule="auto"/>
        <w:ind w:left="735" w:hanging="735" w:hangingChars="350"/>
        <w:rPr>
          <w:rFonts w:hint="eastAsia" w:ascii="宋体" w:hAnsi="宋体" w:eastAsia="宋体" w:cs="宋体"/>
          <w:color w:val="auto"/>
          <w:szCs w:val="21"/>
          <w:highlight w:val="none"/>
        </w:rPr>
      </w:pPr>
      <w:bookmarkStart w:id="21" w:name="_Toc56855650"/>
      <w:bookmarkStart w:id="22" w:name="_Toc56846632"/>
      <w:bookmarkStart w:id="23" w:name="_Toc52288203"/>
      <w:bookmarkStart w:id="24" w:name="_Toc52270234"/>
      <w:bookmarkStart w:id="25" w:name="_Toc56851225"/>
      <w:bookmarkStart w:id="26" w:name="_Toc56938698"/>
      <w:bookmarkStart w:id="27" w:name="_Toc56855618"/>
      <w:r>
        <w:rPr>
          <w:rFonts w:hint="eastAsia" w:ascii="宋体" w:hAnsi="宋体" w:eastAsia="宋体" w:cs="宋体"/>
          <w:bCs/>
          <w:color w:val="auto"/>
          <w:szCs w:val="21"/>
          <w:highlight w:val="none"/>
        </w:rPr>
        <w:t>2.2.1．</w:t>
      </w:r>
      <w:r>
        <w:rPr>
          <w:rFonts w:hint="eastAsia" w:ascii="宋体" w:hAnsi="宋体" w:eastAsia="宋体" w:cs="宋体"/>
          <w:bCs/>
          <w:color w:val="auto"/>
          <w:szCs w:val="21"/>
          <w:highlight w:val="none"/>
          <w:lang w:val="en-US" w:eastAsia="zh-CN"/>
        </w:rPr>
        <w:t>采购人或采购代理机构</w:t>
      </w:r>
      <w:r>
        <w:rPr>
          <w:rFonts w:hint="eastAsia" w:ascii="宋体" w:hAnsi="宋体" w:eastAsia="宋体" w:cs="宋体"/>
          <w:bCs/>
          <w:color w:val="auto"/>
          <w:szCs w:val="21"/>
          <w:highlight w:val="none"/>
        </w:rPr>
        <w:t>对</w:t>
      </w:r>
      <w:r>
        <w:rPr>
          <w:rFonts w:hint="eastAsia" w:ascii="宋体" w:hAnsi="宋体" w:eastAsia="宋体" w:cs="宋体"/>
          <w:bCs/>
          <w:color w:val="auto"/>
          <w:szCs w:val="21"/>
          <w:highlight w:val="none"/>
          <w:lang w:val="en-US" w:eastAsia="zh-CN"/>
        </w:rPr>
        <w:t>磋商</w:t>
      </w:r>
      <w:r>
        <w:rPr>
          <w:rFonts w:hint="eastAsia" w:ascii="宋体" w:hAnsi="宋体" w:eastAsia="宋体" w:cs="宋体"/>
          <w:bCs/>
          <w:color w:val="auto"/>
          <w:szCs w:val="21"/>
          <w:highlight w:val="none"/>
        </w:rPr>
        <w:t>文件进行必要的</w:t>
      </w:r>
      <w:r>
        <w:rPr>
          <w:rFonts w:hint="eastAsia" w:ascii="宋体" w:hAnsi="宋体" w:eastAsia="宋体" w:cs="宋体"/>
          <w:bCs/>
          <w:color w:val="auto"/>
          <w:szCs w:val="21"/>
          <w:highlight w:val="none"/>
          <w:lang w:val="en-US" w:eastAsia="zh-CN"/>
        </w:rPr>
        <w:t>澄清</w:t>
      </w:r>
      <w:r>
        <w:rPr>
          <w:rFonts w:hint="eastAsia" w:ascii="宋体" w:hAnsi="宋体" w:eastAsia="宋体" w:cs="宋体"/>
          <w:bCs/>
          <w:color w:val="auto"/>
          <w:szCs w:val="21"/>
          <w:highlight w:val="none"/>
        </w:rPr>
        <w:t>或修改</w:t>
      </w:r>
      <w:r>
        <w:rPr>
          <w:rFonts w:hint="eastAsia" w:ascii="宋体" w:hAnsi="宋体" w:eastAsia="宋体" w:cs="宋体"/>
          <w:bCs/>
          <w:color w:val="auto"/>
          <w:szCs w:val="21"/>
          <w:highlight w:val="none"/>
          <w:lang w:val="en-US" w:eastAsia="zh-CN"/>
        </w:rPr>
        <w:t>的</w:t>
      </w:r>
      <w:r>
        <w:rPr>
          <w:rFonts w:hint="eastAsia" w:ascii="宋体" w:hAnsi="宋体" w:eastAsia="宋体" w:cs="宋体"/>
          <w:bCs/>
          <w:color w:val="auto"/>
          <w:szCs w:val="21"/>
          <w:highlight w:val="none"/>
        </w:rPr>
        <w:t>，</w:t>
      </w:r>
      <w:r>
        <w:rPr>
          <w:rFonts w:hint="eastAsia" w:ascii="宋体" w:hAnsi="宋体" w:eastAsia="宋体" w:cs="宋体"/>
          <w:color w:val="auto"/>
          <w:highlight w:val="none"/>
        </w:rPr>
        <w:t>澄清或者修改的内容可能影响</w:t>
      </w:r>
      <w:r>
        <w:rPr>
          <w:rFonts w:hint="eastAsia" w:ascii="宋体" w:hAnsi="宋体" w:eastAsia="宋体" w:cs="宋体"/>
          <w:color w:val="auto"/>
          <w:highlight w:val="none"/>
          <w:lang w:val="en-US" w:eastAsia="zh-CN"/>
        </w:rPr>
        <w:t>响应文件</w:t>
      </w:r>
      <w:r>
        <w:rPr>
          <w:rFonts w:hint="eastAsia" w:ascii="宋体" w:hAnsi="宋体" w:eastAsia="宋体" w:cs="宋体"/>
          <w:color w:val="auto"/>
          <w:highlight w:val="none"/>
        </w:rPr>
        <w:t>编制的，</w:t>
      </w:r>
      <w:r>
        <w:rPr>
          <w:rFonts w:hint="eastAsia" w:ascii="宋体" w:hAnsi="宋体" w:eastAsia="宋体" w:cs="宋体"/>
          <w:bCs/>
          <w:color w:val="auto"/>
          <w:szCs w:val="21"/>
          <w:highlight w:val="none"/>
        </w:rPr>
        <w:t>于</w:t>
      </w:r>
      <w:r>
        <w:rPr>
          <w:rFonts w:hint="eastAsia" w:ascii="宋体" w:hAnsi="宋体" w:eastAsia="宋体" w:cs="宋体"/>
          <w:bCs/>
          <w:color w:val="auto"/>
          <w:szCs w:val="21"/>
          <w:highlight w:val="none"/>
          <w:lang w:val="en-US" w:eastAsia="zh-CN"/>
        </w:rPr>
        <w:t>提交首次响应文件</w:t>
      </w:r>
      <w:r>
        <w:rPr>
          <w:rFonts w:hint="eastAsia" w:ascii="宋体" w:hAnsi="宋体" w:eastAsia="宋体" w:cs="宋体"/>
          <w:color w:val="auto"/>
          <w:szCs w:val="21"/>
          <w:highlight w:val="none"/>
        </w:rPr>
        <w:t>截止</w:t>
      </w:r>
      <w:r>
        <w:rPr>
          <w:rFonts w:hint="eastAsia" w:ascii="宋体" w:hAnsi="宋体" w:eastAsia="宋体" w:cs="宋体"/>
          <w:color w:val="auto"/>
          <w:szCs w:val="21"/>
          <w:highlight w:val="none"/>
          <w:lang w:val="en-US" w:eastAsia="zh-CN"/>
        </w:rPr>
        <w:t>之日5日前</w:t>
      </w:r>
      <w:r>
        <w:rPr>
          <w:rFonts w:hint="eastAsia" w:ascii="宋体" w:hAnsi="宋体" w:eastAsia="宋体" w:cs="宋体"/>
          <w:color w:val="auto"/>
          <w:szCs w:val="21"/>
          <w:highlight w:val="none"/>
        </w:rPr>
        <w:t>在指定媒体上发布公告，并通知所有</w:t>
      </w:r>
      <w:r>
        <w:rPr>
          <w:rFonts w:hint="eastAsia" w:ascii="宋体" w:hAnsi="宋体" w:eastAsia="宋体" w:cs="宋体"/>
          <w:color w:val="auto"/>
          <w:szCs w:val="21"/>
          <w:highlight w:val="none"/>
          <w:lang w:eastAsia="zh-CN"/>
        </w:rPr>
        <w:t>登记</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获取</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文件的供应商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不足上述时间</w:t>
      </w:r>
      <w:r>
        <w:rPr>
          <w:rFonts w:hint="eastAsia" w:ascii="宋体" w:hAnsi="宋体" w:eastAsia="宋体" w:cs="宋体"/>
          <w:color w:val="auto"/>
          <w:szCs w:val="21"/>
          <w:highlight w:val="none"/>
        </w:rPr>
        <w:t>的，</w:t>
      </w:r>
      <w:r>
        <w:rPr>
          <w:rFonts w:hint="eastAsia" w:ascii="宋体" w:hAnsi="宋体" w:eastAsia="宋体" w:cs="宋体"/>
          <w:bCs/>
          <w:color w:val="auto"/>
          <w:szCs w:val="21"/>
          <w:highlight w:val="none"/>
          <w:lang w:val="en-US" w:eastAsia="zh-CN"/>
        </w:rPr>
        <w:t>采购代理机构</w:t>
      </w:r>
      <w:r>
        <w:rPr>
          <w:rFonts w:hint="eastAsia" w:ascii="宋体" w:hAnsi="宋体" w:eastAsia="宋体" w:cs="宋体"/>
          <w:color w:val="auto"/>
          <w:szCs w:val="21"/>
          <w:highlight w:val="none"/>
        </w:rPr>
        <w:t>在征得当时已</w:t>
      </w:r>
      <w:r>
        <w:rPr>
          <w:rFonts w:hint="eastAsia" w:ascii="宋体" w:hAnsi="宋体" w:eastAsia="宋体" w:cs="宋体"/>
          <w:color w:val="auto"/>
          <w:szCs w:val="21"/>
          <w:highlight w:val="none"/>
          <w:lang w:eastAsia="zh-CN"/>
        </w:rPr>
        <w:t>登记</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获取</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文件的供应商同意并书面确认后</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可以电子邮件或传真形式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，可不改变截止时间。</w:t>
      </w:r>
    </w:p>
    <w:p>
      <w:pPr>
        <w:spacing w:line="360" w:lineRule="auto"/>
        <w:ind w:left="735" w:hanging="735" w:hangingChars="3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eastAsia="zh-CN"/>
        </w:rPr>
        <w:t>登记</w:t>
      </w:r>
      <w:r>
        <w:rPr>
          <w:rFonts w:hint="eastAsia" w:ascii="宋体" w:hAnsi="宋体" w:eastAsia="宋体" w:cs="宋体"/>
          <w:bCs/>
          <w:color w:val="auto"/>
          <w:szCs w:val="21"/>
          <w:highlight w:val="none"/>
        </w:rPr>
        <w:t>及</w:t>
      </w:r>
      <w:r>
        <w:rPr>
          <w:rFonts w:hint="eastAsia" w:ascii="宋体" w:hAnsi="宋体" w:eastAsia="宋体" w:cs="宋体"/>
          <w:bCs/>
          <w:color w:val="auto"/>
          <w:szCs w:val="21"/>
          <w:highlight w:val="none"/>
          <w:lang w:eastAsia="zh-CN"/>
        </w:rPr>
        <w:t>获取</w:t>
      </w:r>
      <w:r>
        <w:rPr>
          <w:rFonts w:hint="eastAsia" w:ascii="宋体" w:hAnsi="宋体" w:eastAsia="宋体" w:cs="宋体"/>
          <w:bCs/>
          <w:color w:val="auto"/>
          <w:szCs w:val="21"/>
          <w:highlight w:val="none"/>
          <w:lang w:val="en-US" w:eastAsia="zh-CN"/>
        </w:rPr>
        <w:t>磋商</w:t>
      </w:r>
      <w:r>
        <w:rPr>
          <w:rFonts w:hint="eastAsia" w:ascii="宋体" w:hAnsi="宋体" w:eastAsia="宋体" w:cs="宋体"/>
          <w:bCs/>
          <w:color w:val="auto"/>
          <w:szCs w:val="21"/>
          <w:highlight w:val="none"/>
        </w:rPr>
        <w:t>文件的供应商在收到澄清</w:t>
      </w:r>
      <w:r>
        <w:rPr>
          <w:rFonts w:hint="eastAsia" w:ascii="宋体" w:hAnsi="宋体" w:eastAsia="宋体" w:cs="宋体"/>
          <w:bCs/>
          <w:color w:val="auto"/>
          <w:szCs w:val="21"/>
          <w:highlight w:val="none"/>
          <w:lang w:val="en-US" w:eastAsia="zh-CN"/>
        </w:rPr>
        <w:t>或修改</w:t>
      </w:r>
      <w:r>
        <w:rPr>
          <w:rFonts w:hint="eastAsia" w:ascii="宋体" w:hAnsi="宋体" w:eastAsia="宋体" w:cs="宋体"/>
          <w:bCs/>
          <w:color w:val="auto"/>
          <w:szCs w:val="21"/>
          <w:highlight w:val="none"/>
        </w:rPr>
        <w:t>通知后应按要求以书面形式</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可以电子邮件或传真形式</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予以确认，该澄清</w:t>
      </w:r>
      <w:r>
        <w:rPr>
          <w:rFonts w:hint="eastAsia" w:ascii="宋体" w:hAnsi="宋体" w:eastAsia="宋体" w:cs="宋体"/>
          <w:bCs/>
          <w:color w:val="auto"/>
          <w:szCs w:val="21"/>
          <w:highlight w:val="none"/>
          <w:lang w:val="en-US" w:eastAsia="zh-CN"/>
        </w:rPr>
        <w:t>或修改</w:t>
      </w:r>
      <w:r>
        <w:rPr>
          <w:rFonts w:hint="eastAsia" w:ascii="宋体" w:hAnsi="宋体" w:eastAsia="宋体" w:cs="宋体"/>
          <w:bCs/>
          <w:color w:val="auto"/>
          <w:szCs w:val="21"/>
          <w:highlight w:val="none"/>
        </w:rPr>
        <w:t>的内容为</w:t>
      </w:r>
      <w:r>
        <w:rPr>
          <w:rFonts w:hint="eastAsia" w:ascii="宋体" w:hAnsi="宋体" w:eastAsia="宋体" w:cs="宋体"/>
          <w:bCs/>
          <w:color w:val="auto"/>
          <w:szCs w:val="21"/>
          <w:highlight w:val="none"/>
          <w:lang w:val="en-US" w:eastAsia="zh-CN"/>
        </w:rPr>
        <w:t>磋商</w:t>
      </w:r>
      <w:r>
        <w:rPr>
          <w:rFonts w:hint="eastAsia" w:ascii="宋体" w:hAnsi="宋体" w:eastAsia="宋体" w:cs="宋体"/>
          <w:bCs/>
          <w:color w:val="auto"/>
          <w:szCs w:val="21"/>
          <w:highlight w:val="none"/>
        </w:rPr>
        <w:t>文件的组成部分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在</w:t>
      </w:r>
      <w:r>
        <w:rPr>
          <w:rFonts w:hint="eastAsia" w:ascii="宋体" w:hAnsi="宋体" w:eastAsia="宋体" w:cs="宋体"/>
          <w:bCs/>
          <w:color w:val="auto"/>
          <w:szCs w:val="21"/>
          <w:highlight w:val="none"/>
          <w:lang w:val="en-US" w:eastAsia="zh-CN"/>
        </w:rPr>
        <w:t>提交首次响应文件</w:t>
      </w:r>
      <w:r>
        <w:rPr>
          <w:rFonts w:hint="eastAsia" w:ascii="宋体" w:hAnsi="宋体" w:eastAsia="宋体" w:cs="宋体"/>
          <w:bCs/>
          <w:color w:val="auto"/>
          <w:szCs w:val="21"/>
          <w:highlight w:val="none"/>
        </w:rPr>
        <w:t>截止时间前不予书面确认的，视为已收到通知</w:t>
      </w:r>
      <w:r>
        <w:rPr>
          <w:rFonts w:hint="eastAsia" w:ascii="宋体" w:hAnsi="宋体" w:eastAsia="宋体" w:cs="宋体"/>
          <w:bCs/>
          <w:color w:val="auto"/>
          <w:szCs w:val="21"/>
          <w:highlight w:val="none"/>
          <w:lang w:val="en-US" w:eastAsia="zh-CN"/>
        </w:rPr>
        <w:t>且对内容无异议</w:t>
      </w:r>
      <w:r>
        <w:rPr>
          <w:rFonts w:hint="eastAsia" w:ascii="宋体" w:hAnsi="宋体" w:eastAsia="宋体" w:cs="宋体"/>
          <w:bCs/>
          <w:color w:val="auto"/>
          <w:szCs w:val="21"/>
          <w:highlight w:val="none"/>
        </w:rPr>
        <w:t>。</w:t>
      </w:r>
    </w:p>
    <w:p>
      <w:pPr>
        <w:tabs>
          <w:tab w:val="left" w:pos="720"/>
          <w:tab w:val="left" w:pos="1050"/>
          <w:tab w:val="left" w:pos="1155"/>
        </w:tabs>
        <w:spacing w:line="360" w:lineRule="auto"/>
        <w:ind w:left="735" w:hanging="735" w:hangingChars="3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采购</w:t>
      </w:r>
      <w:r>
        <w:rPr>
          <w:rFonts w:hint="eastAsia" w:ascii="宋体" w:hAnsi="宋体" w:eastAsia="宋体" w:cs="宋体"/>
          <w:bCs/>
          <w:color w:val="auto"/>
          <w:szCs w:val="21"/>
          <w:highlight w:val="none"/>
        </w:rPr>
        <w:t>过程中的一切修改文件或补充文件一旦确认后与</w:t>
      </w:r>
      <w:r>
        <w:rPr>
          <w:rFonts w:hint="eastAsia" w:ascii="宋体" w:hAnsi="宋体" w:eastAsia="宋体" w:cs="宋体"/>
          <w:bCs/>
          <w:color w:val="auto"/>
          <w:szCs w:val="21"/>
          <w:highlight w:val="none"/>
          <w:lang w:val="en-US" w:eastAsia="zh-CN"/>
        </w:rPr>
        <w:t>磋商</w:t>
      </w:r>
      <w:r>
        <w:rPr>
          <w:rFonts w:hint="eastAsia" w:ascii="宋体" w:hAnsi="宋体" w:eastAsia="宋体" w:cs="宋体"/>
          <w:bCs/>
          <w:color w:val="auto"/>
          <w:szCs w:val="21"/>
          <w:highlight w:val="none"/>
        </w:rPr>
        <w:t>文件具有同等法律效力，</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有责任履行相应的义务。</w:t>
      </w:r>
    </w:p>
    <w:p>
      <w:pPr>
        <w:spacing w:line="360" w:lineRule="auto"/>
        <w:ind w:left="735" w:hanging="735" w:hangingChars="35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在规定的时间内未对</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文件提出</w:t>
      </w:r>
      <w:r>
        <w:rPr>
          <w:rFonts w:hint="eastAsia" w:ascii="宋体" w:hAnsi="宋体" w:eastAsia="宋体" w:cs="宋体"/>
          <w:color w:val="auto"/>
          <w:szCs w:val="21"/>
          <w:highlight w:val="none"/>
          <w:lang w:val="en-US" w:eastAsia="zh-CN"/>
        </w:rPr>
        <w:t>询问</w:t>
      </w:r>
      <w:r>
        <w:rPr>
          <w:rFonts w:hint="eastAsia" w:ascii="宋体" w:hAnsi="宋体" w:eastAsia="宋体" w:cs="宋体"/>
          <w:color w:val="auto"/>
          <w:szCs w:val="21"/>
          <w:highlight w:val="none"/>
        </w:rPr>
        <w:t>、质疑的，将视其为无异议。对</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文件中描述有歧义或前后不一致的地方，</w:t>
      </w:r>
      <w:r>
        <w:rPr>
          <w:rFonts w:hint="eastAsia" w:ascii="宋体" w:hAnsi="宋体" w:eastAsia="宋体" w:cs="宋体"/>
          <w:color w:val="auto"/>
          <w:szCs w:val="21"/>
          <w:highlight w:val="none"/>
          <w:lang w:val="en-US" w:eastAsia="zh-CN"/>
        </w:rPr>
        <w:t>磋商小组</w:t>
      </w:r>
      <w:r>
        <w:rPr>
          <w:rFonts w:hint="eastAsia" w:ascii="宋体" w:hAnsi="宋体" w:eastAsia="宋体" w:cs="宋体"/>
          <w:color w:val="auto"/>
          <w:szCs w:val="21"/>
          <w:highlight w:val="none"/>
        </w:rPr>
        <w:t>有权进行评判，但对同一条款的评判应适用于每个</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w:t>
      </w:r>
    </w:p>
    <w:p>
      <w:pPr>
        <w:pStyle w:val="4"/>
        <w:numPr>
          <w:ilvl w:val="0"/>
          <w:numId w:val="2"/>
        </w:numPr>
        <w:autoSpaceDE/>
        <w:autoSpaceDN/>
        <w:adjustRightInd/>
        <w:snapToGrid/>
        <w:spacing w:before="2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报价总则</w:t>
      </w:r>
      <w:bookmarkEnd w:id="21"/>
      <w:bookmarkEnd w:id="22"/>
      <w:bookmarkEnd w:id="23"/>
      <w:bookmarkEnd w:id="24"/>
      <w:bookmarkEnd w:id="25"/>
      <w:bookmarkEnd w:id="26"/>
      <w:bookmarkEnd w:id="27"/>
    </w:p>
    <w:p>
      <w:pPr>
        <w:numPr>
          <w:ilvl w:val="1"/>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的编写</w:t>
      </w:r>
    </w:p>
    <w:p>
      <w:pPr>
        <w:numPr>
          <w:ilvl w:val="2"/>
          <w:numId w:val="2"/>
        </w:numPr>
        <w:tabs>
          <w:tab w:val="left" w:pos="720"/>
        </w:tabs>
        <w:spacing w:line="360" w:lineRule="auto"/>
        <w:ind w:left="720" w:hanging="7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应仔细阅读磋商文件的所有内容，按磋商文件的要求制作并递交</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，并保证所提供的全部资料的真实性、准确性，以确保其对磋商文件做出实质性响应；否则，将拒绝其报价。</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若提供不真实的材料，无论其材料是否重要，都将有可能直接导致报价无效，并承担由此产生的法律责任。</w:t>
      </w:r>
    </w:p>
    <w:p>
      <w:pPr>
        <w:numPr>
          <w:ilvl w:val="2"/>
          <w:numId w:val="2"/>
        </w:numPr>
        <w:tabs>
          <w:tab w:val="left" w:pos="720"/>
        </w:tabs>
        <w:spacing w:line="360" w:lineRule="auto"/>
        <w:ind w:left="720" w:hanging="7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语言和计量单位：</w:t>
      </w:r>
      <w:r>
        <w:rPr>
          <w:rFonts w:hint="eastAsia" w:ascii="宋体" w:hAnsi="宋体" w:eastAsia="宋体" w:cs="宋体"/>
          <w:bCs/>
          <w:color w:val="auto"/>
          <w:szCs w:val="21"/>
          <w:highlight w:val="none"/>
          <w:lang w:eastAsia="zh-CN"/>
        </w:rPr>
        <w:t>响应文件</w:t>
      </w:r>
      <w:r>
        <w:rPr>
          <w:rFonts w:hint="eastAsia" w:ascii="宋体" w:hAnsi="宋体" w:eastAsia="宋体" w:cs="宋体"/>
          <w:bCs/>
          <w:color w:val="auto"/>
          <w:szCs w:val="21"/>
          <w:highlight w:val="none"/>
        </w:rPr>
        <w:t>和来往函件应用简体中文书写，</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提供的支持文件、技术资料和印刷的文献可以用其他语言，但相应内容应附有中文翻译文本（经公证处公证），对不同文字文本</w:t>
      </w:r>
      <w:r>
        <w:rPr>
          <w:rFonts w:hint="eastAsia" w:ascii="宋体" w:hAnsi="宋体" w:eastAsia="宋体" w:cs="宋体"/>
          <w:bCs/>
          <w:color w:val="auto"/>
          <w:szCs w:val="21"/>
          <w:highlight w:val="none"/>
          <w:lang w:eastAsia="zh-CN"/>
        </w:rPr>
        <w:t>响应文件</w:t>
      </w:r>
      <w:r>
        <w:rPr>
          <w:rFonts w:hint="eastAsia" w:ascii="宋体" w:hAnsi="宋体" w:eastAsia="宋体" w:cs="宋体"/>
          <w:bCs/>
          <w:color w:val="auto"/>
          <w:szCs w:val="21"/>
          <w:highlight w:val="none"/>
        </w:rPr>
        <w:t>的解释发生异议的，以中文文本为准。计量单位应使用国际公制单位</w:t>
      </w:r>
      <w:r>
        <w:rPr>
          <w:rFonts w:hint="eastAsia" w:ascii="宋体" w:hAnsi="宋体" w:eastAsia="宋体" w:cs="宋体"/>
          <w:bCs/>
          <w:color w:val="auto"/>
          <w:szCs w:val="21"/>
          <w:highlight w:val="none"/>
          <w:lang w:val="en-US" w:eastAsia="zh-CN"/>
        </w:rPr>
        <w:t>制</w:t>
      </w:r>
      <w:r>
        <w:rPr>
          <w:rFonts w:hint="eastAsia" w:ascii="宋体" w:hAnsi="宋体" w:eastAsia="宋体" w:cs="宋体"/>
          <w:color w:val="auto"/>
          <w:szCs w:val="21"/>
          <w:highlight w:val="none"/>
        </w:rPr>
        <w:t>。</w:t>
      </w:r>
    </w:p>
    <w:p>
      <w:pPr>
        <w:numPr>
          <w:ilvl w:val="2"/>
          <w:numId w:val="2"/>
        </w:numPr>
        <w:tabs>
          <w:tab w:val="left" w:pos="720"/>
        </w:tabs>
        <w:spacing w:line="360" w:lineRule="auto"/>
        <w:ind w:left="720" w:hanging="72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应用人民币报价。</w:t>
      </w:r>
      <w:r>
        <w:rPr>
          <w:rFonts w:hint="eastAsia" w:ascii="宋体" w:hAnsi="宋体" w:eastAsia="宋体" w:cs="宋体"/>
          <w:bCs/>
          <w:color w:val="auto"/>
          <w:szCs w:val="21"/>
          <w:highlight w:val="none"/>
          <w:lang w:eastAsia="zh-CN"/>
        </w:rPr>
        <w:t>响应文件</w:t>
      </w:r>
      <w:r>
        <w:rPr>
          <w:rFonts w:hint="eastAsia" w:ascii="宋体" w:hAnsi="宋体" w:eastAsia="宋体" w:cs="宋体"/>
          <w:bCs/>
          <w:color w:val="auto"/>
          <w:szCs w:val="21"/>
          <w:highlight w:val="none"/>
        </w:rPr>
        <w:t>的大写金额和小写金额不一致的，以大写金额为准；总价金额与按单价汇总金额不一致的，以单价金额计算结果为准；单价金额小数点有明显错位的，应以总价为准，并修改单价。</w:t>
      </w:r>
    </w:p>
    <w:p>
      <w:pPr>
        <w:numPr>
          <w:ilvl w:val="2"/>
          <w:numId w:val="2"/>
        </w:numPr>
        <w:tabs>
          <w:tab w:val="left" w:pos="720"/>
        </w:tabs>
        <w:spacing w:line="360" w:lineRule="auto"/>
        <w:ind w:left="720" w:hanging="72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本项目要求</w:t>
      </w:r>
      <w:r>
        <w:rPr>
          <w:rFonts w:hint="eastAsia" w:ascii="宋体" w:hAnsi="宋体" w:eastAsia="宋体" w:cs="宋体"/>
          <w:bCs/>
          <w:color w:val="auto"/>
          <w:szCs w:val="21"/>
          <w:highlight w:val="none"/>
          <w:lang w:val="en-US" w:eastAsia="zh-CN"/>
        </w:rPr>
        <w:t>总</w:t>
      </w:r>
      <w:r>
        <w:rPr>
          <w:rFonts w:hint="eastAsia" w:ascii="宋体" w:hAnsi="宋体" w:eastAsia="宋体" w:cs="宋体"/>
          <w:bCs/>
          <w:color w:val="auto"/>
          <w:szCs w:val="21"/>
          <w:highlight w:val="none"/>
        </w:rPr>
        <w:t>报价应包括</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提供本项目要求服务时所需人员、设备、货物、产品、采购、运输、安装、调试、相关部门验收等所有费用，以及</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认为必要的其他人员、设备、货物、产品、材料、安装、服务；</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应自行增加能满足所承诺达到的服务质量所必需但</w:t>
      </w:r>
      <w:r>
        <w:rPr>
          <w:rFonts w:hint="eastAsia" w:ascii="宋体" w:hAnsi="宋体" w:eastAsia="宋体" w:cs="宋体"/>
          <w:bCs/>
          <w:color w:val="auto"/>
          <w:szCs w:val="21"/>
          <w:highlight w:val="none"/>
          <w:lang w:val="en-US" w:eastAsia="zh-CN"/>
        </w:rPr>
        <w:t>谈判</w:t>
      </w:r>
      <w:r>
        <w:rPr>
          <w:rFonts w:hint="eastAsia" w:ascii="宋体" w:hAnsi="宋体" w:eastAsia="宋体" w:cs="宋体"/>
          <w:bCs/>
          <w:color w:val="auto"/>
          <w:szCs w:val="21"/>
          <w:highlight w:val="none"/>
        </w:rPr>
        <w:t>文件没有包含的所有人员、货物、版权、专利等一切费用，如果</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在</w:t>
      </w:r>
      <w:r>
        <w:rPr>
          <w:rFonts w:hint="eastAsia" w:ascii="宋体" w:hAnsi="宋体" w:eastAsia="宋体" w:cs="宋体"/>
          <w:bCs/>
          <w:color w:val="auto"/>
          <w:szCs w:val="21"/>
          <w:highlight w:val="none"/>
          <w:lang w:val="en-US" w:eastAsia="zh-CN"/>
        </w:rPr>
        <w:t>成交</w:t>
      </w:r>
      <w:r>
        <w:rPr>
          <w:rFonts w:hint="eastAsia" w:ascii="宋体" w:hAnsi="宋体" w:eastAsia="宋体" w:cs="宋体"/>
          <w:bCs/>
          <w:color w:val="auto"/>
          <w:szCs w:val="21"/>
          <w:highlight w:val="none"/>
        </w:rPr>
        <w:t>并签署合同后，在人员、供货、安装、调试、培训等工作中出现任何遗漏，均由</w:t>
      </w:r>
      <w:r>
        <w:rPr>
          <w:rFonts w:hint="eastAsia" w:ascii="宋体" w:hAnsi="宋体" w:eastAsia="宋体" w:cs="宋体"/>
          <w:bCs/>
          <w:color w:val="auto"/>
          <w:szCs w:val="21"/>
          <w:highlight w:val="none"/>
          <w:lang w:val="en-US" w:eastAsia="zh-CN"/>
        </w:rPr>
        <w:t>成交供应商</w:t>
      </w:r>
      <w:r>
        <w:rPr>
          <w:rFonts w:hint="eastAsia" w:ascii="宋体" w:hAnsi="宋体" w:eastAsia="宋体" w:cs="宋体"/>
          <w:bCs/>
          <w:color w:val="auto"/>
          <w:szCs w:val="21"/>
          <w:highlight w:val="none"/>
        </w:rPr>
        <w:t>免费提供，采购人将不再支付任何费用。</w:t>
      </w:r>
    </w:p>
    <w:p>
      <w:pPr>
        <w:numPr>
          <w:ilvl w:val="2"/>
          <w:numId w:val="2"/>
        </w:numPr>
        <w:tabs>
          <w:tab w:val="left" w:pos="720"/>
        </w:tabs>
        <w:spacing w:line="360" w:lineRule="auto"/>
        <w:ind w:left="720" w:hanging="7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在编写</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时，应填写磋商文件要求的内容及其附件，并根据实际情况补充评审所需资料，</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lang w:eastAsia="zh-TW"/>
        </w:rPr>
        <w:t>只填写和提供了</w:t>
      </w:r>
      <w:r>
        <w:rPr>
          <w:rFonts w:hint="eastAsia" w:ascii="宋体" w:hAnsi="宋体" w:eastAsia="宋体" w:cs="宋体"/>
          <w:color w:val="auto"/>
          <w:szCs w:val="21"/>
          <w:highlight w:val="none"/>
        </w:rPr>
        <w:t>磋商</w:t>
      </w:r>
      <w:r>
        <w:rPr>
          <w:rFonts w:hint="eastAsia" w:ascii="宋体" w:hAnsi="宋体" w:eastAsia="宋体" w:cs="宋体"/>
          <w:color w:val="auto"/>
          <w:szCs w:val="21"/>
          <w:highlight w:val="none"/>
          <w:lang w:eastAsia="zh-TW"/>
        </w:rPr>
        <w:t>文件要求的部分内容和附件，或没有提供</w:t>
      </w:r>
      <w:r>
        <w:rPr>
          <w:rFonts w:hint="eastAsia" w:ascii="宋体" w:hAnsi="宋体" w:eastAsia="宋体" w:cs="宋体"/>
          <w:color w:val="auto"/>
          <w:szCs w:val="21"/>
          <w:highlight w:val="none"/>
        </w:rPr>
        <w:t>磋商</w:t>
      </w:r>
      <w:r>
        <w:rPr>
          <w:rFonts w:hint="eastAsia" w:ascii="宋体" w:hAnsi="宋体" w:eastAsia="宋体" w:cs="宋体"/>
          <w:color w:val="auto"/>
          <w:szCs w:val="21"/>
          <w:highlight w:val="none"/>
          <w:lang w:eastAsia="zh-TW"/>
        </w:rPr>
        <w:t>文件中所要求的全部资料及数据，</w:t>
      </w:r>
      <w:r>
        <w:rPr>
          <w:rFonts w:hint="eastAsia" w:ascii="宋体" w:hAnsi="宋体" w:eastAsia="宋体" w:cs="宋体"/>
          <w:color w:val="auto"/>
          <w:szCs w:val="21"/>
          <w:highlight w:val="none"/>
        </w:rPr>
        <w:t>或没有按实际情况提供报价所需资料的，</w:t>
      </w:r>
      <w:r>
        <w:rPr>
          <w:rFonts w:hint="eastAsia" w:ascii="宋体" w:hAnsi="宋体" w:eastAsia="宋体" w:cs="宋体"/>
          <w:color w:val="auto"/>
          <w:szCs w:val="21"/>
          <w:highlight w:val="none"/>
          <w:lang w:eastAsia="zh-TW"/>
        </w:rPr>
        <w:t>其可能导致的结果和责任由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lang w:eastAsia="zh-TW"/>
        </w:rPr>
        <w:t>自行承担。</w:t>
      </w:r>
    </w:p>
    <w:p>
      <w:pPr>
        <w:numPr>
          <w:ilvl w:val="2"/>
          <w:numId w:val="2"/>
        </w:numPr>
        <w:tabs>
          <w:tab w:val="left" w:pos="720"/>
        </w:tabs>
        <w:spacing w:line="360" w:lineRule="auto"/>
        <w:ind w:left="720" w:hanging="7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的报价明显低于其他报价，使得其报价可能低于其个别成本的，有可能影响商品质量和不能诚信履约的，应当要求该</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作出书面说明并提供相关证明材料。</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不能合理说明或者不能提供相关证明材料的，由磋商小组认定该</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以低于成本报价，其报价应作无效报价处理。</w:t>
      </w:r>
    </w:p>
    <w:p>
      <w:pPr>
        <w:numPr>
          <w:ilvl w:val="2"/>
          <w:numId w:val="2"/>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采购代理机构不接受电报、电话、电传、传真等非约定形式报价。</w:t>
      </w:r>
    </w:p>
    <w:p>
      <w:pPr>
        <w:numPr>
          <w:ilvl w:val="1"/>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响应文件</w:t>
      </w:r>
      <w:r>
        <w:rPr>
          <w:rFonts w:hint="eastAsia" w:ascii="宋体" w:hAnsi="宋体" w:eastAsia="宋体" w:cs="宋体"/>
          <w:b/>
          <w:bCs/>
          <w:color w:val="auto"/>
          <w:szCs w:val="21"/>
          <w:highlight w:val="none"/>
        </w:rPr>
        <w:t>的构成</w:t>
      </w:r>
    </w:p>
    <w:p>
      <w:pPr>
        <w:tabs>
          <w:tab w:val="left" w:pos="840"/>
          <w:tab w:val="left" w:pos="1050"/>
          <w:tab w:val="left" w:pos="1155"/>
        </w:tabs>
        <w:spacing w:line="360" w:lineRule="auto"/>
        <w:ind w:left="1" w:firstLine="550" w:firstLineChars="262"/>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编写的</w:t>
      </w:r>
      <w:r>
        <w:rPr>
          <w:rFonts w:hint="eastAsia" w:ascii="宋体" w:hAnsi="宋体" w:eastAsia="宋体" w:cs="宋体"/>
          <w:bCs/>
          <w:color w:val="auto"/>
          <w:szCs w:val="21"/>
          <w:highlight w:val="none"/>
          <w:lang w:eastAsia="zh-CN"/>
        </w:rPr>
        <w:t>响应文件</w:t>
      </w:r>
      <w:r>
        <w:rPr>
          <w:rFonts w:hint="eastAsia" w:ascii="宋体" w:hAnsi="宋体" w:eastAsia="宋体" w:cs="宋体"/>
          <w:bCs/>
          <w:color w:val="auto"/>
          <w:szCs w:val="21"/>
          <w:highlight w:val="none"/>
        </w:rPr>
        <w:t>格式详见</w:t>
      </w:r>
      <w:r>
        <w:rPr>
          <w:rFonts w:hint="eastAsia" w:ascii="宋体" w:hAnsi="宋体" w:eastAsia="宋体" w:cs="宋体"/>
          <w:bCs/>
          <w:color w:val="auto"/>
          <w:szCs w:val="21"/>
          <w:highlight w:val="none"/>
          <w:lang w:eastAsia="zh-CN"/>
        </w:rPr>
        <w:t>响应文件</w:t>
      </w:r>
      <w:r>
        <w:rPr>
          <w:rFonts w:hint="eastAsia" w:ascii="宋体" w:hAnsi="宋体" w:eastAsia="宋体" w:cs="宋体"/>
          <w:bCs/>
          <w:color w:val="auto"/>
          <w:szCs w:val="21"/>
          <w:highlight w:val="none"/>
        </w:rPr>
        <w:t>目录表。</w:t>
      </w:r>
    </w:p>
    <w:p>
      <w:pPr>
        <w:numPr>
          <w:ilvl w:val="2"/>
          <w:numId w:val="2"/>
        </w:numPr>
        <w:tabs>
          <w:tab w:val="left" w:pos="720"/>
        </w:tabs>
        <w:spacing w:line="360" w:lineRule="auto"/>
        <w:ind w:left="720" w:hanging="72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应按照磋商文件的要求编制带有目录和页码并装订成册的</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w:t>
      </w:r>
    </w:p>
    <w:p>
      <w:pPr>
        <w:numPr>
          <w:ilvl w:val="2"/>
          <w:numId w:val="2"/>
        </w:numPr>
        <w:tabs>
          <w:tab w:val="left" w:pos="720"/>
        </w:tabs>
        <w:spacing w:line="360" w:lineRule="auto"/>
        <w:ind w:left="720" w:hanging="7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必须自行承担因其</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的任何错漏而导致的一切后果。</w:t>
      </w:r>
    </w:p>
    <w:p>
      <w:pPr>
        <w:numPr>
          <w:ilvl w:val="1"/>
          <w:numId w:val="2"/>
        </w:numPr>
        <w:tabs>
          <w:tab w:val="left" w:pos="735"/>
        </w:tabs>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报价的修改及撤回</w:t>
      </w:r>
    </w:p>
    <w:p>
      <w:pPr>
        <w:numPr>
          <w:ilvl w:val="2"/>
          <w:numId w:val="2"/>
        </w:numPr>
        <w:spacing w:line="360" w:lineRule="auto"/>
        <w:ind w:left="735" w:hanging="735" w:hanging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在报价截止时间前，</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可以以书面通知的形式向采购代理机构修改或撤回其</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。修改后的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须按照本项目规定的报价截止时间之前重新递交，否则，采购代理机构将拒绝接受修改后的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w:t>
      </w:r>
    </w:p>
    <w:p>
      <w:pPr>
        <w:numPr>
          <w:ilvl w:val="2"/>
          <w:numId w:val="2"/>
        </w:numPr>
        <w:tabs>
          <w:tab w:val="left" w:pos="720"/>
        </w:tabs>
        <w:spacing w:line="360" w:lineRule="auto"/>
        <w:ind w:left="735" w:hanging="735" w:hanging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在报价截止时间后，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不得对其</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作任何修改。从报价截止时间至报价有效期满之前，</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不允许撤回其</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w:t>
      </w:r>
    </w:p>
    <w:p>
      <w:pPr>
        <w:pStyle w:val="4"/>
        <w:numPr>
          <w:ilvl w:val="0"/>
          <w:numId w:val="2"/>
        </w:numPr>
        <w:autoSpaceDE/>
        <w:autoSpaceDN/>
        <w:adjustRightInd/>
        <w:snapToGrid/>
        <w:spacing w:before="2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4.1.报价</w:t>
      </w:r>
    </w:p>
    <w:p>
      <w:pPr>
        <w:numPr>
          <w:ilvl w:val="2"/>
          <w:numId w:val="2"/>
        </w:numPr>
        <w:tabs>
          <w:tab w:val="left" w:pos="735"/>
        </w:tabs>
        <w:spacing w:line="360" w:lineRule="auto"/>
        <w:ind w:left="735" w:hanging="735" w:hanging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全部</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应一式三份，正本一份，副本二份，副本可由正本复印而成；</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电子版1份，光盘或U盘介质，WORD或EXCEL格式，不留密码，无病毒，内容应与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打印产生的纸质</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内容一致，如有不同，以纸质</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为准。除特别注明外，</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应提交纸质文件。如果正本与副本不符，应以正本为准。</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应由</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的合法授权代表正式签署，如有任何更改应由原签署人签字。无论报价结果如何，</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的全部</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均不退回。另按要求单独提交一个“报价信封”。</w:t>
      </w:r>
    </w:p>
    <w:p>
      <w:pPr>
        <w:numPr>
          <w:ilvl w:val="2"/>
          <w:numId w:val="2"/>
        </w:numPr>
        <w:tabs>
          <w:tab w:val="left" w:pos="720"/>
        </w:tabs>
        <w:spacing w:line="360" w:lineRule="auto"/>
        <w:ind w:left="720" w:hanging="72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应对报价项目提供完整的详细的实施方案。</w:t>
      </w:r>
    </w:p>
    <w:p>
      <w:pPr>
        <w:numPr>
          <w:ilvl w:val="2"/>
          <w:numId w:val="2"/>
        </w:numPr>
        <w:tabs>
          <w:tab w:val="left" w:pos="720"/>
        </w:tabs>
        <w:spacing w:line="360" w:lineRule="auto"/>
        <w:ind w:left="735" w:hanging="735" w:hanging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应在报价截止时间前送达磋商文件指定地点，交予采购代理机构专职负责人,任何迟于这个时间的报价将被拒绝。</w:t>
      </w:r>
    </w:p>
    <w:p>
      <w:pPr>
        <w:numPr>
          <w:ilvl w:val="2"/>
          <w:numId w:val="2"/>
        </w:numPr>
        <w:tabs>
          <w:tab w:val="left" w:pos="720"/>
        </w:tabs>
        <w:spacing w:line="360" w:lineRule="auto"/>
        <w:ind w:left="735" w:hanging="735" w:hangingChars="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必须封入密封的信封或包装，在封口上加盖报价单位公章，并在每一信封或包装的封面上写明：</w:t>
      </w:r>
    </w:p>
    <w:tbl>
      <w:tblPr>
        <w:tblStyle w:val="39"/>
        <w:tblW w:w="75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540" w:type="dxa"/>
          </w:tcPr>
          <w:p>
            <w:pPr>
              <w:spacing w:line="360" w:lineRule="auto"/>
              <w:ind w:left="255"/>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（正本/副本/报价信封）</w:t>
            </w:r>
          </w:p>
          <w:p>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收件人名称：广州群生招标代理有限公司</w:t>
            </w:r>
          </w:p>
          <w:p>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项目编号：                      项目名称：            </w:t>
            </w:r>
          </w:p>
          <w:p>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 xml:space="preserve">名称：                    </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地址：</w:t>
            </w:r>
          </w:p>
          <w:p>
            <w:pPr>
              <w:spacing w:line="360" w:lineRule="auto"/>
              <w:ind w:left="43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                        联系电话：</w:t>
            </w:r>
          </w:p>
        </w:tc>
      </w:tr>
    </w:tbl>
    <w:p>
      <w:pPr>
        <w:numPr>
          <w:ilvl w:val="2"/>
          <w:numId w:val="2"/>
        </w:numPr>
        <w:tabs>
          <w:tab w:val="left" w:pos="720"/>
        </w:tabs>
        <w:spacing w:line="360" w:lineRule="auto"/>
        <w:ind w:left="720" w:hanging="72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采购代理机构不接受电报、电话、电传、传真、邮寄报价。</w:t>
      </w:r>
    </w:p>
    <w:p>
      <w:pPr>
        <w:numPr>
          <w:ilvl w:val="1"/>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报价有效期</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从报价截止日起，报价有效期为90天。在特殊情况下，采购代理机构可于报价有效期满之前要求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同意延长有效期，要求与答复均应以书面形式。同意延期的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根据原截止期所享有的权利及其所负有的义务相应也延至新的截止期。</w:t>
      </w:r>
    </w:p>
    <w:p>
      <w:pPr>
        <w:numPr>
          <w:ilvl w:val="1"/>
          <w:numId w:val="2"/>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保证金</w:t>
      </w:r>
    </w:p>
    <w:p>
      <w:pPr>
        <w:numPr>
          <w:ilvl w:val="0"/>
          <w:numId w:val="0"/>
        </w:numPr>
        <w:tabs>
          <w:tab w:val="left" w:pos="720"/>
        </w:tabs>
        <w:spacing w:line="360" w:lineRule="auto"/>
        <w:ind w:leftChars="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lang w:val="en-US" w:eastAsia="zh-CN"/>
        </w:rPr>
        <w:t>本项目无需提供保证金</w:t>
      </w:r>
    </w:p>
    <w:p>
      <w:pPr>
        <w:pStyle w:val="4"/>
        <w:numPr>
          <w:ilvl w:val="0"/>
          <w:numId w:val="2"/>
        </w:numPr>
        <w:autoSpaceDE/>
        <w:autoSpaceDN/>
        <w:adjustRightInd/>
        <w:snapToGrid/>
        <w:spacing w:before="26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磋商、成交与签约</w:t>
      </w:r>
    </w:p>
    <w:p>
      <w:pPr>
        <w:tabs>
          <w:tab w:val="left" w:pos="624"/>
          <w:tab w:val="left" w:pos="7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详见《第五章 磋商细则》</w:t>
      </w:r>
    </w:p>
    <w:p>
      <w:pPr>
        <w:pStyle w:val="4"/>
        <w:numPr>
          <w:ilvl w:val="0"/>
          <w:numId w:val="2"/>
        </w:numPr>
        <w:autoSpaceDE/>
        <w:autoSpaceDN/>
        <w:adjustRightInd/>
        <w:snapToGrid/>
        <w:spacing w:before="260"/>
        <w:textAlignment w:val="auto"/>
        <w:rPr>
          <w:rFonts w:hint="eastAsia" w:ascii="宋体" w:hAnsi="宋体" w:eastAsia="宋体" w:cs="宋体"/>
          <w:color w:val="auto"/>
          <w:sz w:val="21"/>
          <w:szCs w:val="21"/>
          <w:highlight w:val="none"/>
        </w:rPr>
      </w:pPr>
      <w:bookmarkStart w:id="28" w:name="_Toc56938702"/>
      <w:bookmarkStart w:id="29" w:name="_Toc56855654"/>
      <w:bookmarkStart w:id="30" w:name="_Toc56855622"/>
      <w:bookmarkStart w:id="31" w:name="_Toc27840476"/>
      <w:r>
        <w:rPr>
          <w:rFonts w:hint="eastAsia" w:ascii="宋体" w:hAnsi="宋体" w:eastAsia="宋体" w:cs="宋体"/>
          <w:color w:val="auto"/>
          <w:sz w:val="21"/>
          <w:szCs w:val="21"/>
          <w:highlight w:val="none"/>
        </w:rPr>
        <w:t>采购代理服务费</w:t>
      </w:r>
      <w:bookmarkEnd w:id="28"/>
      <w:bookmarkEnd w:id="29"/>
      <w:bookmarkEnd w:id="30"/>
    </w:p>
    <w:p>
      <w:pPr>
        <w:spacing w:before="50" w:after="5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在领取《成交通知书》之前须向采购代理机构交纳的服务费，收费标准</w:t>
      </w:r>
      <w:r>
        <w:rPr>
          <w:rFonts w:hint="eastAsia" w:ascii="宋体" w:hAnsi="宋体" w:eastAsia="宋体" w:cs="宋体"/>
          <w:color w:val="auto"/>
          <w:szCs w:val="21"/>
          <w:highlight w:val="none"/>
          <w:lang w:eastAsia="zh-CN"/>
        </w:rPr>
        <w:t>参照</w:t>
      </w:r>
      <w:r>
        <w:rPr>
          <w:rFonts w:hint="eastAsia" w:ascii="宋体" w:hAnsi="宋体" w:eastAsia="宋体" w:cs="宋体"/>
          <w:color w:val="auto"/>
          <w:szCs w:val="21"/>
          <w:highlight w:val="none"/>
        </w:rPr>
        <w:t>中华人民共和国国家计划发展委员会颁布的《招标代理服务收费管理暂行办法》（计价格[2002]1980号）执行。本项目类型为</w:t>
      </w:r>
      <w:r>
        <w:rPr>
          <w:rFonts w:hint="eastAsia" w:ascii="宋体" w:hAnsi="宋体" w:eastAsia="宋体" w:cs="宋体"/>
          <w:color w:val="auto"/>
          <w:szCs w:val="21"/>
          <w:highlight w:val="none"/>
          <w:u w:val="single"/>
        </w:rPr>
        <w:t>服务类</w:t>
      </w:r>
      <w:r>
        <w:rPr>
          <w:rFonts w:hint="eastAsia" w:ascii="宋体" w:hAnsi="宋体" w:eastAsia="宋体" w:cs="宋体"/>
          <w:color w:val="auto"/>
          <w:szCs w:val="21"/>
          <w:highlight w:val="none"/>
        </w:rPr>
        <w:t>：</w:t>
      </w:r>
    </w:p>
    <w:p>
      <w:pPr>
        <w:tabs>
          <w:tab w:val="left" w:pos="1182"/>
        </w:tabs>
        <w:spacing w:line="400" w:lineRule="exact"/>
        <w:ind w:right="-317" w:rightChars="-151"/>
        <w:rPr>
          <w:rFonts w:hint="eastAsia" w:ascii="宋体" w:hAnsi="宋体" w:eastAsia="宋体" w:cs="宋体"/>
          <w:bCs/>
          <w:color w:val="auto"/>
          <w:spacing w:val="-4"/>
          <w:szCs w:val="21"/>
          <w:highlight w:val="none"/>
        </w:rPr>
      </w:pPr>
      <w:r>
        <w:rPr>
          <w:rFonts w:hint="eastAsia" w:ascii="宋体" w:hAnsi="宋体" w:eastAsia="宋体" w:cs="宋体"/>
          <w:bCs/>
          <w:color w:val="auto"/>
          <w:spacing w:val="-4"/>
          <w:szCs w:val="21"/>
          <w:highlight w:val="none"/>
        </w:rPr>
        <w:t>（1）以《成交通知书》确定的</w:t>
      </w:r>
      <w:r>
        <w:rPr>
          <w:rFonts w:hint="eastAsia" w:ascii="宋体" w:hAnsi="宋体" w:cs="宋体"/>
          <w:bCs/>
          <w:color w:val="auto"/>
          <w:spacing w:val="-4"/>
          <w:szCs w:val="21"/>
          <w:highlight w:val="none"/>
          <w:lang w:val="en-US" w:eastAsia="zh-CN"/>
        </w:rPr>
        <w:t>预算</w:t>
      </w:r>
      <w:r>
        <w:rPr>
          <w:rFonts w:hint="eastAsia" w:ascii="宋体" w:hAnsi="宋体" w:eastAsia="宋体" w:cs="宋体"/>
          <w:bCs/>
          <w:color w:val="auto"/>
          <w:spacing w:val="-4"/>
          <w:szCs w:val="21"/>
          <w:highlight w:val="none"/>
        </w:rPr>
        <w:t>总金额作为收费的计算基数，按差额定率累进法计算。</w:t>
      </w:r>
    </w:p>
    <w:p>
      <w:pPr>
        <w:tabs>
          <w:tab w:val="left" w:pos="1182"/>
        </w:tabs>
        <w:spacing w:line="400" w:lineRule="exact"/>
        <w:ind w:right="-317" w:rightChars="-151"/>
        <w:rPr>
          <w:rFonts w:hint="eastAsia" w:ascii="宋体" w:hAnsi="宋体" w:eastAsia="宋体" w:cs="宋体"/>
          <w:bCs/>
          <w:color w:val="auto"/>
          <w:spacing w:val="-4"/>
          <w:szCs w:val="21"/>
          <w:highlight w:val="none"/>
        </w:rPr>
      </w:pPr>
      <w:r>
        <w:rPr>
          <w:rFonts w:hint="eastAsia" w:ascii="宋体" w:hAnsi="宋体" w:eastAsia="宋体" w:cs="宋体"/>
          <w:bCs/>
          <w:color w:val="auto"/>
          <w:spacing w:val="-4"/>
          <w:szCs w:val="21"/>
          <w:highlight w:val="none"/>
        </w:rPr>
        <w:t>（2）成交金额的各部分费率如下表：</w:t>
      </w:r>
    </w:p>
    <w:tbl>
      <w:tblPr>
        <w:tblStyle w:val="40"/>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tcPr>
          <w:p>
            <w:pPr>
              <w:spacing w:before="50" w:after="50" w:line="400" w:lineRule="exact"/>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成交金额（万元人民币）</w:t>
            </w:r>
          </w:p>
        </w:tc>
        <w:tc>
          <w:tcPr>
            <w:tcW w:w="3757" w:type="dxa"/>
          </w:tcPr>
          <w:p>
            <w:pPr>
              <w:spacing w:before="50" w:after="50" w:line="400" w:lineRule="exact"/>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服务招标费率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vAlign w:val="center"/>
          </w:tcPr>
          <w:p>
            <w:pPr>
              <w:spacing w:line="400" w:lineRule="exact"/>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100以下部分</w:t>
            </w:r>
          </w:p>
        </w:tc>
        <w:tc>
          <w:tcPr>
            <w:tcW w:w="3757" w:type="dxa"/>
            <w:vAlign w:val="center"/>
          </w:tcPr>
          <w:p>
            <w:pPr>
              <w:spacing w:line="400" w:lineRule="exact"/>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vAlign w:val="center"/>
          </w:tcPr>
          <w:p>
            <w:pPr>
              <w:spacing w:line="400" w:lineRule="exact"/>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100-500部分</w:t>
            </w:r>
          </w:p>
        </w:tc>
        <w:tc>
          <w:tcPr>
            <w:tcW w:w="3757" w:type="dxa"/>
            <w:vAlign w:val="center"/>
          </w:tcPr>
          <w:p>
            <w:pPr>
              <w:spacing w:line="400" w:lineRule="exact"/>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vAlign w:val="center"/>
          </w:tcPr>
          <w:p>
            <w:pPr>
              <w:spacing w:line="400" w:lineRule="exact"/>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500-1000部分</w:t>
            </w:r>
          </w:p>
        </w:tc>
        <w:tc>
          <w:tcPr>
            <w:tcW w:w="3757" w:type="dxa"/>
            <w:vAlign w:val="center"/>
          </w:tcPr>
          <w:p>
            <w:pPr>
              <w:spacing w:line="400" w:lineRule="exact"/>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vAlign w:val="center"/>
          </w:tcPr>
          <w:p>
            <w:pPr>
              <w:spacing w:line="400" w:lineRule="exact"/>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1000-5000部分</w:t>
            </w:r>
          </w:p>
        </w:tc>
        <w:tc>
          <w:tcPr>
            <w:tcW w:w="3757" w:type="dxa"/>
            <w:vAlign w:val="center"/>
          </w:tcPr>
          <w:p>
            <w:pPr>
              <w:spacing w:line="400" w:lineRule="exact"/>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vAlign w:val="center"/>
          </w:tcPr>
          <w:p>
            <w:pPr>
              <w:spacing w:line="400" w:lineRule="exact"/>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5000-10000部分</w:t>
            </w:r>
          </w:p>
        </w:tc>
        <w:tc>
          <w:tcPr>
            <w:tcW w:w="3757" w:type="dxa"/>
            <w:vAlign w:val="center"/>
          </w:tcPr>
          <w:p>
            <w:pPr>
              <w:spacing w:line="400" w:lineRule="exact"/>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vAlign w:val="center"/>
          </w:tcPr>
          <w:p>
            <w:pPr>
              <w:spacing w:line="400" w:lineRule="exact"/>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10000-100000部分</w:t>
            </w:r>
          </w:p>
        </w:tc>
        <w:tc>
          <w:tcPr>
            <w:tcW w:w="3757" w:type="dxa"/>
            <w:vAlign w:val="center"/>
          </w:tcPr>
          <w:p>
            <w:pPr>
              <w:spacing w:line="400" w:lineRule="exact"/>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vAlign w:val="center"/>
          </w:tcPr>
          <w:p>
            <w:pPr>
              <w:spacing w:line="400" w:lineRule="exact"/>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1000000以上部分</w:t>
            </w:r>
          </w:p>
        </w:tc>
        <w:tc>
          <w:tcPr>
            <w:tcW w:w="3757" w:type="dxa"/>
            <w:vAlign w:val="center"/>
          </w:tcPr>
          <w:p>
            <w:pPr>
              <w:spacing w:line="400" w:lineRule="exact"/>
              <w:jc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0.01%</w:t>
            </w:r>
          </w:p>
        </w:tc>
      </w:tr>
    </w:tbl>
    <w:p>
      <w:pPr>
        <w:spacing w:before="50" w:after="5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如某服务项目，成交金额为600万，总共交纳的服务费为：</w:t>
      </w:r>
    </w:p>
    <w:p>
      <w:pPr>
        <w:spacing w:before="50" w:after="5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总共交纳的服务费＝（100万以下部分的服务费）+（100万～500万部分的服务费）+（500万～600万部分的服务费）</w:t>
      </w:r>
    </w:p>
    <w:p>
      <w:pPr>
        <w:spacing w:before="50" w:after="5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＝100万元×1.5%+（500-100）万元×0.8%+（600-500）万元×0.45%</w:t>
      </w:r>
    </w:p>
    <w:p>
      <w:pPr>
        <w:spacing w:before="50" w:after="5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=1.5万元+3.2万元+0.45万元＝5.15万元</w:t>
      </w:r>
    </w:p>
    <w:p>
      <w:pPr>
        <w:spacing w:before="50" w:after="5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（3）币种与《成交通知书》的币种相同。</w:t>
      </w:r>
    </w:p>
    <w:p>
      <w:pPr>
        <w:spacing w:before="50" w:after="5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（4）成交单位中标后，必须按规定向采购代理机构直接缴交采购服务费。成交单位不按规定交纳服务费的，采购代理机构保留进一步追索权利。</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（5）服务费不在报价中单列。</w:t>
      </w:r>
    </w:p>
    <w:p>
      <w:pPr>
        <w:spacing w:line="360" w:lineRule="auto"/>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（6）经依法取消或放弃成交资格的，采购代理服务费不予退还。</w:t>
      </w:r>
    </w:p>
    <w:p>
      <w:pPr>
        <w:pStyle w:val="4"/>
        <w:autoSpaceDE/>
        <w:autoSpaceDN/>
        <w:adjustRightInd/>
        <w:snapToGrid/>
        <w:spacing w:before="260" w:line="400" w:lineRule="exact"/>
        <w:textAlignment w:val="auto"/>
        <w:rPr>
          <w:rFonts w:hint="eastAsia" w:ascii="宋体" w:hAnsi="宋体" w:eastAsia="宋体" w:cs="宋体"/>
          <w:color w:val="auto"/>
          <w:sz w:val="21"/>
          <w:szCs w:val="21"/>
          <w:highlight w:val="none"/>
          <w:lang w:val="en-US" w:eastAsia="zh-CN"/>
        </w:rPr>
      </w:pPr>
      <w:bookmarkStart w:id="32" w:name="_Toc387076653"/>
      <w:bookmarkStart w:id="33" w:name="_Toc134956124"/>
      <w:r>
        <w:rPr>
          <w:rFonts w:hint="eastAsia" w:ascii="宋体" w:hAnsi="宋体" w:eastAsia="宋体" w:cs="宋体"/>
          <w:color w:val="auto"/>
          <w:sz w:val="21"/>
          <w:szCs w:val="21"/>
          <w:highlight w:val="none"/>
        </w:rPr>
        <w:t>7.询问、质疑</w:t>
      </w:r>
      <w:bookmarkEnd w:id="32"/>
      <w:bookmarkEnd w:id="33"/>
    </w:p>
    <w:p>
      <w:pPr>
        <w:spacing w:before="50" w:after="50" w:line="360" w:lineRule="auto"/>
        <w:ind w:firstLine="420" w:firstLineChars="200"/>
        <w:rPr>
          <w:rFonts w:hint="eastAsia" w:ascii="宋体" w:hAnsi="宋体" w:eastAsia="宋体" w:cs="宋体"/>
          <w:bCs/>
          <w:color w:val="auto"/>
          <w:szCs w:val="21"/>
          <w:highlight w:val="none"/>
        </w:rPr>
      </w:pPr>
      <w:bookmarkStart w:id="34" w:name="_Toc134955411"/>
      <w:r>
        <w:rPr>
          <w:rFonts w:hint="eastAsia" w:ascii="宋体" w:hAnsi="宋体" w:eastAsia="宋体" w:cs="宋体"/>
          <w:bCs/>
          <w:color w:val="auto"/>
          <w:szCs w:val="21"/>
          <w:highlight w:val="none"/>
        </w:rPr>
        <w:t>7.1供应商可以向代理机构提出询问和质疑，代理机构依照相关规定就采购人委托授权范围内的事项作出答复。</w:t>
      </w:r>
    </w:p>
    <w:p>
      <w:pPr>
        <w:spacing w:before="50" w:after="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7.2供应商认为磋商文件的内容损害其权益的，可以在磋商文件公示期间或者自期满之日起7个工作日内以书面形式向采购人或代理机构提出质疑，逾期质疑无效。</w:t>
      </w:r>
    </w:p>
    <w:p>
      <w:pPr>
        <w:spacing w:before="50" w:after="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7.3供应商在法定质疑期内须一次性提出针对同一采购程序环节的质疑。</w:t>
      </w:r>
    </w:p>
    <w:p>
      <w:pPr>
        <w:spacing w:before="50" w:after="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7.4供应商认为磋商过程和中标结果使自己的权益受到损害的，可以在知道或者应知其权益受到损害之日起7个工作日内，以书面形式向采购人或代理机构提出质疑，逾期质疑无效。</w:t>
      </w:r>
      <w:bookmarkEnd w:id="34"/>
    </w:p>
    <w:p>
      <w:pPr>
        <w:spacing w:before="50" w:after="5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7.5质疑函应当署名。质疑</w:t>
      </w:r>
      <w:r>
        <w:rPr>
          <w:rFonts w:hint="eastAsia" w:ascii="宋体" w:hAnsi="宋体" w:eastAsia="宋体" w:cs="宋体"/>
          <w:color w:val="auto"/>
          <w:szCs w:val="21"/>
          <w:highlight w:val="none"/>
        </w:rPr>
        <w:t>供应商</w:t>
      </w:r>
      <w:r>
        <w:rPr>
          <w:rFonts w:hint="eastAsia" w:ascii="宋体" w:hAnsi="宋体" w:eastAsia="宋体" w:cs="宋体"/>
          <w:color w:val="auto"/>
          <w:highlight w:val="none"/>
        </w:rPr>
        <w:t>为自然人的，应当由本人签字并以右手食指手指手印作为确认；质疑</w:t>
      </w:r>
      <w:r>
        <w:rPr>
          <w:rFonts w:hint="eastAsia" w:ascii="宋体" w:hAnsi="宋体" w:eastAsia="宋体" w:cs="宋体"/>
          <w:color w:val="auto"/>
          <w:szCs w:val="21"/>
          <w:highlight w:val="none"/>
        </w:rPr>
        <w:t>供应商</w:t>
      </w:r>
      <w:r>
        <w:rPr>
          <w:rFonts w:hint="eastAsia" w:ascii="宋体" w:hAnsi="宋体" w:eastAsia="宋体" w:cs="宋体"/>
          <w:color w:val="auto"/>
          <w:highlight w:val="none"/>
        </w:rPr>
        <w:t>为法人或者其他组织的，应当由法定代表人签字并加盖公章。</w:t>
      </w:r>
      <w:r>
        <w:rPr>
          <w:rFonts w:hint="eastAsia" w:ascii="宋体" w:hAnsi="宋体" w:eastAsia="宋体" w:cs="宋体"/>
          <w:color w:val="auto"/>
          <w:szCs w:val="21"/>
          <w:highlight w:val="none"/>
        </w:rPr>
        <w:t>质疑内容不得含有虚假、恶意成份。依照谁主张谁举证的原则，提出质疑者必须同时提交相关确凿的证据材料和注明证据的确切来源，证据来源必须合法，代理机构有权将质疑函转发质疑事项各关联方，请其作出解释说明。对捏造事实、滥用维权扰乱采购秩序的恶意质疑者，将上报政府采购监督管理部门依法处理。</w:t>
      </w:r>
    </w:p>
    <w:p>
      <w:pPr>
        <w:spacing w:line="360" w:lineRule="auto"/>
        <w:ind w:right="25" w:rightChars="12"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询问及质疑函应按相应格式进行填写及签署，并递交书面文件至代理机构，没有签署的质疑函将不予受理。具体格式详见http://www.gzqunsheng.com/常用文件一栏。</w:t>
      </w:r>
    </w:p>
    <w:p>
      <w:pPr>
        <w:spacing w:line="360" w:lineRule="auto"/>
        <w:ind w:right="-317" w:rightChars="-151"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询问、质疑受理单位：广州群生招标代理有限公司，联系电话：（020）83812782。</w:t>
      </w:r>
    </w:p>
    <w:p>
      <w:pPr>
        <w:spacing w:line="360" w:lineRule="auto"/>
        <w:ind w:right="25" w:rightChars="12" w:firstLine="420" w:firstLineChars="200"/>
        <w:rPr>
          <w:rFonts w:hint="eastAsia" w:ascii="宋体" w:hAnsi="宋体" w:eastAsia="宋体" w:cs="宋体"/>
          <w:bCs/>
          <w:color w:val="auto"/>
          <w:szCs w:val="21"/>
          <w:highlight w:val="none"/>
        </w:rPr>
      </w:pPr>
    </w:p>
    <w:p>
      <w:pPr>
        <w:pStyle w:val="2"/>
        <w:numPr>
          <w:ilvl w:val="0"/>
          <w:numId w:val="1"/>
        </w:numPr>
        <w:spacing w:line="360" w:lineRule="auto"/>
        <w:jc w:val="center"/>
        <w:rPr>
          <w:rFonts w:hint="eastAsia" w:ascii="宋体" w:hAnsi="宋体" w:eastAsia="宋体" w:cs="宋体"/>
          <w:color w:val="auto"/>
          <w:sz w:val="32"/>
          <w:szCs w:val="32"/>
          <w:highlight w:val="none"/>
        </w:rPr>
        <w:sectPr>
          <w:headerReference r:id="rId8" w:type="default"/>
          <w:footerReference r:id="rId9" w:type="default"/>
          <w:pgSz w:w="11906" w:h="16838"/>
          <w:pgMar w:top="1191" w:right="1361" w:bottom="1191" w:left="1191" w:header="794" w:footer="794" w:gutter="0"/>
          <w:pgNumType w:fmt="decimal"/>
          <w:cols w:space="720" w:num="1"/>
          <w:docGrid w:linePitch="285" w:charSpace="0"/>
        </w:sectPr>
      </w:pPr>
      <w:bookmarkStart w:id="35" w:name="_Toc461991233"/>
      <w:bookmarkStart w:id="36" w:name="_Toc17252682"/>
      <w:bookmarkStart w:id="37" w:name="_Toc14450813"/>
      <w:bookmarkStart w:id="38" w:name="_Toc30476633"/>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pStyle w:val="2"/>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第三章</w:t>
      </w:r>
      <w:bookmarkStart w:id="39" w:name="_Toc10525517"/>
      <w:r>
        <w:rPr>
          <w:rFonts w:hint="eastAsia" w:ascii="宋体" w:hAnsi="宋体" w:eastAsia="宋体" w:cs="宋体"/>
          <w:color w:val="auto"/>
          <w:sz w:val="32"/>
          <w:szCs w:val="32"/>
          <w:highlight w:val="none"/>
        </w:rPr>
        <w:t xml:space="preserve"> 采购人需求</w:t>
      </w:r>
      <w:bookmarkEnd w:id="31"/>
      <w:bookmarkEnd w:id="35"/>
      <w:bookmarkEnd w:id="36"/>
      <w:bookmarkEnd w:id="37"/>
      <w:bookmarkEnd w:id="38"/>
      <w:bookmarkEnd w:id="39"/>
      <w:bookmarkStart w:id="40" w:name="_Toc30476634"/>
      <w:bookmarkStart w:id="41" w:name="_Toc27840477"/>
    </w:p>
    <w:bookmarkEnd w:id="40"/>
    <w:bookmarkEnd w:id="41"/>
    <w:p>
      <w:pPr>
        <w:bidi w:val="0"/>
        <w:spacing w:line="360" w:lineRule="auto"/>
        <w:rPr>
          <w:rFonts w:hint="eastAsia" w:ascii="宋体" w:hAnsi="宋体" w:eastAsia="宋体" w:cs="宋体"/>
          <w:color w:val="auto"/>
          <w:sz w:val="21"/>
          <w:szCs w:val="21"/>
          <w:highlight w:val="none"/>
        </w:rPr>
      </w:pPr>
      <w:bookmarkStart w:id="42" w:name="_Toc130695600"/>
      <w:bookmarkStart w:id="43" w:name="_Toc185747588"/>
      <w:bookmarkStart w:id="44" w:name="_Toc153615297"/>
      <w:bookmarkStart w:id="45" w:name="_Toc130697192"/>
      <w:bookmarkStart w:id="46" w:name="_Toc11771900"/>
      <w:bookmarkStart w:id="47" w:name="_Toc13884769"/>
      <w:bookmarkStart w:id="48" w:name="_Toc12378037"/>
      <w:bookmarkStart w:id="49" w:name="_Toc27840483"/>
      <w:bookmarkStart w:id="50" w:name="_Toc11771771"/>
      <w:bookmarkStart w:id="51" w:name="_Toc12330396"/>
      <w:bookmarkStart w:id="52" w:name="_Toc12861158"/>
      <w:bookmarkStart w:id="53" w:name="_Toc19099503"/>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项目概述</w:t>
      </w:r>
    </w:p>
    <w:p>
      <w:pPr>
        <w:snapToGrid w:val="0"/>
        <w:spacing w:line="360" w:lineRule="auto"/>
        <w:ind w:firstLine="420" w:firstLineChars="200"/>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（一）项目名称：广东省英德监狱采购租赁车辆项目。</w:t>
      </w:r>
    </w:p>
    <w:p>
      <w:pPr>
        <w:snapToGrid w:val="0"/>
        <w:spacing w:line="360" w:lineRule="auto"/>
        <w:ind w:firstLine="420" w:firstLineChars="200"/>
        <w:rPr>
          <w:rFonts w:hint="eastAsia" w:ascii="宋体" w:hAnsi="宋体" w:eastAsia="宋体" w:cs="宋体"/>
          <w:color w:val="auto"/>
          <w:kern w:val="2"/>
          <w:sz w:val="21"/>
          <w:szCs w:val="21"/>
          <w:highlight w:val="none"/>
          <w:lang w:bidi="ar"/>
        </w:rPr>
      </w:pPr>
      <w:r>
        <w:rPr>
          <w:rFonts w:hint="eastAsia" w:ascii="宋体" w:hAnsi="宋体" w:eastAsia="宋体" w:cs="宋体"/>
          <w:color w:val="auto"/>
          <w:kern w:val="2"/>
          <w:sz w:val="21"/>
          <w:szCs w:val="21"/>
          <w:highlight w:val="none"/>
          <w:lang w:bidi="ar"/>
        </w:rPr>
        <w:t>（二）项目内容：为</w:t>
      </w:r>
      <w:r>
        <w:rPr>
          <w:rFonts w:hint="eastAsia" w:ascii="宋体" w:hAnsi="宋体" w:eastAsia="宋体" w:cs="宋体"/>
          <w:color w:val="auto"/>
          <w:kern w:val="2"/>
          <w:sz w:val="21"/>
          <w:szCs w:val="21"/>
          <w:highlight w:val="none"/>
          <w:lang w:eastAsia="zh-CN" w:bidi="ar"/>
        </w:rPr>
        <w:t>采购</w:t>
      </w:r>
      <w:r>
        <w:rPr>
          <w:rFonts w:hint="eastAsia" w:ascii="宋体" w:hAnsi="宋体" w:eastAsia="宋体" w:cs="宋体"/>
          <w:color w:val="auto"/>
          <w:kern w:val="2"/>
          <w:sz w:val="21"/>
          <w:szCs w:val="21"/>
          <w:highlight w:val="none"/>
          <w:lang w:val="en-US" w:eastAsia="zh-CN" w:bidi="ar"/>
        </w:rPr>
        <w:t>人</w:t>
      </w:r>
      <w:r>
        <w:rPr>
          <w:rFonts w:hint="eastAsia" w:ascii="宋体" w:hAnsi="宋体" w:eastAsia="宋体" w:cs="宋体"/>
          <w:color w:val="auto"/>
          <w:kern w:val="2"/>
          <w:sz w:val="21"/>
          <w:szCs w:val="21"/>
          <w:highlight w:val="none"/>
          <w:lang w:bidi="ar"/>
        </w:rPr>
        <w:t>提供客运运输、交通往返服务，运输客运目的地为国内（部分运输需跨省）。</w:t>
      </w:r>
    </w:p>
    <w:p>
      <w:pPr>
        <w:snapToGrid w:val="0"/>
        <w:spacing w:line="360" w:lineRule="auto"/>
        <w:ind w:firstLine="420" w:firstLineChars="200"/>
        <w:rPr>
          <w:rFonts w:hint="eastAsia" w:ascii="宋体" w:hAnsi="宋体" w:cs="宋体"/>
          <w:color w:val="auto"/>
          <w:kern w:val="2"/>
          <w:sz w:val="21"/>
          <w:szCs w:val="21"/>
          <w:highlight w:val="none"/>
          <w:lang w:eastAsia="zh-CN" w:bidi="ar"/>
        </w:rPr>
      </w:pPr>
      <w:r>
        <w:rPr>
          <w:rFonts w:hint="eastAsia" w:ascii="宋体" w:hAnsi="宋体" w:eastAsia="宋体" w:cs="宋体"/>
          <w:color w:val="auto"/>
          <w:kern w:val="2"/>
          <w:sz w:val="21"/>
          <w:szCs w:val="21"/>
          <w:highlight w:val="none"/>
          <w:lang w:bidi="ar"/>
        </w:rPr>
        <w:t>（三）预算金额：预算金额为</w:t>
      </w:r>
      <w:r>
        <w:rPr>
          <w:rFonts w:hint="eastAsia" w:ascii="宋体" w:hAnsi="宋体" w:eastAsia="宋体" w:cs="宋体"/>
          <w:color w:val="auto"/>
          <w:kern w:val="2"/>
          <w:sz w:val="21"/>
          <w:szCs w:val="21"/>
          <w:highlight w:val="none"/>
          <w:lang w:val="en-US" w:eastAsia="zh-CN" w:bidi="ar"/>
        </w:rPr>
        <w:t>96</w:t>
      </w:r>
      <w:r>
        <w:rPr>
          <w:rFonts w:hint="eastAsia" w:ascii="宋体" w:hAnsi="宋体" w:eastAsia="宋体" w:cs="宋体"/>
          <w:color w:val="auto"/>
          <w:kern w:val="2"/>
          <w:sz w:val="21"/>
          <w:szCs w:val="21"/>
          <w:highlight w:val="none"/>
          <w:lang w:bidi="ar"/>
        </w:rPr>
        <w:t>万元</w:t>
      </w:r>
      <w:r>
        <w:rPr>
          <w:rFonts w:hint="eastAsia" w:ascii="宋体" w:hAnsi="宋体" w:cs="宋体"/>
          <w:color w:val="auto"/>
          <w:kern w:val="2"/>
          <w:sz w:val="21"/>
          <w:szCs w:val="21"/>
          <w:highlight w:val="none"/>
          <w:lang w:eastAsia="zh-CN" w:bidi="ar"/>
        </w:rPr>
        <w:t>。</w:t>
      </w:r>
    </w:p>
    <w:p>
      <w:pPr>
        <w:snapToGrid w:val="0"/>
        <w:spacing w:line="360" w:lineRule="auto"/>
        <w:ind w:firstLine="420" w:firstLineChars="200"/>
        <w:rPr>
          <w:rFonts w:hint="eastAsia" w:ascii="宋体" w:hAnsi="宋体" w:eastAsia="宋体" w:cs="宋体"/>
          <w:color w:val="auto"/>
          <w:kern w:val="2"/>
          <w:sz w:val="21"/>
          <w:szCs w:val="21"/>
          <w:highlight w:val="none"/>
          <w:lang w:bidi="ar"/>
        </w:rPr>
      </w:pPr>
      <w:r>
        <w:rPr>
          <w:rFonts w:hint="eastAsia" w:ascii="宋体" w:hAnsi="宋体" w:cs="宋体"/>
          <w:color w:val="auto"/>
          <w:kern w:val="2"/>
          <w:sz w:val="21"/>
          <w:szCs w:val="21"/>
          <w:highlight w:val="none"/>
          <w:lang w:val="en-US" w:eastAsia="zh-CN" w:bidi="ar"/>
        </w:rPr>
        <w:t>结算要求：以</w:t>
      </w:r>
      <w:r>
        <w:rPr>
          <w:rFonts w:hint="eastAsia" w:ascii="宋体" w:hAnsi="宋体" w:eastAsia="宋体" w:cs="宋体"/>
          <w:color w:val="auto"/>
          <w:kern w:val="2"/>
          <w:sz w:val="21"/>
          <w:szCs w:val="21"/>
          <w:highlight w:val="none"/>
          <w:lang w:bidi="ar"/>
        </w:rPr>
        <w:t>实际运输量</w:t>
      </w:r>
      <w:r>
        <w:rPr>
          <w:rFonts w:hint="eastAsia" w:ascii="宋体" w:hAnsi="宋体" w:cs="宋体"/>
          <w:color w:val="auto"/>
          <w:kern w:val="2"/>
          <w:sz w:val="21"/>
          <w:szCs w:val="21"/>
          <w:highlight w:val="none"/>
          <w:lang w:val="en-US" w:eastAsia="zh-CN" w:bidi="ar"/>
        </w:rPr>
        <w:t>均按照</w:t>
      </w:r>
      <w:r>
        <w:rPr>
          <w:rFonts w:hint="eastAsia" w:ascii="宋体" w:hAnsi="宋体" w:eastAsia="宋体" w:cs="宋体"/>
          <w:color w:val="auto"/>
          <w:kern w:val="2"/>
          <w:sz w:val="21"/>
          <w:szCs w:val="21"/>
          <w:highlight w:val="none"/>
          <w:lang w:bidi="ar"/>
        </w:rPr>
        <w:t>百度地图测量始发地到目的地</w:t>
      </w:r>
      <w:r>
        <w:rPr>
          <w:rFonts w:hint="eastAsia" w:ascii="宋体" w:hAnsi="宋体" w:cs="宋体"/>
          <w:color w:val="auto"/>
          <w:kern w:val="2"/>
          <w:sz w:val="21"/>
          <w:szCs w:val="21"/>
          <w:highlight w:val="none"/>
          <w:lang w:val="en-US" w:eastAsia="zh-CN" w:bidi="ar"/>
        </w:rPr>
        <w:t>单程</w:t>
      </w:r>
      <w:r>
        <w:rPr>
          <w:rFonts w:hint="eastAsia" w:ascii="宋体" w:hAnsi="宋体" w:eastAsia="宋体" w:cs="宋体"/>
          <w:color w:val="auto"/>
          <w:kern w:val="2"/>
          <w:sz w:val="21"/>
          <w:szCs w:val="21"/>
          <w:highlight w:val="none"/>
          <w:lang w:bidi="ar"/>
        </w:rPr>
        <w:t>公里数</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bidi="ar"/>
        </w:rPr>
        <w:t>（高速路优先）计算。</w:t>
      </w:r>
    </w:p>
    <w:p>
      <w:pPr>
        <w:numPr>
          <w:ilvl w:val="-1"/>
          <w:numId w:val="0"/>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日出行距离大于15公里（不含本数）且</w:t>
      </w:r>
      <w:r>
        <w:rPr>
          <w:rFonts w:hint="eastAsia" w:ascii="宋体" w:hAnsi="宋体" w:cs="宋体"/>
          <w:color w:val="auto"/>
          <w:kern w:val="2"/>
          <w:sz w:val="21"/>
          <w:szCs w:val="21"/>
          <w:highlight w:val="none"/>
          <w:lang w:val="en-US" w:eastAsia="zh-CN" w:bidi="ar-SA"/>
        </w:rPr>
        <w:t>小于</w:t>
      </w:r>
      <w:r>
        <w:rPr>
          <w:rFonts w:hint="eastAsia" w:ascii="宋体" w:hAnsi="宋体" w:eastAsia="宋体" w:cs="宋体"/>
          <w:color w:val="auto"/>
          <w:kern w:val="2"/>
          <w:sz w:val="21"/>
          <w:szCs w:val="21"/>
          <w:highlight w:val="none"/>
          <w:lang w:val="en-US" w:eastAsia="zh-CN" w:bidi="ar-SA"/>
        </w:rPr>
        <w:t>等于60公里的，车辆租用费20元/辆、驾驶员雇佣费20元/辆，燃油费、车辆通行费、停车费、超时费、超公里费等合并计算10元/辆，以上小计50元（</w:t>
      </w:r>
      <w:r>
        <w:rPr>
          <w:rFonts w:hint="eastAsia" w:ascii="宋体" w:hAnsi="宋体" w:eastAsia="宋体" w:cs="宋体"/>
          <w:b/>
          <w:bCs/>
          <w:color w:val="auto"/>
          <w:kern w:val="2"/>
          <w:sz w:val="21"/>
          <w:szCs w:val="21"/>
          <w:highlight w:val="none"/>
          <w:lang w:val="en-US" w:eastAsia="zh-CN" w:bidi="ar-SA"/>
        </w:rPr>
        <w:t>无驾驶员餐食</w:t>
      </w:r>
      <w:r>
        <w:rPr>
          <w:rFonts w:hint="eastAsia" w:ascii="宋体" w:hAnsi="宋体" w:cs="宋体"/>
          <w:b/>
          <w:bCs/>
          <w:color w:val="auto"/>
          <w:kern w:val="2"/>
          <w:sz w:val="21"/>
          <w:szCs w:val="21"/>
          <w:highlight w:val="none"/>
          <w:lang w:val="en-US" w:eastAsia="zh-CN" w:bidi="ar-SA"/>
        </w:rPr>
        <w:t>、住宿</w:t>
      </w:r>
      <w:r>
        <w:rPr>
          <w:rFonts w:hint="eastAsia" w:ascii="宋体" w:hAnsi="宋体" w:eastAsia="宋体" w:cs="宋体"/>
          <w:b/>
          <w:bCs/>
          <w:color w:val="auto"/>
          <w:kern w:val="2"/>
          <w:sz w:val="21"/>
          <w:szCs w:val="21"/>
          <w:highlight w:val="none"/>
          <w:lang w:val="en-US" w:eastAsia="zh-CN" w:bidi="ar-SA"/>
        </w:rPr>
        <w:t>费用</w:t>
      </w:r>
      <w:r>
        <w:rPr>
          <w:rFonts w:hint="eastAsia" w:ascii="宋体" w:hAnsi="宋体" w:eastAsia="宋体" w:cs="宋体"/>
          <w:color w:val="auto"/>
          <w:kern w:val="2"/>
          <w:sz w:val="21"/>
          <w:szCs w:val="21"/>
          <w:highlight w:val="none"/>
          <w:lang w:val="en-US" w:eastAsia="zh-CN" w:bidi="ar-SA"/>
        </w:rPr>
        <w:t>）。</w:t>
      </w:r>
    </w:p>
    <w:p>
      <w:pPr>
        <w:numPr>
          <w:ilvl w:val="-1"/>
          <w:numId w:val="0"/>
        </w:num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ascii="宋体" w:hAnsi="宋体" w:eastAsia="宋体" w:cs="宋体"/>
          <w:color w:val="auto"/>
          <w:sz w:val="21"/>
          <w:szCs w:val="21"/>
          <w:highlight w:val="none"/>
        </w:rPr>
        <w:t>日均出行距离</w:t>
      </w:r>
      <w:r>
        <w:rPr>
          <w:rFonts w:hint="eastAsia" w:ascii="宋体" w:hAnsi="宋体" w:cs="宋体"/>
          <w:color w:val="auto"/>
          <w:sz w:val="21"/>
          <w:szCs w:val="21"/>
          <w:highlight w:val="none"/>
          <w:lang w:val="en-US" w:eastAsia="zh-CN"/>
        </w:rPr>
        <w:t>不</w:t>
      </w:r>
      <w:r>
        <w:rPr>
          <w:rFonts w:ascii="宋体" w:hAnsi="宋体" w:eastAsia="宋体" w:cs="宋体"/>
          <w:color w:val="auto"/>
          <w:sz w:val="21"/>
          <w:szCs w:val="21"/>
          <w:highlight w:val="none"/>
        </w:rPr>
        <w:t>超过250公里的租车</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val="en-US" w:eastAsia="zh-CN"/>
        </w:rPr>
        <w:t>驾驶员餐食费用每日50元/辆,</w:t>
      </w: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人员实际行程安排</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需要留宿过夜的，</w:t>
      </w:r>
      <w:r>
        <w:rPr>
          <w:rFonts w:hint="eastAsia" w:ascii="宋体" w:hAnsi="宋体" w:cs="宋体"/>
          <w:b/>
          <w:bCs/>
          <w:color w:val="auto"/>
          <w:sz w:val="21"/>
          <w:szCs w:val="21"/>
          <w:highlight w:val="none"/>
          <w:lang w:val="en-US" w:eastAsia="zh-CN"/>
        </w:rPr>
        <w:t>驾驶员住宿费用每晚350元/辆</w:t>
      </w:r>
      <w:r>
        <w:rPr>
          <w:rFonts w:hint="eastAsia" w:ascii="宋体" w:hAnsi="宋体" w:eastAsia="宋体" w:cs="宋体"/>
          <w:color w:val="auto"/>
          <w:sz w:val="21"/>
          <w:szCs w:val="21"/>
          <w:highlight w:val="none"/>
          <w:lang w:val="en-US" w:eastAsia="zh-CN"/>
        </w:rPr>
        <w:t>。</w:t>
      </w:r>
    </w:p>
    <w:p>
      <w:pPr>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日出行距离</w:t>
      </w:r>
      <w:r>
        <w:rPr>
          <w:rFonts w:hint="eastAsia" w:ascii="宋体" w:hAnsi="宋体" w:cs="宋体"/>
          <w:color w:val="auto"/>
          <w:sz w:val="21"/>
          <w:szCs w:val="21"/>
          <w:highlight w:val="none"/>
          <w:lang w:val="en-US" w:eastAsia="zh-CN"/>
        </w:rPr>
        <w:t>大于60公里（不含本数）且</w:t>
      </w:r>
      <w:r>
        <w:rPr>
          <w:rFonts w:hint="eastAsia" w:ascii="宋体" w:hAnsi="宋体" w:cs="宋体"/>
          <w:color w:val="auto"/>
          <w:sz w:val="21"/>
          <w:szCs w:val="21"/>
          <w:highlight w:val="none"/>
          <w:lang w:eastAsia="zh-CN"/>
        </w:rPr>
        <w:t>小于等于</w:t>
      </w:r>
      <w:r>
        <w:rPr>
          <w:rFonts w:hint="eastAsia" w:ascii="宋体" w:hAnsi="宋体" w:eastAsia="宋体" w:cs="宋体"/>
          <w:color w:val="auto"/>
          <w:sz w:val="21"/>
          <w:szCs w:val="21"/>
          <w:highlight w:val="none"/>
          <w:lang w:val="en-US" w:eastAsia="zh-CN"/>
        </w:rPr>
        <w:t>100</w:t>
      </w:r>
      <w:r>
        <w:rPr>
          <w:rFonts w:ascii="宋体" w:hAnsi="宋体" w:eastAsia="宋体" w:cs="宋体"/>
          <w:color w:val="auto"/>
          <w:sz w:val="21"/>
          <w:szCs w:val="21"/>
          <w:highlight w:val="none"/>
        </w:rPr>
        <w:t>公里的</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车辆租用费</w:t>
      </w:r>
      <w:r>
        <w:rPr>
          <w:rFonts w:hint="eastAsia" w:ascii="宋体" w:hAnsi="宋体" w:eastAsia="宋体" w:cs="宋体"/>
          <w:color w:val="auto"/>
          <w:sz w:val="21"/>
          <w:szCs w:val="21"/>
          <w:highlight w:val="none"/>
          <w:lang w:val="en-US" w:eastAsia="zh-CN"/>
        </w:rPr>
        <w:t>200元</w:t>
      </w:r>
      <w:r>
        <w:rPr>
          <w:rFonts w:hint="eastAsia" w:ascii="宋体" w:hAnsi="宋体" w:cs="宋体"/>
          <w:color w:val="auto"/>
          <w:sz w:val="21"/>
          <w:szCs w:val="21"/>
          <w:highlight w:val="none"/>
          <w:lang w:val="en-US" w:eastAsia="zh-CN"/>
        </w:rPr>
        <w:t>/辆</w:t>
      </w:r>
      <w:r>
        <w:rPr>
          <w:rFonts w:ascii="宋体" w:hAnsi="宋体" w:eastAsia="宋体" w:cs="宋体"/>
          <w:color w:val="auto"/>
          <w:sz w:val="21"/>
          <w:szCs w:val="21"/>
          <w:highlight w:val="none"/>
        </w:rPr>
        <w:t>、驾驶员雇佣费</w:t>
      </w:r>
      <w:r>
        <w:rPr>
          <w:rFonts w:hint="eastAsia" w:ascii="宋体" w:hAnsi="宋体" w:eastAsia="宋体" w:cs="宋体"/>
          <w:color w:val="auto"/>
          <w:sz w:val="21"/>
          <w:szCs w:val="21"/>
          <w:highlight w:val="none"/>
          <w:lang w:val="en-US" w:eastAsia="zh-CN"/>
        </w:rPr>
        <w:t>100元</w:t>
      </w:r>
      <w:r>
        <w:rPr>
          <w:rFonts w:hint="eastAsia" w:ascii="宋体" w:hAnsi="宋体" w:cs="宋体"/>
          <w:color w:val="auto"/>
          <w:sz w:val="21"/>
          <w:szCs w:val="21"/>
          <w:highlight w:val="none"/>
          <w:lang w:val="en-US" w:eastAsia="zh-CN"/>
        </w:rPr>
        <w:t>/辆</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rPr>
        <w:t>燃油费、车辆通行费</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停车费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超时费、</w:t>
      </w:r>
      <w:r>
        <w:rPr>
          <w:rFonts w:ascii="宋体" w:hAnsi="宋体" w:eastAsia="宋体" w:cs="宋体"/>
          <w:color w:val="auto"/>
          <w:sz w:val="21"/>
          <w:szCs w:val="21"/>
          <w:highlight w:val="none"/>
          <w:lang w:val="en-US" w:eastAsia="zh-CN"/>
        </w:rPr>
        <w:t>超公里费</w:t>
      </w:r>
      <w:r>
        <w:rPr>
          <w:rFonts w:hint="eastAsia" w:ascii="宋体" w:hAnsi="宋体" w:eastAsia="宋体" w:cs="宋体"/>
          <w:color w:val="auto"/>
          <w:sz w:val="21"/>
          <w:szCs w:val="21"/>
          <w:highlight w:val="none"/>
          <w:lang w:val="en-US" w:eastAsia="zh-CN"/>
        </w:rPr>
        <w:t>等</w:t>
      </w:r>
      <w:r>
        <w:rPr>
          <w:rFonts w:ascii="宋体" w:hAnsi="宋体" w:eastAsia="宋体" w:cs="宋体"/>
          <w:color w:val="auto"/>
          <w:sz w:val="21"/>
          <w:szCs w:val="21"/>
          <w:highlight w:val="none"/>
        </w:rPr>
        <w:t>合并计算</w:t>
      </w:r>
      <w:r>
        <w:rPr>
          <w:rFonts w:hint="eastAsia" w:ascii="宋体" w:hAnsi="宋体" w:eastAsia="宋体" w:cs="宋体"/>
          <w:color w:val="auto"/>
          <w:sz w:val="21"/>
          <w:szCs w:val="21"/>
          <w:highlight w:val="none"/>
          <w:lang w:val="en-US" w:eastAsia="zh-CN"/>
        </w:rPr>
        <w:t>100元</w:t>
      </w:r>
      <w:r>
        <w:rPr>
          <w:rFonts w:hint="eastAsia" w:ascii="宋体" w:hAnsi="宋体" w:cs="宋体"/>
          <w:color w:val="auto"/>
          <w:sz w:val="21"/>
          <w:szCs w:val="21"/>
          <w:highlight w:val="none"/>
          <w:lang w:val="en-US" w:eastAsia="zh-CN"/>
        </w:rPr>
        <w:t>/辆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以上小计</w:t>
      </w:r>
      <w:r>
        <w:rPr>
          <w:rFonts w:hint="eastAsia" w:ascii="宋体" w:hAnsi="宋体" w:eastAsia="宋体" w:cs="宋体"/>
          <w:color w:val="auto"/>
          <w:sz w:val="21"/>
          <w:szCs w:val="21"/>
          <w:highlight w:val="none"/>
          <w:lang w:val="en-US" w:eastAsia="zh-CN"/>
        </w:rPr>
        <w:t>400元</w:t>
      </w:r>
      <w:r>
        <w:rPr>
          <w:rFonts w:ascii="宋体" w:hAnsi="宋体" w:eastAsia="宋体" w:cs="宋体"/>
          <w:color w:val="auto"/>
          <w:sz w:val="21"/>
          <w:szCs w:val="21"/>
          <w:highlight w:val="none"/>
        </w:rPr>
        <w:t>。</w:t>
      </w:r>
    </w:p>
    <w:p>
      <w:pPr>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日出行距离</w:t>
      </w:r>
      <w:r>
        <w:rPr>
          <w:rFonts w:hint="eastAsia" w:ascii="宋体" w:hAnsi="宋体" w:cs="宋体"/>
          <w:color w:val="auto"/>
          <w:sz w:val="21"/>
          <w:szCs w:val="21"/>
          <w:highlight w:val="none"/>
          <w:lang w:eastAsia="zh-CN"/>
        </w:rPr>
        <w:t>大于</w:t>
      </w:r>
      <w:r>
        <w:rPr>
          <w:rFonts w:hint="eastAsia" w:ascii="宋体" w:hAnsi="宋体" w:cs="宋体"/>
          <w:color w:val="auto"/>
          <w:sz w:val="21"/>
          <w:szCs w:val="21"/>
          <w:highlight w:val="none"/>
          <w:lang w:val="en-US" w:eastAsia="zh-CN"/>
        </w:rPr>
        <w:t>100</w:t>
      </w:r>
      <w:r>
        <w:rPr>
          <w:rFonts w:ascii="宋体" w:hAnsi="宋体" w:eastAsia="宋体" w:cs="宋体"/>
          <w:color w:val="auto"/>
          <w:sz w:val="21"/>
          <w:szCs w:val="21"/>
          <w:highlight w:val="none"/>
        </w:rPr>
        <w:t>公里</w:t>
      </w:r>
      <w:r>
        <w:rPr>
          <w:rFonts w:hint="eastAsia" w:ascii="宋体" w:hAnsi="宋体" w:cs="宋体"/>
          <w:color w:val="auto"/>
          <w:sz w:val="21"/>
          <w:szCs w:val="21"/>
          <w:highlight w:val="none"/>
          <w:lang w:eastAsia="zh-CN"/>
        </w:rPr>
        <w:t>小于等于</w:t>
      </w:r>
      <w:r>
        <w:rPr>
          <w:rFonts w:hint="eastAsia" w:ascii="宋体" w:hAnsi="宋体" w:cs="宋体"/>
          <w:color w:val="auto"/>
          <w:sz w:val="21"/>
          <w:szCs w:val="21"/>
          <w:highlight w:val="none"/>
          <w:lang w:val="en-US" w:eastAsia="zh-CN"/>
        </w:rPr>
        <w:t>200公里的</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车辆租用费</w:t>
      </w:r>
      <w:r>
        <w:rPr>
          <w:rFonts w:hint="eastAsia" w:ascii="宋体" w:hAnsi="宋体" w:cs="宋体"/>
          <w:color w:val="auto"/>
          <w:sz w:val="21"/>
          <w:szCs w:val="21"/>
          <w:highlight w:val="none"/>
          <w:lang w:val="en-US" w:eastAsia="zh-CN"/>
        </w:rPr>
        <w:t>300</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/辆</w:t>
      </w:r>
      <w:r>
        <w:rPr>
          <w:rFonts w:ascii="宋体" w:hAnsi="宋体" w:eastAsia="宋体" w:cs="宋体"/>
          <w:color w:val="auto"/>
          <w:sz w:val="21"/>
          <w:szCs w:val="21"/>
          <w:highlight w:val="none"/>
        </w:rPr>
        <w:t>、驾驶员雇佣费</w:t>
      </w:r>
      <w:r>
        <w:rPr>
          <w:rFonts w:hint="eastAsia" w:ascii="宋体" w:hAnsi="宋体" w:cs="宋体"/>
          <w:color w:val="auto"/>
          <w:sz w:val="21"/>
          <w:szCs w:val="21"/>
          <w:highlight w:val="none"/>
          <w:lang w:val="en-US" w:eastAsia="zh-CN"/>
        </w:rPr>
        <w:t>150</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/辆</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rPr>
        <w:t>燃油费、车辆通行费</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停车费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超时费、</w:t>
      </w:r>
      <w:r>
        <w:rPr>
          <w:rFonts w:ascii="宋体" w:hAnsi="宋体" w:eastAsia="宋体" w:cs="宋体"/>
          <w:color w:val="auto"/>
          <w:sz w:val="21"/>
          <w:szCs w:val="21"/>
          <w:highlight w:val="none"/>
          <w:lang w:val="en-US" w:eastAsia="zh-CN"/>
        </w:rPr>
        <w:t>超公里费</w:t>
      </w:r>
      <w:r>
        <w:rPr>
          <w:rFonts w:hint="eastAsia" w:ascii="宋体" w:hAnsi="宋体" w:eastAsia="宋体" w:cs="宋体"/>
          <w:color w:val="auto"/>
          <w:sz w:val="21"/>
          <w:szCs w:val="21"/>
          <w:highlight w:val="none"/>
          <w:lang w:val="en-US" w:eastAsia="zh-CN"/>
        </w:rPr>
        <w:t>等</w:t>
      </w:r>
      <w:r>
        <w:rPr>
          <w:rFonts w:ascii="宋体" w:hAnsi="宋体" w:eastAsia="宋体" w:cs="宋体"/>
          <w:color w:val="auto"/>
          <w:sz w:val="21"/>
          <w:szCs w:val="21"/>
          <w:highlight w:val="none"/>
        </w:rPr>
        <w:t>合并计算</w:t>
      </w:r>
      <w:r>
        <w:rPr>
          <w:rFonts w:hint="eastAsia" w:ascii="宋体" w:hAnsi="宋体" w:cs="宋体"/>
          <w:color w:val="auto"/>
          <w:sz w:val="21"/>
          <w:szCs w:val="21"/>
          <w:highlight w:val="none"/>
          <w:lang w:val="en-US" w:eastAsia="zh-CN"/>
        </w:rPr>
        <w:t>150</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/辆，以上小计600元</w:t>
      </w:r>
      <w:r>
        <w:rPr>
          <w:rFonts w:ascii="宋体" w:hAnsi="宋体" w:eastAsia="宋体" w:cs="宋体"/>
          <w:color w:val="auto"/>
          <w:sz w:val="21"/>
          <w:szCs w:val="21"/>
          <w:highlight w:val="none"/>
        </w:rPr>
        <w:t>。</w:t>
      </w:r>
    </w:p>
    <w:p>
      <w:pPr>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日出行距离</w:t>
      </w:r>
      <w:r>
        <w:rPr>
          <w:rFonts w:hint="eastAsia" w:ascii="宋体" w:hAnsi="宋体" w:cs="宋体"/>
          <w:color w:val="auto"/>
          <w:sz w:val="21"/>
          <w:szCs w:val="21"/>
          <w:highlight w:val="none"/>
          <w:lang w:eastAsia="zh-CN"/>
        </w:rPr>
        <w:t>大于</w:t>
      </w:r>
      <w:r>
        <w:rPr>
          <w:rFonts w:hint="eastAsia" w:ascii="宋体" w:hAnsi="宋体" w:cs="宋体"/>
          <w:color w:val="auto"/>
          <w:sz w:val="21"/>
          <w:szCs w:val="21"/>
          <w:highlight w:val="none"/>
          <w:lang w:val="en-US" w:eastAsia="zh-CN"/>
        </w:rPr>
        <w:t>200</w:t>
      </w:r>
      <w:r>
        <w:rPr>
          <w:rFonts w:ascii="宋体" w:hAnsi="宋体" w:eastAsia="宋体" w:cs="宋体"/>
          <w:color w:val="auto"/>
          <w:sz w:val="21"/>
          <w:szCs w:val="21"/>
          <w:highlight w:val="none"/>
        </w:rPr>
        <w:t>公里</w:t>
      </w:r>
      <w:r>
        <w:rPr>
          <w:rFonts w:hint="eastAsia" w:ascii="宋体" w:hAnsi="宋体" w:cs="宋体"/>
          <w:color w:val="auto"/>
          <w:sz w:val="21"/>
          <w:szCs w:val="21"/>
          <w:highlight w:val="none"/>
          <w:lang w:eastAsia="zh-CN"/>
        </w:rPr>
        <w:t>小于等于</w:t>
      </w:r>
      <w:r>
        <w:rPr>
          <w:rFonts w:hint="eastAsia" w:ascii="宋体" w:hAnsi="宋体" w:cs="宋体"/>
          <w:color w:val="auto"/>
          <w:sz w:val="21"/>
          <w:szCs w:val="21"/>
          <w:highlight w:val="none"/>
          <w:lang w:val="en-US" w:eastAsia="zh-CN"/>
        </w:rPr>
        <w:t>250公里的</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车辆租用费</w:t>
      </w:r>
      <w:r>
        <w:rPr>
          <w:rFonts w:hint="eastAsia" w:ascii="宋体" w:hAnsi="宋体" w:cs="宋体"/>
          <w:color w:val="auto"/>
          <w:sz w:val="21"/>
          <w:szCs w:val="21"/>
          <w:highlight w:val="none"/>
          <w:lang w:val="en-US" w:eastAsia="zh-CN"/>
        </w:rPr>
        <w:t>410</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/辆</w:t>
      </w:r>
      <w:r>
        <w:rPr>
          <w:rFonts w:ascii="宋体" w:hAnsi="宋体" w:eastAsia="宋体" w:cs="宋体"/>
          <w:color w:val="auto"/>
          <w:sz w:val="21"/>
          <w:szCs w:val="21"/>
          <w:highlight w:val="none"/>
        </w:rPr>
        <w:t>、驾驶员雇佣费</w:t>
      </w:r>
      <w:r>
        <w:rPr>
          <w:rFonts w:hint="eastAsia" w:ascii="宋体" w:hAnsi="宋体" w:cs="宋体"/>
          <w:color w:val="auto"/>
          <w:sz w:val="21"/>
          <w:szCs w:val="21"/>
          <w:highlight w:val="none"/>
          <w:lang w:val="en-US" w:eastAsia="zh-CN"/>
        </w:rPr>
        <w:t>200</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/辆</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rPr>
        <w:t>燃油费、车辆通行费</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停车费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超时费、</w:t>
      </w:r>
      <w:r>
        <w:rPr>
          <w:rFonts w:ascii="宋体" w:hAnsi="宋体" w:eastAsia="宋体" w:cs="宋体"/>
          <w:color w:val="auto"/>
          <w:sz w:val="21"/>
          <w:szCs w:val="21"/>
          <w:highlight w:val="none"/>
          <w:lang w:val="en-US" w:eastAsia="zh-CN"/>
        </w:rPr>
        <w:t>超公里费</w:t>
      </w:r>
      <w:r>
        <w:rPr>
          <w:rFonts w:hint="eastAsia" w:ascii="宋体" w:hAnsi="宋体" w:eastAsia="宋体" w:cs="宋体"/>
          <w:color w:val="auto"/>
          <w:sz w:val="21"/>
          <w:szCs w:val="21"/>
          <w:highlight w:val="none"/>
          <w:lang w:val="en-US" w:eastAsia="zh-CN"/>
        </w:rPr>
        <w:t>等</w:t>
      </w:r>
      <w:r>
        <w:rPr>
          <w:rFonts w:ascii="宋体" w:hAnsi="宋体" w:eastAsia="宋体" w:cs="宋体"/>
          <w:color w:val="auto"/>
          <w:sz w:val="21"/>
          <w:szCs w:val="21"/>
          <w:highlight w:val="none"/>
        </w:rPr>
        <w:t>合并计算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/辆，以上小计800元</w:t>
      </w:r>
      <w:r>
        <w:rPr>
          <w:rFonts w:ascii="宋体" w:hAnsi="宋体" w:eastAsia="宋体" w:cs="宋体"/>
          <w:color w:val="auto"/>
          <w:sz w:val="21"/>
          <w:szCs w:val="21"/>
          <w:highlight w:val="none"/>
        </w:rPr>
        <w:t>。</w:t>
      </w:r>
    </w:p>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lang w:val="en-US" w:eastAsia="zh-CN" w:bidi="ar"/>
        </w:rPr>
        <w:t>3、</w:t>
      </w:r>
      <w:r>
        <w:rPr>
          <w:rFonts w:ascii="宋体" w:hAnsi="宋体" w:eastAsia="宋体" w:cs="宋体"/>
          <w:color w:val="auto"/>
          <w:sz w:val="21"/>
          <w:szCs w:val="21"/>
          <w:highlight w:val="none"/>
        </w:rPr>
        <w:t>日均出行距离</w:t>
      </w:r>
      <w:r>
        <w:rPr>
          <w:rFonts w:hint="eastAsia" w:ascii="宋体" w:hAnsi="宋体" w:cs="宋体"/>
          <w:color w:val="auto"/>
          <w:sz w:val="21"/>
          <w:szCs w:val="21"/>
          <w:highlight w:val="none"/>
          <w:lang w:eastAsia="zh-CN"/>
        </w:rPr>
        <w:t>大于</w:t>
      </w:r>
      <w:r>
        <w:rPr>
          <w:rFonts w:ascii="宋体" w:hAnsi="宋体" w:eastAsia="宋体" w:cs="宋体"/>
          <w:color w:val="auto"/>
          <w:sz w:val="21"/>
          <w:szCs w:val="21"/>
          <w:highlight w:val="none"/>
        </w:rPr>
        <w:t>250公里的租车</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val="en-US" w:eastAsia="zh-CN"/>
        </w:rPr>
        <w:t>驾驶员餐食费用每日80元/辆，</w:t>
      </w: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人员实际行程安排</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需要留宿过夜的，</w:t>
      </w:r>
      <w:r>
        <w:rPr>
          <w:rFonts w:hint="eastAsia" w:ascii="宋体" w:hAnsi="宋体" w:cs="宋体"/>
          <w:b/>
          <w:bCs/>
          <w:color w:val="auto"/>
          <w:sz w:val="21"/>
          <w:szCs w:val="21"/>
          <w:highlight w:val="none"/>
          <w:lang w:val="en-US" w:eastAsia="zh-CN"/>
        </w:rPr>
        <w:t>驾驶员住宿费用每晚350元/辆</w:t>
      </w:r>
      <w:r>
        <w:rPr>
          <w:rFonts w:hint="eastAsia" w:ascii="宋体" w:hAnsi="宋体" w:eastAsia="宋体" w:cs="宋体"/>
          <w:color w:val="auto"/>
          <w:sz w:val="21"/>
          <w:szCs w:val="21"/>
          <w:highlight w:val="none"/>
          <w:lang w:val="en-US" w:eastAsia="zh-CN"/>
        </w:rPr>
        <w:t>。</w:t>
      </w:r>
    </w:p>
    <w:p>
      <w:pPr>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日出行距离</w:t>
      </w:r>
      <w:r>
        <w:rPr>
          <w:rFonts w:hint="eastAsia" w:ascii="宋体" w:hAnsi="宋体" w:cs="宋体"/>
          <w:color w:val="auto"/>
          <w:sz w:val="21"/>
          <w:szCs w:val="21"/>
          <w:highlight w:val="none"/>
          <w:lang w:eastAsia="zh-CN"/>
        </w:rPr>
        <w:t>大于</w:t>
      </w:r>
      <w:r>
        <w:rPr>
          <w:rFonts w:hint="eastAsia" w:ascii="宋体" w:hAnsi="宋体" w:cs="宋体"/>
          <w:color w:val="auto"/>
          <w:sz w:val="21"/>
          <w:szCs w:val="21"/>
          <w:highlight w:val="none"/>
          <w:lang w:val="en-US" w:eastAsia="zh-CN"/>
        </w:rPr>
        <w:t>250公里的，</w:t>
      </w:r>
      <w:r>
        <w:rPr>
          <w:rFonts w:hint="eastAsia" w:ascii="宋体" w:hAnsi="宋体" w:eastAsia="宋体" w:cs="宋体"/>
          <w:color w:val="auto"/>
          <w:sz w:val="21"/>
          <w:szCs w:val="21"/>
          <w:highlight w:val="none"/>
          <w:lang w:val="en-US" w:eastAsia="zh-CN"/>
        </w:rPr>
        <w:t>按照每日</w:t>
      </w:r>
      <w:r>
        <w:rPr>
          <w:rFonts w:ascii="宋体" w:hAnsi="宋体" w:eastAsia="宋体" w:cs="宋体"/>
          <w:color w:val="auto"/>
          <w:sz w:val="21"/>
          <w:szCs w:val="21"/>
          <w:highlight w:val="none"/>
        </w:rPr>
        <w:t>车辆租用费</w:t>
      </w:r>
      <w:r>
        <w:rPr>
          <w:rFonts w:hint="eastAsia" w:ascii="宋体" w:hAnsi="宋体" w:eastAsia="宋体" w:cs="宋体"/>
          <w:color w:val="auto"/>
          <w:sz w:val="21"/>
          <w:szCs w:val="21"/>
          <w:highlight w:val="none"/>
          <w:lang w:val="en-US" w:eastAsia="zh-CN"/>
        </w:rPr>
        <w:t>410元</w:t>
      </w:r>
      <w:r>
        <w:rPr>
          <w:rFonts w:hint="eastAsia" w:ascii="宋体" w:hAnsi="宋体" w:cs="宋体"/>
          <w:color w:val="auto"/>
          <w:sz w:val="21"/>
          <w:szCs w:val="21"/>
          <w:highlight w:val="none"/>
          <w:lang w:val="en-US" w:eastAsia="zh-CN"/>
        </w:rPr>
        <w:t>/辆</w:t>
      </w:r>
      <w:r>
        <w:rPr>
          <w:rFonts w:ascii="宋体" w:hAnsi="宋体" w:eastAsia="宋体" w:cs="宋体"/>
          <w:color w:val="auto"/>
          <w:sz w:val="21"/>
          <w:szCs w:val="21"/>
          <w:highlight w:val="none"/>
        </w:rPr>
        <w:t>、驾驶员</w:t>
      </w:r>
      <w:r>
        <w:rPr>
          <w:rFonts w:hint="eastAsia" w:ascii="宋体" w:hAnsi="宋体" w:eastAsia="宋体" w:cs="宋体"/>
          <w:color w:val="auto"/>
          <w:sz w:val="21"/>
          <w:szCs w:val="21"/>
          <w:highlight w:val="none"/>
          <w:lang w:val="en-US" w:eastAsia="zh-CN"/>
        </w:rPr>
        <w:t>每日</w:t>
      </w:r>
      <w:r>
        <w:rPr>
          <w:rFonts w:ascii="宋体" w:hAnsi="宋体" w:eastAsia="宋体" w:cs="宋体"/>
          <w:color w:val="auto"/>
          <w:sz w:val="21"/>
          <w:szCs w:val="21"/>
          <w:highlight w:val="none"/>
        </w:rPr>
        <w:t>雇佣费</w:t>
      </w:r>
      <w:r>
        <w:rPr>
          <w:rFonts w:hint="eastAsia" w:ascii="宋体" w:hAnsi="宋体" w:eastAsia="宋体" w:cs="宋体"/>
          <w:color w:val="auto"/>
          <w:sz w:val="21"/>
          <w:szCs w:val="21"/>
          <w:highlight w:val="none"/>
          <w:lang w:val="en-US" w:eastAsia="zh-CN"/>
        </w:rPr>
        <w:t>200元</w:t>
      </w:r>
      <w:r>
        <w:rPr>
          <w:rFonts w:hint="eastAsia" w:ascii="宋体" w:hAnsi="宋体" w:cs="宋体"/>
          <w:color w:val="auto"/>
          <w:sz w:val="21"/>
          <w:szCs w:val="21"/>
          <w:highlight w:val="none"/>
          <w:lang w:val="en-US" w:eastAsia="zh-CN"/>
        </w:rPr>
        <w:t>/辆</w:t>
      </w:r>
      <w:r>
        <w:rPr>
          <w:rFonts w:hint="eastAsia" w:ascii="宋体" w:hAnsi="宋体" w:eastAsia="宋体" w:cs="宋体"/>
          <w:color w:val="auto"/>
          <w:sz w:val="21"/>
          <w:szCs w:val="21"/>
          <w:highlight w:val="none"/>
          <w:lang w:val="en-US" w:eastAsia="zh-CN"/>
        </w:rPr>
        <w:t>计算；</w:t>
      </w:r>
      <w:r>
        <w:rPr>
          <w:rFonts w:ascii="宋体" w:hAnsi="宋体" w:eastAsia="宋体" w:cs="宋体"/>
          <w:color w:val="auto"/>
          <w:sz w:val="21"/>
          <w:szCs w:val="21"/>
          <w:highlight w:val="none"/>
        </w:rPr>
        <w:t>燃油费、车辆通行费</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停车费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超时费、</w:t>
      </w:r>
      <w:r>
        <w:rPr>
          <w:rFonts w:ascii="宋体" w:hAnsi="宋体" w:eastAsia="宋体" w:cs="宋体"/>
          <w:color w:val="auto"/>
          <w:sz w:val="21"/>
          <w:szCs w:val="21"/>
          <w:highlight w:val="none"/>
          <w:lang w:val="en-US" w:eastAsia="zh-CN"/>
        </w:rPr>
        <w:t>超公里费</w:t>
      </w:r>
      <w:r>
        <w:rPr>
          <w:rFonts w:hint="eastAsia" w:ascii="宋体" w:hAnsi="宋体" w:eastAsia="宋体" w:cs="宋体"/>
          <w:color w:val="auto"/>
          <w:sz w:val="21"/>
          <w:szCs w:val="21"/>
          <w:highlight w:val="none"/>
          <w:lang w:val="en-US" w:eastAsia="zh-CN"/>
        </w:rPr>
        <w:t>等</w:t>
      </w:r>
      <w:r>
        <w:rPr>
          <w:rFonts w:ascii="宋体" w:hAnsi="宋体" w:eastAsia="宋体" w:cs="宋体"/>
          <w:color w:val="auto"/>
          <w:sz w:val="21"/>
          <w:szCs w:val="21"/>
          <w:highlight w:val="none"/>
        </w:rPr>
        <w:t>合并计算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按照</w:t>
      </w:r>
      <w:r>
        <w:rPr>
          <w:rFonts w:hint="eastAsia" w:ascii="宋体" w:hAnsi="宋体" w:eastAsia="宋体" w:cs="宋体"/>
          <w:color w:val="auto"/>
          <w:sz w:val="21"/>
          <w:szCs w:val="21"/>
          <w:highlight w:val="none"/>
        </w:rPr>
        <w:t>百度地图测量始发地到目的地</w:t>
      </w:r>
      <w:r>
        <w:rPr>
          <w:rFonts w:hint="eastAsia" w:ascii="宋体" w:hAnsi="宋体" w:eastAsia="宋体" w:cs="宋体"/>
          <w:color w:val="auto"/>
          <w:sz w:val="21"/>
          <w:szCs w:val="21"/>
          <w:highlight w:val="none"/>
          <w:lang w:val="en-US" w:eastAsia="zh-CN"/>
        </w:rPr>
        <w:t>单程</w:t>
      </w:r>
      <w:r>
        <w:rPr>
          <w:rFonts w:hint="eastAsia" w:ascii="宋体" w:hAnsi="宋体" w:eastAsia="宋体" w:cs="宋体"/>
          <w:color w:val="auto"/>
          <w:sz w:val="21"/>
          <w:szCs w:val="21"/>
          <w:highlight w:val="none"/>
        </w:rPr>
        <w:t>公里数</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（高</w:t>
      </w:r>
      <w:r>
        <w:rPr>
          <w:rFonts w:hint="eastAsia" w:ascii="宋体" w:hAnsi="宋体" w:eastAsia="宋体" w:cs="宋体"/>
          <w:color w:val="auto"/>
          <w:kern w:val="2"/>
          <w:sz w:val="21"/>
          <w:szCs w:val="21"/>
          <w:highlight w:val="none"/>
          <w:lang w:bidi="ar"/>
        </w:rPr>
        <w:t>速路优先）计算</w:t>
      </w:r>
      <w:r>
        <w:rPr>
          <w:rFonts w:hint="eastAsia" w:ascii="宋体" w:hAnsi="宋体" w:cs="宋体"/>
          <w:color w:val="auto"/>
          <w:kern w:val="2"/>
          <w:sz w:val="21"/>
          <w:szCs w:val="21"/>
          <w:highlight w:val="none"/>
          <w:lang w:eastAsia="zh-CN" w:bidi="ar"/>
        </w:rPr>
        <w:t>，</w:t>
      </w:r>
      <w:r>
        <w:rPr>
          <w:rFonts w:hint="eastAsia" w:ascii="宋体" w:hAnsi="宋体" w:cs="宋体"/>
          <w:b/>
          <w:bCs/>
          <w:color w:val="auto"/>
          <w:kern w:val="2"/>
          <w:sz w:val="21"/>
          <w:szCs w:val="21"/>
          <w:highlight w:val="none"/>
          <w:lang w:val="en-US" w:eastAsia="zh-CN" w:bidi="ar"/>
        </w:rPr>
        <w:t>每公里</w:t>
      </w:r>
      <w:r>
        <w:rPr>
          <w:rFonts w:hint="eastAsia" w:ascii="宋体" w:hAnsi="宋体" w:cs="宋体"/>
          <w:b/>
          <w:bCs/>
          <w:color w:val="auto"/>
          <w:sz w:val="21"/>
          <w:szCs w:val="21"/>
          <w:highlight w:val="none"/>
          <w:lang w:val="en-US" w:eastAsia="zh-CN"/>
        </w:rPr>
        <w:t>≤2.60元/辆</w:t>
      </w:r>
      <w:r>
        <w:rPr>
          <w:rFonts w:hint="eastAsia" w:ascii="宋体" w:hAnsi="宋体" w:cs="宋体"/>
          <w:color w:val="auto"/>
          <w:sz w:val="21"/>
          <w:szCs w:val="21"/>
          <w:highlight w:val="none"/>
          <w:lang w:val="en-US" w:eastAsia="zh-CN"/>
        </w:rPr>
        <w:t>。</w:t>
      </w:r>
    </w:p>
    <w:p>
      <w:pPr>
        <w:snapToGrid w:val="0"/>
        <w:spacing w:line="360" w:lineRule="auto"/>
        <w:ind w:firstLine="420" w:firstLineChars="200"/>
        <w:rPr>
          <w:rFonts w:hint="eastAsia" w:ascii="宋体" w:hAnsi="宋体" w:eastAsia="宋体" w:cs="宋体"/>
          <w:color w:val="auto"/>
          <w:kern w:val="2"/>
          <w:sz w:val="21"/>
          <w:szCs w:val="21"/>
          <w:highlight w:val="none"/>
          <w:lang w:bidi="ar"/>
        </w:rPr>
      </w:pPr>
      <w:r>
        <w:rPr>
          <w:rFonts w:hint="eastAsia" w:ascii="宋体" w:hAnsi="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bidi="ar"/>
        </w:rPr>
        <w:t>（四）服务期限：自合同生效之日起两年</w:t>
      </w:r>
      <w:r>
        <w:rPr>
          <w:rFonts w:hint="eastAsia" w:ascii="宋体" w:hAnsi="宋体" w:eastAsia="宋体" w:cs="宋体"/>
          <w:color w:val="auto"/>
          <w:kern w:val="2"/>
          <w:sz w:val="21"/>
          <w:szCs w:val="21"/>
          <w:highlight w:val="none"/>
          <w:lang w:eastAsia="zh-CN" w:bidi="ar"/>
        </w:rPr>
        <w:t>，</w:t>
      </w:r>
      <w:r>
        <w:rPr>
          <w:rFonts w:hint="eastAsia" w:ascii="宋体" w:hAnsi="宋体" w:eastAsia="宋体" w:cs="宋体"/>
          <w:color w:val="auto"/>
          <w:kern w:val="2"/>
          <w:sz w:val="21"/>
          <w:szCs w:val="21"/>
          <w:highlight w:val="none"/>
          <w:lang w:bidi="ar"/>
        </w:rPr>
        <w:t>本项目具体终止时间以达到</w:t>
      </w:r>
      <w:r>
        <w:rPr>
          <w:rFonts w:hint="eastAsia" w:ascii="宋体" w:hAnsi="宋体" w:eastAsia="宋体" w:cs="宋体"/>
          <w:color w:val="auto"/>
          <w:kern w:val="2"/>
          <w:sz w:val="21"/>
          <w:szCs w:val="21"/>
          <w:highlight w:val="none"/>
          <w:lang w:eastAsia="zh-CN" w:bidi="ar"/>
        </w:rPr>
        <w:t>采购</w:t>
      </w:r>
      <w:r>
        <w:rPr>
          <w:rFonts w:hint="eastAsia" w:ascii="宋体" w:hAnsi="宋体" w:eastAsia="宋体" w:cs="宋体"/>
          <w:color w:val="auto"/>
          <w:kern w:val="2"/>
          <w:sz w:val="21"/>
          <w:szCs w:val="21"/>
          <w:highlight w:val="none"/>
          <w:lang w:val="en-US" w:eastAsia="zh-CN" w:bidi="ar"/>
        </w:rPr>
        <w:t>人</w:t>
      </w:r>
      <w:r>
        <w:rPr>
          <w:rFonts w:hint="eastAsia" w:ascii="宋体" w:hAnsi="宋体" w:eastAsia="宋体" w:cs="宋体"/>
          <w:color w:val="auto"/>
          <w:kern w:val="2"/>
          <w:sz w:val="21"/>
          <w:szCs w:val="21"/>
          <w:highlight w:val="none"/>
          <w:lang w:bidi="ar"/>
        </w:rPr>
        <w:t>预算金额或合同截止日期两者先到为准。</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服务标准</w:t>
      </w:r>
    </w:p>
    <w:p>
      <w:pPr>
        <w:bidi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英德监狱采购租赁车辆清单参数</w:t>
      </w:r>
    </w:p>
    <w:tbl>
      <w:tblPr>
        <w:tblStyle w:val="40"/>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094"/>
        <w:gridCol w:w="2881"/>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vAlign w:val="center"/>
          </w:tcPr>
          <w:p>
            <w:pPr>
              <w:snapToGrid w:val="0"/>
              <w:spacing w:line="360" w:lineRule="auto"/>
              <w:jc w:val="center"/>
              <w:rPr>
                <w:rFonts w:hint="eastAsia" w:ascii="宋体" w:hAnsi="宋体" w:eastAsia="宋体" w:cs="宋体"/>
                <w:color w:val="auto"/>
                <w:sz w:val="21"/>
                <w:szCs w:val="21"/>
                <w:highlight w:val="none"/>
                <w:vertAlign w:val="baseline"/>
              </w:rPr>
            </w:pP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类别</w:t>
            </w:r>
          </w:p>
        </w:tc>
        <w:tc>
          <w:tcPr>
            <w:tcW w:w="2094" w:type="dxa"/>
            <w:vAlign w:val="center"/>
          </w:tcPr>
          <w:p>
            <w:pPr>
              <w:snapToGrid w:val="0"/>
              <w:spacing w:line="360" w:lineRule="auto"/>
              <w:jc w:val="center"/>
              <w:rPr>
                <w:rFonts w:hint="eastAsia" w:ascii="宋体" w:hAnsi="宋体" w:eastAsia="宋体" w:cs="宋体"/>
                <w:color w:val="auto"/>
                <w:sz w:val="21"/>
                <w:szCs w:val="21"/>
                <w:highlight w:val="none"/>
                <w:vertAlign w:val="baseline"/>
              </w:rPr>
            </w:pPr>
            <w:r>
              <w:rPr>
                <w:rFonts w:hint="eastAsia" w:ascii="宋体" w:hAnsi="宋体" w:eastAsia="宋体" w:cs="宋体"/>
                <w:bCs/>
                <w:color w:val="auto"/>
                <w:sz w:val="21"/>
                <w:szCs w:val="21"/>
                <w:highlight w:val="none"/>
              </w:rPr>
              <w:t>名称</w:t>
            </w:r>
          </w:p>
        </w:tc>
        <w:tc>
          <w:tcPr>
            <w:tcW w:w="2881" w:type="dxa"/>
            <w:vAlign w:val="center"/>
          </w:tcPr>
          <w:p>
            <w:pPr>
              <w:snapToGrid w:val="0"/>
              <w:spacing w:line="360" w:lineRule="auto"/>
              <w:jc w:val="center"/>
              <w:rPr>
                <w:rFonts w:hint="eastAsia" w:ascii="宋体" w:hAnsi="宋体" w:eastAsia="宋体" w:cs="宋体"/>
                <w:color w:val="auto"/>
                <w:sz w:val="21"/>
                <w:szCs w:val="21"/>
                <w:highlight w:val="none"/>
                <w:vertAlign w:val="baseline"/>
              </w:rPr>
            </w:pPr>
            <w:r>
              <w:rPr>
                <w:rFonts w:hint="eastAsia" w:ascii="宋体" w:hAnsi="宋体" w:eastAsia="宋体" w:cs="宋体"/>
                <w:bCs/>
                <w:color w:val="auto"/>
                <w:sz w:val="21"/>
                <w:szCs w:val="21"/>
                <w:highlight w:val="none"/>
              </w:rPr>
              <w:t>型号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要求</w:t>
            </w:r>
          </w:p>
        </w:tc>
        <w:tc>
          <w:tcPr>
            <w:tcW w:w="2499" w:type="dxa"/>
            <w:vAlign w:val="center"/>
          </w:tcPr>
          <w:p>
            <w:pPr>
              <w:snapToGrid w:val="0"/>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cs="宋体"/>
                <w:bCs/>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vAlign w:val="center"/>
          </w:tcPr>
          <w:p>
            <w:pPr>
              <w:snapToGrid w:val="0"/>
              <w:spacing w:after="200" w:line="360" w:lineRule="auto"/>
              <w:jc w:val="both"/>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车辆</w:t>
            </w:r>
            <w:r>
              <w:rPr>
                <w:rFonts w:hint="eastAsia" w:ascii="宋体" w:hAnsi="宋体" w:eastAsia="宋体" w:cs="宋体"/>
                <w:color w:val="auto"/>
                <w:sz w:val="21"/>
                <w:szCs w:val="21"/>
                <w:highlight w:val="none"/>
              </w:rPr>
              <w:t>不定量（随机性）</w:t>
            </w:r>
          </w:p>
        </w:tc>
        <w:tc>
          <w:tcPr>
            <w:tcW w:w="2094" w:type="dxa"/>
            <w:vAlign w:val="center"/>
          </w:tcPr>
          <w:p>
            <w:pPr>
              <w:snapToGrid w:val="0"/>
              <w:spacing w:line="360" w:lineRule="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lang w:val="en-US" w:eastAsia="zh-CN"/>
              </w:rPr>
              <w:t>6至9座</w:t>
            </w:r>
            <w:r>
              <w:rPr>
                <w:rFonts w:hint="eastAsia"/>
                <w:color w:val="auto"/>
                <w:highlight w:val="none"/>
                <w:lang w:eastAsia="zh-CN"/>
              </w:rPr>
              <w:t>，</w:t>
            </w:r>
            <w:r>
              <w:rPr>
                <w:rFonts w:hint="eastAsia" w:ascii="宋体" w:hAnsi="宋体" w:eastAsia="宋体" w:cs="宋体"/>
                <w:color w:val="auto"/>
                <w:sz w:val="21"/>
                <w:szCs w:val="21"/>
                <w:highlight w:val="none"/>
              </w:rPr>
              <w:t>商务车</w:t>
            </w:r>
          </w:p>
        </w:tc>
        <w:tc>
          <w:tcPr>
            <w:tcW w:w="2881" w:type="dxa"/>
            <w:vAlign w:val="center"/>
          </w:tcPr>
          <w:p>
            <w:pPr>
              <w:snapToGrid w:val="0"/>
              <w:spacing w:line="360" w:lineRule="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服务车辆配置如下：2018年1月1日后生产，配倒车雷达，行车记录仪。</w:t>
            </w:r>
          </w:p>
        </w:tc>
        <w:tc>
          <w:tcPr>
            <w:tcW w:w="2499" w:type="dxa"/>
            <w:vAlign w:val="center"/>
          </w:tcPr>
          <w:p>
            <w:pPr>
              <w:snapToGrid w:val="0"/>
              <w:spacing w:line="360" w:lineRule="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新能源汽车、油电车、油车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4" w:type="dxa"/>
            <w:vAlign w:val="center"/>
          </w:tcPr>
          <w:p>
            <w:pPr>
              <w:snapToGrid w:val="0"/>
              <w:spacing w:after="200" w:line="360" w:lineRule="auto"/>
              <w:jc w:val="both"/>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驾驶资质及服务</w:t>
            </w:r>
          </w:p>
        </w:tc>
        <w:tc>
          <w:tcPr>
            <w:tcW w:w="2094" w:type="dxa"/>
            <w:vAlign w:val="center"/>
          </w:tcPr>
          <w:p>
            <w:pPr>
              <w:snapToGrid w:val="0"/>
              <w:spacing w:after="200" w:line="360" w:lineRule="auto"/>
              <w:jc w:val="both"/>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仪容礼貌服务、乘车质量服务</w:t>
            </w:r>
          </w:p>
        </w:tc>
        <w:tc>
          <w:tcPr>
            <w:tcW w:w="2881" w:type="dxa"/>
            <w:vAlign w:val="center"/>
          </w:tcPr>
          <w:p>
            <w:pPr>
              <w:snapToGrid w:val="0"/>
              <w:spacing w:line="360" w:lineRule="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具有和所驾车辆相符的车辆驾驶执照、健康证、从业资格证、遵纪守法等</w:t>
            </w:r>
            <w:r>
              <w:rPr>
                <w:rFonts w:hint="eastAsia" w:ascii="宋体" w:hAnsi="宋体" w:eastAsia="宋体" w:cs="宋体"/>
                <w:color w:val="auto"/>
                <w:sz w:val="21"/>
                <w:szCs w:val="21"/>
                <w:highlight w:val="none"/>
                <w:lang w:eastAsia="zh-CN"/>
              </w:rPr>
              <w:t>；必须具备5年或以上驾驶经验,且无未消除的交通违法和交通肇事记录等，</w:t>
            </w:r>
            <w:r>
              <w:rPr>
                <w:rFonts w:hint="eastAsia" w:ascii="宋体" w:hAnsi="宋体" w:cs="宋体"/>
                <w:color w:val="auto"/>
                <w:sz w:val="21"/>
                <w:szCs w:val="21"/>
                <w:highlight w:val="none"/>
                <w:lang w:val="en-US" w:eastAsia="zh-CN"/>
              </w:rPr>
              <w:t>2022年3月1日至2024年3月1日，</w:t>
            </w:r>
            <w:r>
              <w:rPr>
                <w:rFonts w:hint="eastAsia" w:ascii="宋体" w:hAnsi="宋体" w:eastAsia="宋体" w:cs="宋体"/>
                <w:color w:val="auto"/>
                <w:sz w:val="21"/>
                <w:szCs w:val="21"/>
                <w:highlight w:val="none"/>
                <w:lang w:eastAsia="zh-CN"/>
              </w:rPr>
              <w:t>没有一次性被扣6分及以上，未发生过重大交通事故或负同等及以上责任等。</w:t>
            </w:r>
          </w:p>
        </w:tc>
        <w:tc>
          <w:tcPr>
            <w:tcW w:w="2499" w:type="dxa"/>
            <w:vAlign w:val="center"/>
          </w:tcPr>
          <w:p>
            <w:pPr>
              <w:snapToGrid w:val="0"/>
              <w:spacing w:line="360" w:lineRule="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配套服务</w:t>
            </w:r>
          </w:p>
        </w:tc>
      </w:tr>
    </w:tbl>
    <w:p>
      <w:pPr>
        <w:spacing w:line="360" w:lineRule="auto"/>
        <w:rPr>
          <w:rFonts w:hint="eastAsia" w:ascii="宋体" w:hAnsi="宋体" w:eastAsia="宋体" w:cs="宋体"/>
          <w:color w:val="auto"/>
          <w:sz w:val="21"/>
          <w:szCs w:val="21"/>
          <w:highlight w:val="none"/>
        </w:rPr>
      </w:pPr>
    </w:p>
    <w:p>
      <w:pPr>
        <w:numPr>
          <w:ilvl w:val="0"/>
          <w:numId w:val="0"/>
        </w:numPr>
        <w:snapToGrid w:val="0"/>
        <w:spacing w:line="360" w:lineRule="auto"/>
        <w:ind w:left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车辆要求</w:t>
      </w:r>
    </w:p>
    <w:p>
      <w:pPr>
        <w:snapToGrid w:val="0"/>
        <w:spacing w:before="156" w:beforeLines="5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服务车辆</w:t>
      </w:r>
      <w:r>
        <w:rPr>
          <w:rFonts w:hint="eastAsia" w:ascii="宋体" w:hAnsi="宋体" w:cs="宋体"/>
          <w:color w:val="auto"/>
          <w:sz w:val="21"/>
          <w:szCs w:val="21"/>
          <w:highlight w:val="none"/>
          <w:lang w:val="en-US" w:eastAsia="zh-CN"/>
        </w:rPr>
        <w:t>2022年3月1日至2024年3月1日，</w:t>
      </w:r>
      <w:r>
        <w:rPr>
          <w:rFonts w:hint="eastAsia" w:ascii="宋体" w:hAnsi="宋体" w:eastAsia="宋体" w:cs="宋体"/>
          <w:color w:val="auto"/>
          <w:sz w:val="21"/>
          <w:szCs w:val="21"/>
          <w:highlight w:val="none"/>
        </w:rPr>
        <w:t>无交通事故记录、无法律纠纷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无人员伤亡事故历史；经交警、交委等部门审检合格，证照齐全有效,符合国家技术规范的客运车辆</w:t>
      </w:r>
      <w:r>
        <w:rPr>
          <w:rFonts w:hint="eastAsia" w:ascii="宋体" w:hAnsi="宋体" w:eastAsia="宋体" w:cs="宋体"/>
          <w:color w:val="auto"/>
          <w:sz w:val="21"/>
          <w:szCs w:val="21"/>
          <w:highlight w:val="none"/>
          <w:lang w:eastAsia="zh-CN"/>
        </w:rPr>
        <w:t>；</w:t>
      </w:r>
    </w:p>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服务供应商提供服务车辆：</w:t>
      </w:r>
      <w:r>
        <w:rPr>
          <w:rFonts w:hint="eastAsia" w:ascii="宋体" w:hAnsi="宋体" w:cs="宋体"/>
          <w:color w:val="auto"/>
          <w:sz w:val="21"/>
          <w:szCs w:val="21"/>
          <w:highlight w:val="none"/>
          <w:lang w:val="en-US" w:eastAsia="zh-CN"/>
        </w:rPr>
        <w:t>6至9座的</w:t>
      </w:r>
      <w:r>
        <w:rPr>
          <w:rFonts w:hint="eastAsia" w:ascii="宋体" w:hAnsi="宋体" w:eastAsia="宋体" w:cs="宋体"/>
          <w:color w:val="auto"/>
          <w:sz w:val="21"/>
          <w:szCs w:val="21"/>
          <w:highlight w:val="none"/>
        </w:rPr>
        <w:t>商务车</w:t>
      </w:r>
      <w:r>
        <w:rPr>
          <w:rFonts w:hint="eastAsia" w:ascii="宋体" w:hAnsi="宋体" w:cs="宋体"/>
          <w:color w:val="auto"/>
          <w:sz w:val="21"/>
          <w:szCs w:val="21"/>
          <w:highlight w:val="none"/>
          <w:lang w:eastAsia="zh-CN"/>
        </w:rPr>
        <w:t>。</w:t>
      </w:r>
    </w:p>
    <w:p>
      <w:pPr>
        <w:pStyle w:val="13"/>
        <w:spacing w:line="360" w:lineRule="auto"/>
        <w:ind w:firstLine="422" w:firstLineChars="200"/>
        <w:rPr>
          <w:rFonts w:hint="eastAsia" w:ascii="宋体" w:hAnsi="宋体" w:eastAsia="宋体" w:cs="宋体"/>
          <w:strike w:val="0"/>
          <w:dstrike/>
          <w:color w:val="auto"/>
          <w:sz w:val="21"/>
          <w:szCs w:val="21"/>
          <w:highlight w:val="none"/>
        </w:rPr>
      </w:pPr>
      <w:r>
        <w:rPr>
          <w:rFonts w:hint="eastAsia" w:ascii="宋体" w:hAnsi="宋体" w:eastAsia="宋体" w:cs="宋体"/>
          <w:b/>
          <w:bCs/>
          <w:color w:val="auto"/>
          <w:sz w:val="21"/>
          <w:szCs w:val="21"/>
          <w:highlight w:val="none"/>
          <w:u w:val="double"/>
        </w:rPr>
        <w:t>★</w:t>
      </w:r>
      <w:r>
        <w:rPr>
          <w:rFonts w:hint="eastAsia" w:ascii="宋体" w:hAnsi="宋体" w:eastAsia="宋体" w:cs="宋体"/>
          <w:b/>
          <w:bCs/>
          <w:color w:val="auto"/>
          <w:sz w:val="21"/>
          <w:szCs w:val="21"/>
          <w:highlight w:val="none"/>
          <w:u w:val="double"/>
          <w:lang w:val="en-US" w:eastAsia="zh-CN"/>
        </w:rPr>
        <w:t>3</w:t>
      </w:r>
      <w:r>
        <w:rPr>
          <w:rFonts w:hint="eastAsia" w:ascii="宋体" w:hAnsi="宋体" w:cs="宋体"/>
          <w:b/>
          <w:bCs/>
          <w:color w:val="auto"/>
          <w:sz w:val="21"/>
          <w:szCs w:val="21"/>
          <w:highlight w:val="none"/>
          <w:u w:val="double"/>
          <w:lang w:eastAsia="zh-CN"/>
        </w:rPr>
        <w:t>、</w:t>
      </w:r>
      <w:r>
        <w:rPr>
          <w:rFonts w:hint="eastAsia" w:ascii="宋体" w:hAnsi="宋体" w:cs="宋体"/>
          <w:b/>
          <w:bCs/>
          <w:color w:val="auto"/>
          <w:szCs w:val="21"/>
          <w:highlight w:val="none"/>
          <w:u w:val="double"/>
          <w:lang w:val="en-US" w:eastAsia="zh-CN"/>
        </w:rPr>
        <w:t>服务供应商须承诺，服务车辆的营运过程中发生的一切消费、折损、事故、责任等均由服务供应商承担，不得损害采购人权益（提供承诺函，承诺函格式自定）。</w:t>
      </w:r>
    </w:p>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车辆车况良好，行驶里程不超</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万公里</w:t>
      </w:r>
      <w:r>
        <w:rPr>
          <w:rFonts w:hint="eastAsia" w:ascii="宋体" w:hAnsi="宋体" w:eastAsia="宋体" w:cs="宋体"/>
          <w:color w:val="auto"/>
          <w:sz w:val="21"/>
          <w:szCs w:val="21"/>
          <w:highlight w:val="none"/>
          <w:lang w:eastAsia="zh-CN"/>
        </w:rPr>
        <w:t>。</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购买保险，符合国家有关车辆保险规定，包括但不限于以下保险：</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1）交强险；</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2）乘坐人员意外伤害险：每名乘客保额不得低于</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万/座；</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3）第三者商业保险：所有车辆保额不得低于100万；</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）国家相关法律法规规定以及满足车辆安全运营的其他保险。</w:t>
      </w:r>
    </w:p>
    <w:p>
      <w:pPr>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提供车辆3</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每辆车</w:t>
      </w:r>
      <w:r>
        <w:rPr>
          <w:rFonts w:hint="eastAsia" w:ascii="宋体" w:hAnsi="宋体" w:eastAsia="宋体" w:cs="宋体"/>
          <w:color w:val="auto"/>
          <w:sz w:val="21"/>
          <w:szCs w:val="21"/>
          <w:highlight w:val="none"/>
        </w:rPr>
        <w:t>随车驾驶员不少于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名</w:t>
      </w:r>
      <w:r>
        <w:rPr>
          <w:rFonts w:hint="eastAsia" w:ascii="宋体" w:hAnsi="宋体" w:cs="宋体"/>
          <w:color w:val="auto"/>
          <w:sz w:val="21"/>
          <w:szCs w:val="21"/>
          <w:highlight w:val="none"/>
          <w:lang w:eastAsia="zh-CN"/>
        </w:rPr>
        <w:t>。</w:t>
      </w:r>
    </w:p>
    <w:p>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7</w:t>
      </w:r>
      <w:r>
        <w:rPr>
          <w:rFonts w:hint="eastAsia" w:ascii="宋体" w:hAnsi="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rPr>
        <w:t>车辆所有人为服务供应商的，须提供车辆行驶证或购车发票；车辆所有人为非服务供应商的，须同时提供车辆行驶证（或购车发票）</w:t>
      </w:r>
      <w:r>
        <w:rPr>
          <w:rFonts w:hint="eastAsia" w:ascii="宋体" w:hAnsi="宋体" w:eastAsia="宋体" w:cs="宋体"/>
          <w:b w:val="0"/>
          <w:bCs w:val="0"/>
          <w:color w:val="auto"/>
          <w:sz w:val="21"/>
          <w:szCs w:val="21"/>
          <w:highlight w:val="none"/>
          <w:u w:val="none"/>
          <w:lang w:val="en-US" w:eastAsia="zh-CN"/>
        </w:rPr>
        <w:t>及租赁合同</w:t>
      </w:r>
      <w:r>
        <w:rPr>
          <w:rFonts w:hint="eastAsia" w:ascii="宋体" w:hAnsi="宋体" w:eastAsia="宋体" w:cs="宋体"/>
          <w:b w:val="0"/>
          <w:bCs w:val="0"/>
          <w:color w:val="auto"/>
          <w:sz w:val="21"/>
          <w:szCs w:val="21"/>
          <w:highlight w:val="none"/>
          <w:u w:val="none"/>
          <w:lang w:eastAsia="zh-CN"/>
        </w:rPr>
        <w:t>。</w:t>
      </w:r>
    </w:p>
    <w:p>
      <w:pPr>
        <w:numPr>
          <w:ilvl w:val="0"/>
          <w:numId w:val="0"/>
        </w:numPr>
        <w:snapToGrid w:val="0"/>
        <w:spacing w:line="360" w:lineRule="auto"/>
        <w:ind w:left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驾驶员服务及要求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w:t>
      </w:r>
      <w:r>
        <w:rPr>
          <w:rFonts w:hint="eastAsia" w:ascii="宋体" w:hAnsi="宋体" w:eastAsia="宋体" w:cs="宋体"/>
          <w:color w:val="auto"/>
          <w:highlight w:val="none"/>
        </w:rPr>
        <w:t>驾驶员服务</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仪容</w:t>
      </w:r>
      <w:r>
        <w:rPr>
          <w:rFonts w:hint="eastAsia" w:ascii="宋体" w:hAnsi="宋体" w:eastAsia="宋体" w:cs="宋体"/>
          <w:color w:val="auto"/>
          <w:highlight w:val="none"/>
          <w:lang w:val="en-US" w:eastAsia="zh-CN"/>
        </w:rPr>
        <w:t>得体、干净整洁；</w:t>
      </w:r>
      <w:r>
        <w:rPr>
          <w:rFonts w:hint="eastAsia" w:ascii="宋体" w:hAnsi="宋体" w:eastAsia="宋体" w:cs="宋体"/>
          <w:color w:val="auto"/>
          <w:highlight w:val="none"/>
        </w:rPr>
        <w:t>服务热情。车辆出车前</w:t>
      </w:r>
      <w:r>
        <w:rPr>
          <w:rFonts w:hint="eastAsia" w:ascii="宋体" w:hAnsi="宋体" w:eastAsia="宋体" w:cs="宋体"/>
          <w:color w:val="auto"/>
          <w:highlight w:val="none"/>
          <w:lang w:val="en-US" w:eastAsia="zh-CN"/>
        </w:rPr>
        <w:t>应进行车辆</w:t>
      </w:r>
      <w:r>
        <w:rPr>
          <w:rFonts w:hint="eastAsia" w:ascii="宋体" w:hAnsi="宋体" w:eastAsia="宋体" w:cs="宋体"/>
          <w:color w:val="auto"/>
          <w:highlight w:val="none"/>
        </w:rPr>
        <w:t>安全检查</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车辆设备安全、反光三角架、灭火器等</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rPr>
        <w:t>随车</w:t>
      </w:r>
      <w:r>
        <w:rPr>
          <w:rFonts w:hint="eastAsia" w:ascii="宋体" w:hAnsi="宋体" w:eastAsia="宋体" w:cs="宋体"/>
          <w:color w:val="auto"/>
          <w:highlight w:val="none"/>
          <w:lang w:val="en-US" w:eastAsia="zh-CN"/>
        </w:rPr>
        <w:t>携带</w:t>
      </w:r>
      <w:r>
        <w:rPr>
          <w:rFonts w:hint="eastAsia" w:ascii="宋体" w:hAnsi="宋体" w:eastAsia="宋体" w:cs="宋体"/>
          <w:color w:val="auto"/>
          <w:highlight w:val="none"/>
        </w:rPr>
        <w:t>证件（行驶证/</w:t>
      </w:r>
      <w:r>
        <w:rPr>
          <w:rFonts w:hint="eastAsia" w:ascii="宋体" w:hAnsi="宋体" w:eastAsia="宋体" w:cs="宋体"/>
          <w:color w:val="auto"/>
          <w:highlight w:val="none"/>
          <w:lang w:val="en-US" w:eastAsia="zh-CN"/>
        </w:rPr>
        <w:t>驾驶证</w:t>
      </w:r>
      <w:r>
        <w:rPr>
          <w:rFonts w:hint="eastAsia" w:ascii="宋体" w:hAnsi="宋体" w:eastAsia="宋体" w:cs="宋体"/>
          <w:color w:val="auto"/>
          <w:highlight w:val="none"/>
        </w:rPr>
        <w:t>/保险</w:t>
      </w:r>
      <w:r>
        <w:rPr>
          <w:rFonts w:hint="eastAsia" w:ascii="宋体" w:hAnsi="宋体" w:eastAsia="宋体" w:cs="宋体"/>
          <w:color w:val="auto"/>
          <w:highlight w:val="none"/>
          <w:lang w:val="en-US" w:eastAsia="zh-CN"/>
        </w:rPr>
        <w:t>等）齐全，</w:t>
      </w:r>
      <w:r>
        <w:rPr>
          <w:rFonts w:hint="eastAsia" w:ascii="宋体" w:hAnsi="宋体" w:eastAsia="宋体" w:cs="宋体"/>
          <w:color w:val="auto"/>
          <w:highlight w:val="none"/>
        </w:rPr>
        <w:t>车内干净整洁、无异味。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2</w:t>
      </w:r>
      <w:r>
        <w:rPr>
          <w:rFonts w:hint="eastAsia" w:ascii="宋体" w:hAnsi="宋体" w:cs="宋体"/>
          <w:color w:val="auto"/>
          <w:highlight w:val="none"/>
          <w:lang w:val="en-US" w:eastAsia="zh-CN"/>
        </w:rPr>
        <w:t>、</w:t>
      </w:r>
      <w:r>
        <w:rPr>
          <w:rFonts w:hint="eastAsia" w:ascii="宋体" w:hAnsi="宋体" w:eastAsia="宋体" w:cs="宋体"/>
          <w:color w:val="auto"/>
          <w:highlight w:val="none"/>
        </w:rPr>
        <w:t>乘车质量服务：</w:t>
      </w:r>
      <w:r>
        <w:rPr>
          <w:rFonts w:hint="eastAsia" w:ascii="宋体" w:hAnsi="宋体" w:eastAsia="宋体" w:cs="宋体"/>
          <w:color w:val="auto"/>
          <w:highlight w:val="none"/>
          <w:lang w:val="en-US" w:eastAsia="zh-CN"/>
        </w:rPr>
        <w:t>遵守交规，</w:t>
      </w:r>
      <w:r>
        <w:rPr>
          <w:rFonts w:hint="eastAsia" w:ascii="宋体" w:hAnsi="宋体" w:eastAsia="宋体" w:cs="宋体"/>
          <w:color w:val="auto"/>
          <w:highlight w:val="none"/>
        </w:rPr>
        <w:t>驾驶员不私自改变车辆行驶路线；若驾驶员连续行车</w:t>
      </w:r>
      <w:r>
        <w:rPr>
          <w:rFonts w:hint="eastAsia" w:ascii="宋体" w:hAnsi="宋体" w:eastAsia="宋体" w:cs="宋体"/>
          <w:color w:val="auto"/>
          <w:highlight w:val="none"/>
          <w:lang w:val="en-US" w:eastAsia="zh-CN"/>
        </w:rPr>
        <w:t>300</w:t>
      </w:r>
      <w:r>
        <w:rPr>
          <w:rFonts w:hint="eastAsia" w:ascii="宋体" w:hAnsi="宋体" w:eastAsia="宋体" w:cs="宋体"/>
          <w:color w:val="auto"/>
          <w:highlight w:val="none"/>
        </w:rPr>
        <w:t>公里或</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小时，须停车休息</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分钟</w:t>
      </w:r>
      <w:r>
        <w:rPr>
          <w:rFonts w:hint="eastAsia" w:ascii="宋体" w:hAnsi="宋体" w:eastAsia="宋体" w:cs="宋体"/>
          <w:color w:val="auto"/>
          <w:highlight w:val="none"/>
          <w:lang w:val="en-US" w:eastAsia="zh-CN"/>
        </w:rPr>
        <w:t>缓解疲劳</w:t>
      </w:r>
      <w:r>
        <w:rPr>
          <w:rFonts w:hint="eastAsia" w:ascii="宋体" w:hAnsi="宋体" w:eastAsia="宋体" w:cs="宋体"/>
          <w:color w:val="auto"/>
          <w:highlight w:val="none"/>
        </w:rPr>
        <w:t>；驾驶员按出车单规定的时间和乘车地点提前</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分钟到达指定位置，帮助乘车人提拿行李并放好；</w:t>
      </w:r>
      <w:r>
        <w:rPr>
          <w:rFonts w:hint="eastAsia" w:ascii="宋体" w:hAnsi="宋体" w:eastAsia="宋体" w:cs="宋体"/>
          <w:color w:val="auto"/>
          <w:highlight w:val="none"/>
          <w:lang w:val="en-US" w:eastAsia="zh-CN"/>
        </w:rPr>
        <w:t>提醒乘客</w:t>
      </w:r>
      <w:r>
        <w:rPr>
          <w:rFonts w:hint="eastAsia" w:ascii="宋体" w:hAnsi="宋体" w:eastAsia="宋体" w:cs="宋体"/>
          <w:color w:val="auto"/>
          <w:highlight w:val="none"/>
        </w:rPr>
        <w:t>系好安全带，向乘车人确认车辆去往地点后出车。</w:t>
      </w:r>
      <w:r>
        <w:rPr>
          <w:rFonts w:hint="eastAsia" w:ascii="宋体" w:hAnsi="宋体" w:eastAsia="宋体" w:cs="宋体"/>
          <w:color w:val="auto"/>
          <w:highlight w:val="none"/>
          <w:lang w:val="en-US" w:eastAsia="zh-CN"/>
        </w:rPr>
        <w:t>回程</w:t>
      </w:r>
      <w:r>
        <w:rPr>
          <w:rFonts w:hint="eastAsia" w:ascii="宋体" w:hAnsi="宋体" w:eastAsia="宋体" w:cs="宋体"/>
          <w:color w:val="auto"/>
          <w:highlight w:val="none"/>
        </w:rPr>
        <w:t>将乘车人员安全送达返程地点；及时将车辆进行卫生清洁，做好车辆养护。</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驾驶员要求：</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1）服务供应商提供运输服务时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随车驾驶员</w:t>
      </w:r>
      <w:r>
        <w:rPr>
          <w:rFonts w:hint="eastAsia" w:ascii="宋体" w:hAnsi="宋体" w:eastAsia="宋体" w:cs="宋体"/>
          <w:color w:val="auto"/>
          <w:sz w:val="21"/>
          <w:szCs w:val="21"/>
          <w:highlight w:val="none"/>
        </w:rPr>
        <w:t>必须具备5年或以上驾驶经验（驾龄截至日为202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月1日），具有和所驾车辆相符的车辆驾驶执照、健康证、从业资格证</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,遵纪守法，</w:t>
      </w:r>
      <w:r>
        <w:rPr>
          <w:rFonts w:hint="eastAsia" w:ascii="宋体" w:hAnsi="宋体" w:eastAsia="宋体" w:cs="宋体"/>
          <w:color w:val="auto"/>
          <w:sz w:val="21"/>
          <w:szCs w:val="21"/>
          <w:highlight w:val="none"/>
          <w:lang w:eastAsia="zh-CN"/>
        </w:rPr>
        <w:t>且无未消除的交通违法和交通肇事记录等，</w:t>
      </w:r>
      <w:r>
        <w:rPr>
          <w:rFonts w:hint="eastAsia" w:ascii="宋体" w:hAnsi="宋体" w:cs="宋体"/>
          <w:color w:val="auto"/>
          <w:sz w:val="21"/>
          <w:szCs w:val="21"/>
          <w:highlight w:val="none"/>
          <w:lang w:val="en-US" w:eastAsia="zh-CN"/>
        </w:rPr>
        <w:t>2022年3月1日至2024年3月1日</w:t>
      </w:r>
      <w:r>
        <w:rPr>
          <w:rFonts w:hint="eastAsia" w:ascii="宋体" w:hAnsi="宋体" w:eastAsia="宋体" w:cs="宋体"/>
          <w:color w:val="auto"/>
          <w:sz w:val="21"/>
          <w:szCs w:val="21"/>
          <w:highlight w:val="none"/>
          <w:lang w:eastAsia="zh-CN"/>
        </w:rPr>
        <w:t>没有一次性被扣6分及以上，未发生过重大交通事故或负同等及以上责任等。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需提供驾驶证、健康证、从业资格证、</w:t>
      </w:r>
      <w:r>
        <w:rPr>
          <w:rFonts w:hint="eastAsia"/>
          <w:b/>
          <w:bCs/>
          <w:color w:val="auto"/>
          <w:highlight w:val="none"/>
          <w:lang w:val="en-US" w:eastAsia="zh-CN"/>
        </w:rPr>
        <w:t>机动车驾驶人安全驾驶记录情况（供应商可通过交管12123或到当地车管所进行申请）。</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2）服务供应商配备驾驶员情况：执C1及以上牌照的驾驶员提供至少</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人。提供驾驶员的驾驶证复印件、劳动合同复印件、</w:t>
      </w:r>
      <w:r>
        <w:rPr>
          <w:rFonts w:hint="eastAsia" w:ascii="宋体" w:hAnsi="宋体" w:eastAsia="宋体" w:cs="宋体"/>
          <w:bCs/>
          <w:color w:val="auto"/>
          <w:sz w:val="21"/>
          <w:szCs w:val="21"/>
          <w:highlight w:val="none"/>
          <w:lang w:val="en-US" w:eastAsia="zh-CN"/>
        </w:rPr>
        <w:t>响应文件递交截止日前</w:t>
      </w:r>
      <w:r>
        <w:rPr>
          <w:rFonts w:hint="eastAsia" w:ascii="宋体" w:hAnsi="宋体" w:eastAsia="宋体" w:cs="宋体"/>
          <w:bCs/>
          <w:color w:val="auto"/>
          <w:sz w:val="21"/>
          <w:szCs w:val="21"/>
          <w:highlight w:val="none"/>
        </w:rPr>
        <w:t>6个月内（任意一个月）社保缴纳证明</w:t>
      </w:r>
      <w:r>
        <w:rPr>
          <w:rFonts w:hint="eastAsia" w:ascii="宋体" w:hAnsi="宋体" w:eastAsia="宋体" w:cs="宋体"/>
          <w:bCs/>
          <w:color w:val="auto"/>
          <w:sz w:val="21"/>
          <w:szCs w:val="21"/>
          <w:highlight w:val="none"/>
          <w:lang w:val="en-US" w:eastAsia="zh-CN"/>
        </w:rPr>
        <w:t>或个人所得税证明</w:t>
      </w:r>
      <w:r>
        <w:rPr>
          <w:rFonts w:hint="eastAsia" w:ascii="宋体" w:hAnsi="宋体" w:eastAsia="宋体" w:cs="宋体"/>
          <w:color w:val="auto"/>
          <w:sz w:val="21"/>
          <w:szCs w:val="21"/>
          <w:highlight w:val="none"/>
        </w:rPr>
        <w:t>。</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）驾驶员对所获得的</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各类信息负有保密义务，不得对外泄漏及从事违法活动。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）驾驶员提供服务期间与</w:t>
      </w:r>
      <w:r>
        <w:rPr>
          <w:rFonts w:hint="eastAsia" w:ascii="宋体" w:hAnsi="宋体" w:eastAsia="宋体" w:cs="宋体"/>
          <w:color w:val="auto"/>
          <w:sz w:val="21"/>
          <w:szCs w:val="21"/>
          <w:highlight w:val="none"/>
          <w:lang w:val="en-US" w:eastAsia="zh-CN"/>
        </w:rPr>
        <w:t>乘车人</w:t>
      </w:r>
      <w:r>
        <w:rPr>
          <w:rFonts w:hint="eastAsia" w:ascii="宋体" w:hAnsi="宋体" w:eastAsia="宋体" w:cs="宋体"/>
          <w:color w:val="auto"/>
          <w:sz w:val="21"/>
          <w:szCs w:val="21"/>
          <w:highlight w:val="none"/>
        </w:rPr>
        <w:t>发生冲突，</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可向服务供应商管理人员反映，提出意见，服务供应商应按</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意见进行整改，如果</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提出更换驾驶员和车辆要求，服务供应商应</w:t>
      </w:r>
      <w:r>
        <w:rPr>
          <w:rFonts w:hint="eastAsia" w:ascii="宋体" w:hAnsi="宋体" w:cs="宋体"/>
          <w:color w:val="auto"/>
          <w:sz w:val="21"/>
          <w:szCs w:val="21"/>
          <w:highlight w:val="none"/>
          <w:lang w:eastAsia="zh-CN"/>
        </w:rPr>
        <w:t>在</w:t>
      </w:r>
      <w:r>
        <w:rPr>
          <w:rFonts w:hint="eastAsia" w:ascii="宋体" w:hAnsi="宋体" w:cs="宋体"/>
          <w:color w:val="auto"/>
          <w:sz w:val="21"/>
          <w:szCs w:val="21"/>
          <w:highlight w:val="none"/>
          <w:lang w:val="en-US" w:eastAsia="zh-CN"/>
        </w:rPr>
        <w:t>3日内更换完成</w:t>
      </w:r>
      <w:r>
        <w:rPr>
          <w:rFonts w:hint="eastAsia" w:ascii="宋体" w:hAnsi="宋体" w:eastAsia="宋体" w:cs="宋体"/>
          <w:color w:val="auto"/>
          <w:sz w:val="21"/>
          <w:szCs w:val="21"/>
          <w:highlight w:val="none"/>
        </w:rPr>
        <w:t>。</w:t>
      </w:r>
    </w:p>
    <w:p>
      <w:pPr>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服务方式</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为全承包方式,即投标报价包含租赁车辆的保险、年审、轮胎、维修、燃料、保养、检修、税金、营运费、过路费、管理费、税杂费</w:t>
      </w:r>
      <w:r>
        <w:rPr>
          <w:rFonts w:hint="eastAsia" w:ascii="宋体" w:hAnsi="宋体" w:eastAsia="宋体" w:cs="宋体"/>
          <w:bCs/>
          <w:color w:val="auto"/>
          <w:sz w:val="21"/>
          <w:szCs w:val="21"/>
          <w:highlight w:val="none"/>
        </w:rPr>
        <w:t>以及</w:t>
      </w:r>
      <w:r>
        <w:rPr>
          <w:rFonts w:hint="eastAsia" w:ascii="宋体" w:hAnsi="宋体" w:eastAsia="宋体" w:cs="宋体"/>
          <w:color w:val="auto"/>
          <w:sz w:val="21"/>
          <w:szCs w:val="21"/>
          <w:highlight w:val="none"/>
        </w:rPr>
        <w:t>驾驶员的薪金、</w:t>
      </w:r>
      <w:r>
        <w:rPr>
          <w:rFonts w:hint="eastAsia" w:ascii="宋体" w:hAnsi="宋体" w:eastAsia="宋体" w:cs="宋体"/>
          <w:bCs/>
          <w:color w:val="auto"/>
          <w:sz w:val="21"/>
          <w:szCs w:val="21"/>
          <w:highlight w:val="none"/>
        </w:rPr>
        <w:t>食宿</w:t>
      </w:r>
      <w:r>
        <w:rPr>
          <w:rFonts w:hint="eastAsia" w:ascii="宋体" w:hAnsi="宋体" w:eastAsia="宋体" w:cs="宋体"/>
          <w:color w:val="auto"/>
          <w:sz w:val="21"/>
          <w:szCs w:val="21"/>
          <w:highlight w:val="none"/>
        </w:rPr>
        <w:t>等与本项目相关的一切可预计及未能预计的项目相关费用。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服务供应商</w:t>
      </w:r>
      <w:r>
        <w:rPr>
          <w:rFonts w:hint="eastAsia" w:ascii="宋体" w:hAnsi="宋体" w:eastAsia="宋体" w:cs="宋体"/>
          <w:color w:val="auto"/>
          <w:sz w:val="21"/>
          <w:szCs w:val="21"/>
          <w:highlight w:val="none"/>
        </w:rPr>
        <w:t>需有专人负责</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车辆及驾驶员的管理工作，并服从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的车辆服务和调度。</w:t>
      </w:r>
    </w:p>
    <w:p>
      <w:pPr>
        <w:widowControl/>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监狱为国家刑罚执行机关，服务</w:t>
      </w:r>
      <w:r>
        <w:rPr>
          <w:rFonts w:hint="eastAsia" w:ascii="宋体" w:hAnsi="宋体" w:eastAsia="宋体" w:cs="宋体"/>
          <w:color w:val="auto"/>
          <w:sz w:val="21"/>
          <w:szCs w:val="21"/>
          <w:highlight w:val="none"/>
          <w:lang w:val="en-US" w:eastAsia="zh-CN"/>
        </w:rPr>
        <w:t>供应</w:t>
      </w:r>
      <w:r>
        <w:rPr>
          <w:rFonts w:hint="eastAsia" w:ascii="宋体" w:hAnsi="宋体" w:eastAsia="宋体" w:cs="宋体"/>
          <w:color w:val="auto"/>
          <w:sz w:val="21"/>
          <w:szCs w:val="21"/>
          <w:highlight w:val="none"/>
        </w:rPr>
        <w:t>商及工作人员需对服务过程中了解到的监狱工作内容保密，如有泄露将依法追究相关责任。</w:t>
      </w:r>
    </w:p>
    <w:p>
      <w:pPr>
        <w:widowControl/>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车辆运输前往目的地途中原则上不能过夜住宿休息，返程时应根据运输的实际情况调节食宿时间；</w:t>
      </w:r>
      <w:r>
        <w:rPr>
          <w:rFonts w:hint="eastAsia" w:ascii="宋体" w:hAnsi="宋体" w:eastAsia="宋体" w:cs="宋体"/>
          <w:bCs/>
          <w:color w:val="auto"/>
          <w:sz w:val="21"/>
          <w:szCs w:val="21"/>
          <w:highlight w:val="none"/>
          <w:lang w:val="en-US" w:eastAsia="zh-CN"/>
        </w:rPr>
        <w:t>确有需要的，须经</w:t>
      </w:r>
      <w:r>
        <w:rPr>
          <w:rFonts w:hint="eastAsia" w:ascii="宋体" w:hAnsi="宋体" w:eastAsia="宋体" w:cs="宋体"/>
          <w:bCs/>
          <w:color w:val="auto"/>
          <w:sz w:val="21"/>
          <w:szCs w:val="21"/>
          <w:highlight w:val="none"/>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bCs/>
          <w:color w:val="auto"/>
          <w:sz w:val="21"/>
          <w:szCs w:val="21"/>
          <w:highlight w:val="none"/>
        </w:rPr>
        <w:t>乘车人员</w:t>
      </w:r>
      <w:r>
        <w:rPr>
          <w:rFonts w:hint="eastAsia" w:ascii="宋体" w:hAnsi="宋体" w:eastAsia="宋体" w:cs="宋体"/>
          <w:bCs/>
          <w:color w:val="auto"/>
          <w:sz w:val="21"/>
          <w:szCs w:val="21"/>
          <w:highlight w:val="none"/>
          <w:lang w:val="en-US" w:eastAsia="zh-CN"/>
        </w:rPr>
        <w:t>同意后，</w:t>
      </w:r>
      <w:r>
        <w:rPr>
          <w:rFonts w:hint="eastAsia" w:ascii="宋体" w:hAnsi="宋体" w:eastAsia="宋体" w:cs="宋体"/>
          <w:bCs/>
          <w:color w:val="auto"/>
          <w:sz w:val="21"/>
          <w:szCs w:val="21"/>
          <w:highlight w:val="none"/>
        </w:rPr>
        <w:t>安排驾乘和食宿时间。</w:t>
      </w:r>
    </w:p>
    <w:p>
      <w:pPr>
        <w:widowControl/>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u w:val="none"/>
        </w:rPr>
        <w:t>▲</w:t>
      </w:r>
      <w:r>
        <w:rPr>
          <w:rFonts w:hint="eastAsia" w:ascii="宋体" w:hAnsi="宋体" w:eastAsia="宋体" w:cs="宋体"/>
          <w:b w:val="0"/>
          <w:bCs/>
          <w:color w:val="auto"/>
          <w:sz w:val="21"/>
          <w:szCs w:val="21"/>
          <w:highlight w:val="none"/>
          <w:u w:val="none"/>
          <w:lang w:val="en-US" w:eastAsia="zh-CN"/>
        </w:rPr>
        <w:t>5</w:t>
      </w:r>
      <w:r>
        <w:rPr>
          <w:rFonts w:hint="eastAsia" w:ascii="宋体" w:hAnsi="宋体" w:cs="宋体"/>
          <w:b w:val="0"/>
          <w:bCs/>
          <w:color w:val="auto"/>
          <w:sz w:val="21"/>
          <w:szCs w:val="21"/>
          <w:highlight w:val="none"/>
          <w:u w:val="none"/>
          <w:lang w:eastAsia="zh-CN"/>
        </w:rPr>
        <w:t>、</w:t>
      </w:r>
      <w:r>
        <w:rPr>
          <w:rFonts w:hint="eastAsia" w:ascii="宋体" w:hAnsi="宋体" w:eastAsia="宋体" w:cs="宋体"/>
          <w:b w:val="0"/>
          <w:bCs/>
          <w:color w:val="auto"/>
          <w:sz w:val="21"/>
          <w:szCs w:val="21"/>
          <w:highlight w:val="none"/>
          <w:u w:val="none"/>
          <w:lang w:eastAsia="zh-CN"/>
        </w:rPr>
        <w:t>采购</w:t>
      </w:r>
      <w:r>
        <w:rPr>
          <w:rFonts w:hint="eastAsia" w:ascii="宋体" w:hAnsi="宋体" w:eastAsia="宋体" w:cs="宋体"/>
          <w:b w:val="0"/>
          <w:bCs/>
          <w:color w:val="auto"/>
          <w:sz w:val="21"/>
          <w:szCs w:val="21"/>
          <w:highlight w:val="none"/>
          <w:u w:val="none"/>
          <w:lang w:val="en-US" w:eastAsia="zh-CN"/>
        </w:rPr>
        <w:t>人</w:t>
      </w:r>
      <w:r>
        <w:rPr>
          <w:rFonts w:hint="eastAsia" w:ascii="宋体" w:hAnsi="宋体" w:eastAsia="宋体" w:cs="宋体"/>
          <w:b w:val="0"/>
          <w:bCs/>
          <w:color w:val="auto"/>
          <w:sz w:val="21"/>
          <w:szCs w:val="21"/>
          <w:highlight w:val="none"/>
          <w:u w:val="none"/>
        </w:rPr>
        <w:t>提出服务时间及用车数量需求时，存在不确定性，服务供应商应合理安排节假日值班驾驶员、临时用车等服务；接到</w:t>
      </w:r>
      <w:r>
        <w:rPr>
          <w:rFonts w:hint="eastAsia" w:ascii="宋体" w:hAnsi="宋体" w:eastAsia="宋体" w:cs="宋体"/>
          <w:b w:val="0"/>
          <w:bCs/>
          <w:color w:val="auto"/>
          <w:sz w:val="21"/>
          <w:szCs w:val="21"/>
          <w:highlight w:val="none"/>
          <w:u w:val="none"/>
          <w:lang w:eastAsia="zh-CN"/>
        </w:rPr>
        <w:t>采购</w:t>
      </w:r>
      <w:r>
        <w:rPr>
          <w:rFonts w:hint="eastAsia" w:ascii="宋体" w:hAnsi="宋体" w:eastAsia="宋体" w:cs="宋体"/>
          <w:b w:val="0"/>
          <w:bCs/>
          <w:color w:val="auto"/>
          <w:sz w:val="21"/>
          <w:szCs w:val="21"/>
          <w:highlight w:val="none"/>
          <w:u w:val="none"/>
          <w:lang w:val="en-US" w:eastAsia="zh-CN"/>
        </w:rPr>
        <w:t>人</w:t>
      </w:r>
      <w:r>
        <w:rPr>
          <w:rFonts w:hint="eastAsia" w:ascii="宋体" w:hAnsi="宋体" w:eastAsia="宋体" w:cs="宋体"/>
          <w:b w:val="0"/>
          <w:bCs/>
          <w:color w:val="auto"/>
          <w:sz w:val="21"/>
          <w:szCs w:val="21"/>
          <w:highlight w:val="none"/>
          <w:u w:val="none"/>
        </w:rPr>
        <w:t>提出的服务需求时，须在</w:t>
      </w:r>
      <w:r>
        <w:rPr>
          <w:rFonts w:hint="eastAsia" w:ascii="宋体" w:hAnsi="宋体" w:cs="宋体"/>
          <w:b w:val="0"/>
          <w:bCs/>
          <w:color w:val="auto"/>
          <w:sz w:val="21"/>
          <w:szCs w:val="21"/>
          <w:highlight w:val="none"/>
          <w:u w:val="none"/>
          <w:lang w:val="en-US" w:eastAsia="zh-CN"/>
        </w:rPr>
        <w:t>3小时</w:t>
      </w:r>
      <w:r>
        <w:rPr>
          <w:rFonts w:hint="eastAsia" w:ascii="宋体" w:hAnsi="宋体" w:eastAsia="宋体" w:cs="宋体"/>
          <w:b w:val="0"/>
          <w:bCs/>
          <w:color w:val="auto"/>
          <w:sz w:val="21"/>
          <w:szCs w:val="21"/>
          <w:highlight w:val="none"/>
          <w:u w:val="none"/>
        </w:rPr>
        <w:t>内安排驾驶员及车辆按照服务标准到达指定地点。</w:t>
      </w:r>
    </w:p>
    <w:p>
      <w:pPr>
        <w:widowControl/>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服务供应商不得将本项目转</w:t>
      </w:r>
      <w:r>
        <w:rPr>
          <w:rFonts w:hint="eastAsia" w:ascii="宋体" w:hAnsi="宋体" w:eastAsia="宋体" w:cs="宋体"/>
          <w:bCs/>
          <w:color w:val="auto"/>
          <w:sz w:val="21"/>
          <w:szCs w:val="21"/>
          <w:highlight w:val="none"/>
        </w:rPr>
        <w:t>包或分包给第三方。</w:t>
      </w:r>
    </w:p>
    <w:p>
      <w:pPr>
        <w:widowControl/>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服务供应商</w:t>
      </w:r>
      <w:r>
        <w:rPr>
          <w:rFonts w:hint="eastAsia" w:ascii="宋体" w:hAnsi="宋体" w:eastAsia="宋体" w:cs="宋体"/>
          <w:color w:val="auto"/>
          <w:sz w:val="21"/>
          <w:szCs w:val="21"/>
          <w:highlight w:val="none"/>
        </w:rPr>
        <w:t>在提供服务时，每趟行程需提供随车雨伞3把、每人不少于2支矿泉水（≥350ML/支）以及必要的</w:t>
      </w:r>
      <w:r>
        <w:rPr>
          <w:rFonts w:hint="eastAsia" w:ascii="宋体" w:hAnsi="宋体" w:eastAsia="宋体" w:cs="宋体"/>
          <w:color w:val="auto"/>
          <w:sz w:val="21"/>
          <w:szCs w:val="21"/>
          <w:highlight w:val="none"/>
          <w:lang w:val="en-US" w:eastAsia="zh-CN"/>
        </w:rPr>
        <w:t>急救</w:t>
      </w:r>
      <w:r>
        <w:rPr>
          <w:rFonts w:hint="eastAsia" w:ascii="宋体" w:hAnsi="宋体" w:eastAsia="宋体" w:cs="宋体"/>
          <w:color w:val="auto"/>
          <w:sz w:val="21"/>
          <w:szCs w:val="21"/>
          <w:highlight w:val="none"/>
        </w:rPr>
        <w:t>医疗用品</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w:t>
      </w:r>
    </w:p>
    <w:p>
      <w:pPr>
        <w:widowControl/>
        <w:snapToGrid w:val="0"/>
        <w:spacing w:line="360" w:lineRule="auto"/>
        <w:ind w:firstLine="211" w:firstLineChars="1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Cs/>
          <w:color w:val="auto"/>
          <w:sz w:val="21"/>
          <w:szCs w:val="21"/>
          <w:highlight w:val="none"/>
          <w:lang w:val="en-US" w:eastAsia="zh-CN"/>
        </w:rPr>
        <w:t>8</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车辆运输往返路线原则上选择以高速公路为最优驾乘路线。</w:t>
      </w:r>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售后保障</w:t>
      </w:r>
    </w:p>
    <w:p>
      <w:pPr>
        <w:widowControl/>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val="en-US" w:eastAsia="zh-CN"/>
        </w:rPr>
        <w:t>若采购人出现</w:t>
      </w:r>
      <w:r>
        <w:rPr>
          <w:rFonts w:hint="eastAsia" w:ascii="宋体" w:hAnsi="宋体" w:eastAsia="宋体" w:cs="宋体"/>
          <w:color w:val="auto"/>
          <w:sz w:val="21"/>
          <w:szCs w:val="21"/>
          <w:highlight w:val="none"/>
        </w:rPr>
        <w:t>特殊情况,服务供应商应需满足</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临时改变乘车服务的时间、行程及用车等；因</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临时调整路线或目的地的，经</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核实确认，以实际运输的（单程）公里数量结算金额，由</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承担；因服务供应商临时调整路线或目的地的，造成</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工作人员不能按时往返的，</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有权追究服务供应商相关责任。</w:t>
      </w:r>
    </w:p>
    <w:p>
      <w:pPr>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（二）服务车辆过程中如发生意外情况（如交通事故、车辆故障等），服务供应商收到报告后应立即采取应急措施（报警、报险或叫救护车等），</w:t>
      </w:r>
      <w:r>
        <w:rPr>
          <w:rFonts w:hint="eastAsia" w:ascii="宋体" w:hAnsi="宋体" w:cs="宋体"/>
          <w:color w:val="auto"/>
          <w:sz w:val="21"/>
          <w:szCs w:val="21"/>
          <w:highlight w:val="none"/>
          <w:lang w:val="en-US" w:eastAsia="zh-CN"/>
        </w:rPr>
        <w:t>在1小时内</w:t>
      </w:r>
      <w:r>
        <w:rPr>
          <w:rFonts w:hint="eastAsia" w:ascii="宋体" w:hAnsi="宋体" w:eastAsia="宋体" w:cs="宋体"/>
          <w:color w:val="auto"/>
          <w:sz w:val="21"/>
          <w:szCs w:val="21"/>
          <w:highlight w:val="none"/>
        </w:rPr>
        <w:t>安排车辆接送随车人员；</w:t>
      </w:r>
      <w:r>
        <w:rPr>
          <w:rFonts w:hint="eastAsia" w:ascii="宋体" w:hAnsi="宋体" w:cs="宋体"/>
          <w:color w:val="auto"/>
          <w:sz w:val="21"/>
          <w:szCs w:val="21"/>
          <w:highlight w:val="none"/>
          <w:lang w:val="en-US" w:eastAsia="zh-CN"/>
        </w:rPr>
        <w:t>国内</w:t>
      </w:r>
      <w:r>
        <w:rPr>
          <w:rFonts w:hint="eastAsia" w:ascii="宋体" w:hAnsi="宋体" w:eastAsia="宋体" w:cs="宋体"/>
          <w:color w:val="auto"/>
          <w:sz w:val="21"/>
          <w:szCs w:val="21"/>
          <w:highlight w:val="none"/>
        </w:rPr>
        <w:t>发生事故时应做好临时换乘车辆和救援方案等，经</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同意后方可实施；如造成</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人员人身及财产损害的，服务供应商应先行垫付相关费用，如交通部门判定服务供应商负主要责任的，由服务供应商承担所有责任。</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（三）服务供应商未按时完成履约行为或服务质量达不到要求，经</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cs="宋体"/>
          <w:color w:val="auto"/>
          <w:sz w:val="21"/>
          <w:szCs w:val="21"/>
          <w:highlight w:val="none"/>
          <w:lang w:val="en-US" w:eastAsia="zh-CN"/>
        </w:rPr>
        <w:t>累计</w:t>
      </w:r>
      <w:r>
        <w:rPr>
          <w:rFonts w:hint="eastAsia" w:ascii="宋体" w:hAnsi="宋体" w:eastAsia="宋体" w:cs="宋体"/>
          <w:color w:val="auto"/>
          <w:sz w:val="21"/>
          <w:szCs w:val="21"/>
          <w:highlight w:val="none"/>
        </w:rPr>
        <w:t>三次提出书面批评意见后，仍无改进，</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有权终止合同。</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（四）服务供应商派出的</w:t>
      </w:r>
      <w:r>
        <w:rPr>
          <w:rFonts w:hint="eastAsia" w:ascii="宋体" w:hAnsi="宋体" w:eastAsia="宋体" w:cs="宋体"/>
          <w:color w:val="auto"/>
          <w:sz w:val="21"/>
          <w:szCs w:val="21"/>
          <w:highlight w:val="none"/>
          <w:lang w:val="en-US" w:eastAsia="zh-CN"/>
        </w:rPr>
        <w:t>驾驶员及车辆</w:t>
      </w:r>
      <w:r>
        <w:rPr>
          <w:rFonts w:hint="eastAsia" w:ascii="宋体" w:hAnsi="宋体" w:eastAsia="宋体" w:cs="宋体"/>
          <w:color w:val="auto"/>
          <w:sz w:val="21"/>
          <w:szCs w:val="21"/>
          <w:highlight w:val="none"/>
        </w:rPr>
        <w:t>，由服务供应商负责管理，如有违反国家的法律、法规等情形时，导致</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lang w:val="en-US" w:eastAsia="zh-CN"/>
        </w:rPr>
        <w:t>乘车</w:t>
      </w:r>
      <w:r>
        <w:rPr>
          <w:rFonts w:hint="eastAsia" w:ascii="宋体" w:hAnsi="宋体" w:eastAsia="宋体" w:cs="宋体"/>
          <w:color w:val="auto"/>
          <w:sz w:val="21"/>
          <w:szCs w:val="21"/>
          <w:highlight w:val="none"/>
        </w:rPr>
        <w:t>人员人身和财产损害的，</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val="en-US" w:eastAsia="zh-CN"/>
        </w:rPr>
        <w:t>人单方</w:t>
      </w:r>
      <w:r>
        <w:rPr>
          <w:rFonts w:hint="eastAsia" w:ascii="宋体" w:hAnsi="宋体" w:eastAsia="宋体" w:cs="宋体"/>
          <w:color w:val="auto"/>
          <w:sz w:val="21"/>
          <w:szCs w:val="21"/>
          <w:highlight w:val="none"/>
        </w:rPr>
        <w:t>有权终止合同，并追究服务供应商相关责任。</w:t>
      </w:r>
    </w:p>
    <w:p>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（五）服</w:t>
      </w:r>
      <w:r>
        <w:rPr>
          <w:rFonts w:hint="eastAsia" w:ascii="宋体" w:hAnsi="宋体" w:eastAsia="宋体" w:cs="宋体"/>
          <w:bCs/>
          <w:color w:val="auto"/>
          <w:sz w:val="21"/>
          <w:szCs w:val="21"/>
          <w:highlight w:val="none"/>
        </w:rPr>
        <w:t>务供应商需在合同期内按照</w:t>
      </w:r>
      <w:r>
        <w:rPr>
          <w:rFonts w:hint="eastAsia" w:ascii="宋体" w:hAnsi="宋体" w:eastAsia="宋体" w:cs="宋体"/>
          <w:bCs/>
          <w:color w:val="auto"/>
          <w:sz w:val="21"/>
          <w:szCs w:val="21"/>
          <w:highlight w:val="none"/>
          <w:lang w:val="en-US" w:eastAsia="zh-CN"/>
        </w:rPr>
        <w:t>需求向</w:t>
      </w:r>
      <w:r>
        <w:rPr>
          <w:rFonts w:hint="eastAsia" w:ascii="宋体" w:hAnsi="宋体" w:eastAsia="宋体" w:cs="宋体"/>
          <w:bCs/>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bCs/>
          <w:color w:val="auto"/>
          <w:sz w:val="21"/>
          <w:szCs w:val="21"/>
          <w:highlight w:val="none"/>
        </w:rPr>
        <w:t>提供服务，如因市场行情变化或其他原因，不能提供相应服务的，服务供应商应出具书面说明，并提供解决方案，经</w:t>
      </w:r>
      <w:r>
        <w:rPr>
          <w:rFonts w:hint="eastAsia" w:ascii="宋体" w:hAnsi="宋体" w:eastAsia="宋体" w:cs="宋体"/>
          <w:bCs/>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bCs/>
          <w:color w:val="auto"/>
          <w:sz w:val="21"/>
          <w:szCs w:val="21"/>
          <w:highlight w:val="none"/>
        </w:rPr>
        <w:t>同意后施行。</w:t>
      </w:r>
    </w:p>
    <w:p>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（六）服务供应商需在签订中标合同的同时与</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签定车辆服务安全管理责任书。</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（七）服务供应商提供的服务达不到</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文件、合同约定的要求及</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文件的承诺，</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可根据以下情况扣除相应的履约保证金或解除合同，包括但不限于以下情形：</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违反双方合同安全管理规定的，每次扣除履约保证金10%；</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车辆不符合相关管理部门规定</w:t>
      </w:r>
      <w:r>
        <w:rPr>
          <w:rFonts w:hint="eastAsia" w:ascii="宋体" w:hAnsi="宋体" w:cs="宋体"/>
          <w:color w:val="auto"/>
          <w:sz w:val="21"/>
          <w:szCs w:val="21"/>
          <w:highlight w:val="none"/>
          <w:lang w:val="en-US" w:eastAsia="zh-CN"/>
        </w:rPr>
        <w:t>及需求</w:t>
      </w:r>
      <w:r>
        <w:rPr>
          <w:rFonts w:hint="eastAsia" w:ascii="宋体" w:hAnsi="宋体" w:eastAsia="宋体" w:cs="宋体"/>
          <w:color w:val="auto"/>
          <w:sz w:val="21"/>
          <w:szCs w:val="21"/>
          <w:highlight w:val="none"/>
        </w:rPr>
        <w:t>的，每次扣除履约保证金10%，不及时整改的扣除履约保证金20%；</w:t>
      </w:r>
    </w:p>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无特殊原因不按时到达服务点的</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乘车人员有效投诉一次服务的，每次扣除履约保证金</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累计3次后，采购人有权单方解除合同 </w:t>
      </w:r>
      <w:r>
        <w:rPr>
          <w:rFonts w:hint="eastAsia" w:ascii="宋体" w:hAnsi="宋体" w:eastAsia="宋体" w:cs="宋体"/>
          <w:color w:val="auto"/>
          <w:sz w:val="21"/>
          <w:szCs w:val="21"/>
          <w:highlight w:val="none"/>
        </w:rPr>
        <w:t>；</w:t>
      </w:r>
      <w:r>
        <w:rPr>
          <w:rFonts w:hint="eastAsia"/>
          <w:color w:val="auto"/>
          <w:highlight w:val="none"/>
          <w:lang w:val="en-US" w:eastAsia="zh-CN"/>
        </w:rPr>
        <w:t>如有</w:t>
      </w:r>
      <w:r>
        <w:rPr>
          <w:rFonts w:hint="eastAsia" w:ascii="宋体" w:hAnsi="宋体" w:eastAsia="宋体" w:cs="宋体"/>
          <w:color w:val="auto"/>
          <w:sz w:val="21"/>
          <w:szCs w:val="21"/>
          <w:highlight w:val="none"/>
        </w:rPr>
        <w:t>造成乘客人身和财产损害的，扣除履约保证金100%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bCs/>
          <w:color w:val="auto"/>
          <w:sz w:val="21"/>
          <w:szCs w:val="21"/>
          <w:highlight w:val="none"/>
        </w:rPr>
        <w:t>单方</w:t>
      </w:r>
      <w:r>
        <w:rPr>
          <w:rFonts w:hint="eastAsia" w:ascii="宋体" w:hAnsi="宋体" w:eastAsia="宋体" w:cs="宋体"/>
          <w:color w:val="auto"/>
          <w:sz w:val="21"/>
          <w:szCs w:val="21"/>
          <w:highlight w:val="none"/>
          <w:lang w:val="en-US" w:eastAsia="zh-CN"/>
        </w:rPr>
        <w:t>有权</w:t>
      </w:r>
      <w:r>
        <w:rPr>
          <w:rFonts w:hint="eastAsia" w:ascii="宋体" w:hAnsi="宋体" w:eastAsia="宋体" w:cs="宋体"/>
          <w:color w:val="auto"/>
          <w:sz w:val="21"/>
          <w:szCs w:val="21"/>
          <w:highlight w:val="none"/>
        </w:rPr>
        <w:t>解除合同</w:t>
      </w:r>
      <w:r>
        <w:rPr>
          <w:rFonts w:hint="eastAsia" w:ascii="宋体" w:hAnsi="宋体" w:eastAsia="宋体" w:cs="宋体"/>
          <w:color w:val="auto"/>
          <w:sz w:val="21"/>
          <w:szCs w:val="21"/>
          <w:highlight w:val="none"/>
          <w:lang w:eastAsia="zh-CN"/>
        </w:rPr>
        <w:t>。</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发生严重的安全事故，服务供应商负主要责任的，扣除履约保证金100%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bCs/>
          <w:color w:val="auto"/>
          <w:sz w:val="21"/>
          <w:szCs w:val="21"/>
          <w:highlight w:val="none"/>
        </w:rPr>
        <w:t>单方</w:t>
      </w:r>
      <w:r>
        <w:rPr>
          <w:rFonts w:hint="eastAsia" w:ascii="宋体" w:hAnsi="宋体" w:eastAsia="宋体" w:cs="宋体"/>
          <w:color w:val="auto"/>
          <w:sz w:val="21"/>
          <w:szCs w:val="21"/>
          <w:highlight w:val="none"/>
          <w:lang w:val="en-US" w:eastAsia="zh-CN"/>
        </w:rPr>
        <w:t>有权</w:t>
      </w:r>
      <w:r>
        <w:rPr>
          <w:rFonts w:hint="eastAsia" w:ascii="宋体" w:hAnsi="宋体" w:eastAsia="宋体" w:cs="宋体"/>
          <w:color w:val="auto"/>
          <w:sz w:val="21"/>
          <w:szCs w:val="21"/>
          <w:highlight w:val="none"/>
        </w:rPr>
        <w:t>解除合同</w:t>
      </w:r>
      <w:r>
        <w:rPr>
          <w:rFonts w:hint="eastAsia" w:ascii="宋体" w:hAnsi="宋体" w:eastAsia="宋体" w:cs="宋体"/>
          <w:color w:val="auto"/>
          <w:sz w:val="21"/>
          <w:szCs w:val="21"/>
          <w:highlight w:val="none"/>
          <w:lang w:eastAsia="zh-CN"/>
        </w:rPr>
        <w:t>。</w:t>
      </w:r>
    </w:p>
    <w:p>
      <w:pPr>
        <w:widowControl/>
        <w:bidi w:val="0"/>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其他负面情形发生，经核实服务供应商负主要责任的，</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可参照以上条款扣除相应的履约保证金，造成严重后果的</w:t>
      </w:r>
      <w:r>
        <w:rPr>
          <w:rFonts w:hint="eastAsia" w:ascii="宋体" w:hAnsi="宋体" w:eastAsia="宋体" w:cs="宋体"/>
          <w:bCs/>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bCs/>
          <w:color w:val="auto"/>
          <w:sz w:val="21"/>
          <w:szCs w:val="21"/>
          <w:highlight w:val="none"/>
        </w:rPr>
        <w:t>可单方解除合同并追究服务供应商的责任。</w:t>
      </w:r>
      <w:bookmarkStart w:id="54" w:name="_Toc386828908"/>
    </w:p>
    <w:p>
      <w:pPr>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付款方式</w:t>
      </w:r>
      <w:bookmarkEnd w:id="54"/>
    </w:p>
    <w:p>
      <w:pPr>
        <w:widowControl/>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（一）包含租赁车辆的保险、年审、轮胎、维修、燃料、保养、检修、税金、营运费、过</w:t>
      </w:r>
      <w:r>
        <w:rPr>
          <w:rFonts w:hint="eastAsia" w:ascii="宋体" w:hAnsi="宋体" w:eastAsia="宋体" w:cs="宋体"/>
          <w:color w:val="auto"/>
          <w:sz w:val="21"/>
          <w:szCs w:val="21"/>
          <w:highlight w:val="none"/>
        </w:rPr>
        <w:t>路费、管理费、税杂费</w:t>
      </w:r>
      <w:r>
        <w:rPr>
          <w:rFonts w:hint="eastAsia" w:ascii="宋体" w:hAnsi="宋体" w:eastAsia="宋体" w:cs="宋体"/>
          <w:bCs/>
          <w:color w:val="auto"/>
          <w:sz w:val="21"/>
          <w:szCs w:val="21"/>
          <w:highlight w:val="none"/>
        </w:rPr>
        <w:t>以及</w:t>
      </w:r>
      <w:r>
        <w:rPr>
          <w:rFonts w:hint="eastAsia" w:ascii="宋体" w:hAnsi="宋体" w:eastAsia="宋体" w:cs="宋体"/>
          <w:color w:val="auto"/>
          <w:sz w:val="21"/>
          <w:szCs w:val="21"/>
          <w:highlight w:val="none"/>
        </w:rPr>
        <w:t>驾驶员的薪金、</w:t>
      </w:r>
      <w:r>
        <w:rPr>
          <w:rFonts w:hint="eastAsia" w:ascii="宋体" w:hAnsi="宋体" w:eastAsia="宋体" w:cs="宋体"/>
          <w:bCs/>
          <w:color w:val="auto"/>
          <w:sz w:val="21"/>
          <w:szCs w:val="21"/>
          <w:highlight w:val="none"/>
        </w:rPr>
        <w:t>食宿和防疫费用</w:t>
      </w:r>
      <w:r>
        <w:rPr>
          <w:rFonts w:hint="eastAsia" w:ascii="宋体" w:hAnsi="宋体" w:eastAsia="宋体" w:cs="宋体"/>
          <w:color w:val="auto"/>
          <w:sz w:val="21"/>
          <w:szCs w:val="21"/>
          <w:highlight w:val="none"/>
        </w:rPr>
        <w:t>等与本项目相关的一切可预计及未能预计的项目相关费用，以实际运输的公里数量结算金额为准。</w:t>
      </w:r>
    </w:p>
    <w:p>
      <w:pPr>
        <w:widowControl/>
        <w:snapToGrid w:val="0"/>
        <w:spacing w:line="360" w:lineRule="auto"/>
        <w:ind w:firstLine="420" w:firstLineChars="200"/>
        <w:rPr>
          <w:rFonts w:hint="eastAsia" w:ascii="宋体" w:hAnsi="宋体" w:eastAsia="宋体" w:cs="宋体"/>
          <w:bCs/>
          <w:strike w:val="0"/>
          <w:dstrike/>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bCs/>
          <w:color w:val="auto"/>
          <w:sz w:val="21"/>
          <w:szCs w:val="21"/>
          <w:highlight w:val="none"/>
        </w:rPr>
        <w:t>服务供应商完成每期服务后，按照百度导航（始发地至目的地）运输路线截图、提供结算表，</w:t>
      </w:r>
      <w:r>
        <w:rPr>
          <w:rFonts w:hint="eastAsia" w:ascii="宋体" w:hAnsi="宋体" w:eastAsia="宋体" w:cs="宋体"/>
          <w:color w:val="auto"/>
          <w:sz w:val="21"/>
          <w:szCs w:val="21"/>
          <w:highlight w:val="none"/>
        </w:rPr>
        <w:t>每</w:t>
      </w:r>
      <w:r>
        <w:rPr>
          <w:rFonts w:hint="eastAsia" w:ascii="宋体" w:hAnsi="宋体" w:cs="宋体"/>
          <w:color w:val="auto"/>
          <w:sz w:val="21"/>
          <w:szCs w:val="21"/>
          <w:highlight w:val="none"/>
          <w:lang w:val="en-US" w:eastAsia="zh-CN"/>
        </w:rPr>
        <w:t>季度首月10</w:t>
      </w:r>
      <w:r>
        <w:rPr>
          <w:rFonts w:hint="eastAsia" w:ascii="宋体" w:hAnsi="宋体" w:eastAsia="宋体" w:cs="宋体"/>
          <w:color w:val="auto"/>
          <w:sz w:val="21"/>
          <w:szCs w:val="21"/>
          <w:highlight w:val="none"/>
        </w:rPr>
        <w:t>日前向采购人列出上</w:t>
      </w:r>
      <w:r>
        <w:rPr>
          <w:rFonts w:hint="eastAsia" w:ascii="宋体" w:hAnsi="宋体" w:cs="宋体"/>
          <w:color w:val="auto"/>
          <w:sz w:val="21"/>
          <w:szCs w:val="21"/>
          <w:highlight w:val="none"/>
          <w:lang w:val="en-US" w:eastAsia="zh-CN"/>
        </w:rPr>
        <w:t>季度</w:t>
      </w:r>
      <w:r>
        <w:rPr>
          <w:rFonts w:hint="eastAsia" w:ascii="宋体" w:hAnsi="宋体" w:eastAsia="宋体" w:cs="宋体"/>
          <w:color w:val="auto"/>
          <w:sz w:val="21"/>
          <w:szCs w:val="21"/>
          <w:highlight w:val="none"/>
        </w:rPr>
        <w:t>所发生的总费用，由采购人审定后，成交</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提供等额的正式税务发票，采购人在收到发票后的</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个工作日内向成交人支付审定后的费用。结算手续按照采购人有关规定执行。如结算费用已达到本项目的采购预算</w:t>
      </w:r>
      <w:r>
        <w:rPr>
          <w:rFonts w:hint="eastAsia" w:ascii="宋体" w:hAnsi="宋体" w:cs="宋体"/>
          <w:color w:val="auto"/>
          <w:sz w:val="21"/>
          <w:szCs w:val="21"/>
          <w:highlight w:val="none"/>
          <w:lang w:val="en-US" w:eastAsia="zh-CN"/>
        </w:rPr>
        <w:t>或</w:t>
      </w:r>
      <w:r>
        <w:rPr>
          <w:rFonts w:hint="eastAsia" w:ascii="宋体" w:hAnsi="宋体" w:eastAsia="宋体" w:cs="宋体"/>
          <w:color w:val="auto"/>
          <w:kern w:val="2"/>
          <w:sz w:val="21"/>
          <w:szCs w:val="21"/>
          <w:highlight w:val="none"/>
          <w:lang w:bidi="ar"/>
        </w:rPr>
        <w:t>合同截止日期两者先到为准</w:t>
      </w:r>
      <w:r>
        <w:rPr>
          <w:rFonts w:hint="eastAsia" w:ascii="宋体" w:hAnsi="宋体" w:eastAsia="宋体" w:cs="宋体"/>
          <w:color w:val="auto"/>
          <w:sz w:val="21"/>
          <w:szCs w:val="21"/>
          <w:highlight w:val="none"/>
        </w:rPr>
        <w:t>。</w:t>
      </w:r>
    </w:p>
    <w:p>
      <w:pPr>
        <w:widowControl/>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（三）合同履约保证金按预算金额的5%</w:t>
      </w:r>
      <w:r>
        <w:rPr>
          <w:rFonts w:hint="eastAsia" w:ascii="宋体" w:hAnsi="宋体" w:cs="宋体"/>
          <w:color w:val="auto"/>
          <w:sz w:val="21"/>
          <w:szCs w:val="21"/>
          <w:highlight w:val="none"/>
          <w:lang w:val="en-US" w:eastAsia="zh-CN"/>
        </w:rPr>
        <w:t>缴纳</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签订合同后5个工作日内缴纳，</w:t>
      </w:r>
      <w:r>
        <w:rPr>
          <w:rFonts w:hint="eastAsia" w:ascii="宋体" w:hAnsi="宋体" w:eastAsia="宋体" w:cs="宋体"/>
          <w:color w:val="auto"/>
          <w:sz w:val="21"/>
          <w:szCs w:val="21"/>
          <w:highlight w:val="none"/>
        </w:rPr>
        <w:t>履约保证金可采用支票、银行汇款、保函等非现金的形式提交。</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，待本项目实际结算金额达到</w:t>
      </w:r>
      <w:r>
        <w:rPr>
          <w:rFonts w:hint="eastAsia" w:ascii="宋体" w:hAnsi="宋体" w:eastAsia="宋体" w:cs="宋体"/>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预算金额或合同期满后，无服务质量问题的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由服务</w:t>
      </w:r>
      <w:r>
        <w:rPr>
          <w:rFonts w:hint="eastAsia" w:ascii="宋体" w:hAnsi="宋体" w:eastAsia="宋体" w:cs="宋体"/>
          <w:bCs/>
          <w:color w:val="auto"/>
          <w:sz w:val="21"/>
          <w:szCs w:val="21"/>
          <w:highlight w:val="none"/>
        </w:rPr>
        <w:t>服务供应商</w:t>
      </w:r>
      <w:r>
        <w:rPr>
          <w:rFonts w:hint="eastAsia" w:ascii="宋体" w:hAnsi="宋体" w:eastAsia="宋体" w:cs="宋体"/>
          <w:bCs/>
          <w:color w:val="auto"/>
          <w:sz w:val="21"/>
          <w:szCs w:val="21"/>
          <w:highlight w:val="none"/>
          <w:lang w:val="en-US" w:eastAsia="zh-CN"/>
        </w:rPr>
        <w:t>提出书面申请，</w:t>
      </w:r>
      <w:r>
        <w:rPr>
          <w:rFonts w:hint="eastAsia" w:ascii="宋体" w:hAnsi="宋体" w:eastAsia="宋体" w:cs="宋体"/>
          <w:bCs/>
          <w:color w:val="auto"/>
          <w:sz w:val="21"/>
          <w:szCs w:val="21"/>
          <w:highlight w:val="none"/>
          <w:lang w:eastAsia="zh-CN"/>
        </w:rPr>
        <w:t>采购</w:t>
      </w:r>
      <w:r>
        <w:rPr>
          <w:rFonts w:hint="eastAsia" w:ascii="宋体" w:hAnsi="宋体" w:cs="宋体"/>
          <w:color w:val="auto"/>
          <w:sz w:val="21"/>
          <w:szCs w:val="21"/>
          <w:highlight w:val="none"/>
          <w:lang w:val="en-US" w:eastAsia="zh-CN"/>
        </w:rPr>
        <w:t>人</w:t>
      </w:r>
      <w:r>
        <w:rPr>
          <w:rFonts w:hint="eastAsia" w:ascii="宋体" w:hAnsi="宋体" w:eastAsia="宋体" w:cs="宋体"/>
          <w:bCs/>
          <w:color w:val="auto"/>
          <w:sz w:val="21"/>
          <w:szCs w:val="21"/>
          <w:highlight w:val="none"/>
        </w:rPr>
        <w:t>将在30天内无息退回履约保证金。如因服务供应商的原因提前中止合同的，履约保证金将不予退回。</w:t>
      </w:r>
    </w:p>
    <w:p>
      <w:pPr>
        <w:widowControl/>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（四）本</w:t>
      </w:r>
      <w:r>
        <w:rPr>
          <w:rFonts w:hint="eastAsia" w:ascii="宋体" w:hAnsi="宋体" w:eastAsia="宋体" w:cs="宋体"/>
          <w:bCs/>
          <w:color w:val="auto"/>
          <w:sz w:val="21"/>
          <w:szCs w:val="21"/>
          <w:highlight w:val="none"/>
        </w:rPr>
        <w:t>项目通过银行转账的方式结算，服务供应商需提供：</w:t>
      </w:r>
    </w:p>
    <w:p>
      <w:pPr>
        <w:widowControl/>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对公账号（银行开户许可证）；     </w:t>
      </w:r>
    </w:p>
    <w:p>
      <w:pPr>
        <w:widowControl/>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项目合同；</w:t>
      </w:r>
    </w:p>
    <w:p>
      <w:pPr>
        <w:widowControl/>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成交结果通知书； </w:t>
      </w:r>
    </w:p>
    <w:p>
      <w:pPr>
        <w:pStyle w:val="2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4</w:t>
      </w:r>
      <w:r>
        <w:rPr>
          <w:rFonts w:hint="eastAsia" w:hAnsi="宋体" w:cs="宋体"/>
          <w:bCs/>
          <w:color w:val="auto"/>
          <w:sz w:val="21"/>
          <w:szCs w:val="21"/>
          <w:highlight w:val="none"/>
          <w:lang w:eastAsia="zh-CN"/>
        </w:rPr>
        <w:t>、</w:t>
      </w:r>
      <w:r>
        <w:rPr>
          <w:rFonts w:hint="eastAsia" w:ascii="宋体" w:hAnsi="宋体" w:eastAsia="宋体" w:cs="宋体"/>
          <w:bCs/>
          <w:color w:val="auto"/>
          <w:sz w:val="21"/>
          <w:szCs w:val="21"/>
          <w:highlight w:val="none"/>
        </w:rPr>
        <w:t>开具的发票（含税价）。</w:t>
      </w:r>
    </w:p>
    <w:p>
      <w:pPr>
        <w:snapToGrid w:val="0"/>
        <w:spacing w:line="360" w:lineRule="auto"/>
        <w:ind w:firstLine="422" w:firstLineChars="200"/>
        <w:rPr>
          <w:rFonts w:hint="default" w:ascii="宋体" w:hAnsi="宋体" w:eastAsia="宋体" w:cs="宋体"/>
          <w:color w:val="auto"/>
          <w:highlight w:val="none"/>
          <w:lang w:val="en-US"/>
        </w:rPr>
      </w:pPr>
      <w:r>
        <w:rPr>
          <w:rFonts w:hint="eastAsia" w:ascii="宋体"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验收要求</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cs="宋体"/>
          <w:color w:val="auto"/>
          <w:highlight w:val="none"/>
          <w:lang w:eastAsia="zh-CN"/>
        </w:rPr>
        <w:t>、</w:t>
      </w:r>
      <w:r>
        <w:rPr>
          <w:rFonts w:hint="eastAsia" w:ascii="宋体" w:hAnsi="宋体" w:eastAsia="宋体" w:cs="宋体"/>
          <w:color w:val="auto"/>
          <w:highlight w:val="none"/>
        </w:rPr>
        <w:t>验收内容：</w:t>
      </w:r>
      <w:r>
        <w:rPr>
          <w:rFonts w:hint="eastAsia" w:ascii="宋体" w:hAnsi="宋体" w:eastAsia="宋体" w:cs="宋体"/>
          <w:bCs/>
          <w:color w:val="auto"/>
          <w:sz w:val="21"/>
          <w:szCs w:val="21"/>
          <w:highlight w:val="none"/>
        </w:rPr>
        <w:t>服务供应商完成每期服务后，按照百度导航（始发地至目的地）运输路线截图、提供结算表，</w:t>
      </w:r>
      <w:r>
        <w:rPr>
          <w:rFonts w:hint="eastAsia" w:ascii="宋体" w:hAnsi="宋体" w:eastAsia="宋体" w:cs="宋体"/>
          <w:color w:val="auto"/>
          <w:sz w:val="21"/>
          <w:szCs w:val="21"/>
          <w:highlight w:val="none"/>
        </w:rPr>
        <w:t>每</w:t>
      </w:r>
      <w:r>
        <w:rPr>
          <w:rFonts w:hint="eastAsia" w:ascii="宋体" w:hAnsi="宋体" w:cs="宋体"/>
          <w:color w:val="auto"/>
          <w:sz w:val="21"/>
          <w:szCs w:val="21"/>
          <w:highlight w:val="none"/>
          <w:lang w:val="en-US" w:eastAsia="zh-CN"/>
        </w:rPr>
        <w:t>季度首月10</w:t>
      </w:r>
      <w:r>
        <w:rPr>
          <w:rFonts w:hint="eastAsia" w:ascii="宋体" w:hAnsi="宋体" w:eastAsia="宋体" w:cs="宋体"/>
          <w:color w:val="auto"/>
          <w:sz w:val="21"/>
          <w:szCs w:val="21"/>
          <w:highlight w:val="none"/>
        </w:rPr>
        <w:t>日前向采购人列出上</w:t>
      </w:r>
      <w:r>
        <w:rPr>
          <w:rFonts w:hint="eastAsia" w:ascii="宋体" w:hAnsi="宋体" w:cs="宋体"/>
          <w:color w:val="auto"/>
          <w:sz w:val="21"/>
          <w:szCs w:val="21"/>
          <w:highlight w:val="none"/>
          <w:lang w:val="en-US" w:eastAsia="zh-CN"/>
        </w:rPr>
        <w:t>季度</w:t>
      </w:r>
      <w:r>
        <w:rPr>
          <w:rFonts w:hint="eastAsia" w:ascii="宋体" w:hAnsi="宋体" w:eastAsia="宋体" w:cs="宋体"/>
          <w:color w:val="auto"/>
          <w:sz w:val="21"/>
          <w:szCs w:val="21"/>
          <w:highlight w:val="none"/>
        </w:rPr>
        <w:t>所发生的总费用，由采购人审定</w:t>
      </w:r>
      <w:r>
        <w:rPr>
          <w:rFonts w:hint="eastAsia" w:ascii="宋体" w:hAnsi="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eastAsia="zh-CN"/>
        </w:rPr>
        <w:t>、</w:t>
      </w:r>
      <w:r>
        <w:rPr>
          <w:rFonts w:hint="eastAsia" w:ascii="宋体" w:hAnsi="宋体" w:eastAsia="宋体" w:cs="宋体"/>
          <w:color w:val="auto"/>
          <w:highlight w:val="none"/>
        </w:rPr>
        <w:t>验收标准：</w:t>
      </w:r>
      <w:r>
        <w:rPr>
          <w:rFonts w:hint="eastAsia" w:ascii="宋体" w:hAnsi="宋体" w:cs="宋体"/>
          <w:color w:val="auto"/>
          <w:highlight w:val="none"/>
          <w:lang w:val="en-US" w:eastAsia="zh-CN"/>
        </w:rPr>
        <w:t>行驶公里数、夜宿、</w:t>
      </w:r>
      <w:r>
        <w:rPr>
          <w:rFonts w:hint="eastAsia" w:ascii="宋体" w:hAnsi="宋体" w:cs="宋体"/>
          <w:b/>
          <w:bCs/>
          <w:color w:val="auto"/>
          <w:sz w:val="21"/>
          <w:szCs w:val="21"/>
          <w:highlight w:val="none"/>
          <w:lang w:val="en-US" w:eastAsia="zh-CN"/>
        </w:rPr>
        <w:t>餐食</w:t>
      </w:r>
      <w:r>
        <w:rPr>
          <w:rFonts w:hint="eastAsia" w:ascii="宋体" w:hAnsi="宋体" w:cs="宋体"/>
          <w:color w:val="auto"/>
          <w:highlight w:val="none"/>
          <w:lang w:val="en-US" w:eastAsia="zh-CN"/>
        </w:rPr>
        <w:t>等</w:t>
      </w:r>
      <w:r>
        <w:rPr>
          <w:rFonts w:hint="eastAsia" w:ascii="宋体" w:hAnsi="宋体" w:cs="宋体"/>
          <w:bCs/>
          <w:color w:val="auto"/>
          <w:sz w:val="21"/>
          <w:szCs w:val="21"/>
          <w:highlight w:val="none"/>
          <w:lang w:val="en-US" w:eastAsia="zh-CN"/>
        </w:rPr>
        <w:t>结算表应有每次采购人的乘车人（工作人员≥2人）签名确认</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其他</w:t>
      </w:r>
      <w:r>
        <w:rPr>
          <w:rFonts w:hint="eastAsia" w:ascii="宋体" w:hAnsi="宋体" w:eastAsia="宋体" w:cs="宋体"/>
          <w:color w:val="auto"/>
          <w:highlight w:val="none"/>
        </w:rPr>
        <w:t>按国家规定及合同条款执行</w:t>
      </w:r>
    </w:p>
    <w:p>
      <w:pPr>
        <w:spacing w:line="360" w:lineRule="auto"/>
        <w:ind w:firstLine="420" w:firstLineChars="200"/>
        <w:rPr>
          <w:rFonts w:hint="eastAsia" w:ascii="宋体" w:hAnsi="宋体" w:cs="宋体"/>
          <w:color w:val="auto"/>
          <w:highlight w:val="none"/>
          <w:lang w:val="en-US" w:eastAsia="zh-CN"/>
        </w:rPr>
      </w:pPr>
      <w:r>
        <w:rPr>
          <w:rFonts w:hint="eastAsia" w:ascii="宋体" w:hAnsi="宋体" w:eastAsia="宋体" w:cs="宋体"/>
          <w:color w:val="auto"/>
          <w:highlight w:val="none"/>
        </w:rPr>
        <w:t>3</w:t>
      </w:r>
      <w:r>
        <w:rPr>
          <w:rFonts w:hint="eastAsia" w:ascii="宋体" w:hAnsi="宋体" w:cs="宋体"/>
          <w:color w:val="auto"/>
          <w:highlight w:val="none"/>
          <w:lang w:eastAsia="zh-CN"/>
        </w:rPr>
        <w:t>、</w:t>
      </w:r>
      <w:r>
        <w:rPr>
          <w:rFonts w:hint="eastAsia" w:ascii="宋体" w:hAnsi="宋体" w:eastAsia="宋体" w:cs="宋体"/>
          <w:color w:val="auto"/>
          <w:highlight w:val="none"/>
        </w:rPr>
        <w:t>验收结果确认：</w:t>
      </w:r>
      <w:r>
        <w:rPr>
          <w:rFonts w:hint="eastAsia" w:ascii="宋体" w:hAnsi="宋体" w:cs="宋体"/>
          <w:color w:val="auto"/>
          <w:highlight w:val="none"/>
          <w:lang w:val="en-US" w:eastAsia="zh-CN"/>
        </w:rPr>
        <w:t>由成交供应商提交结算表给采购人，采购人相关人员签名确认。</w:t>
      </w:r>
    </w:p>
    <w:p>
      <w:pPr>
        <w:snapToGrid w:val="0"/>
        <w:spacing w:line="360" w:lineRule="auto"/>
        <w:ind w:firstLine="422" w:firstLineChars="200"/>
        <w:rPr>
          <w:rFonts w:hint="default" w:ascii="宋体" w:hAnsi="宋体" w:eastAsia="宋体" w:cs="宋体"/>
          <w:color w:val="auto"/>
          <w:highlight w:val="none"/>
          <w:lang w:val="en-US"/>
        </w:rPr>
      </w:pPr>
      <w:r>
        <w:rPr>
          <w:rFonts w:hint="eastAsia" w:ascii="宋体" w:hAnsi="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报价要求</w:t>
      </w:r>
    </w:p>
    <w:p>
      <w:pPr>
        <w:spacing w:line="360" w:lineRule="auto"/>
        <w:ind w:firstLine="420" w:firstLineChars="200"/>
        <w:rPr>
          <w:rFonts w:hint="default" w:ascii="宋体" w:hAnsi="宋体" w:cs="宋体"/>
          <w:color w:val="auto"/>
          <w:highlight w:val="none"/>
          <w:lang w:val="en-US" w:eastAsia="zh-CN"/>
        </w:rPr>
      </w:pPr>
      <w:r>
        <w:rPr>
          <w:rFonts w:hint="eastAsia" w:ascii="宋体" w:hAnsi="宋体" w:cs="宋体"/>
          <w:color w:val="auto"/>
          <w:highlight w:val="none"/>
          <w:lang w:val="en-US" w:eastAsia="zh-CN"/>
        </w:rPr>
        <w:t>1、本项目以下浮率的形式进行报价，以百分比表示。投标下浮率须为固定的报价（如30%），不得存在区间值（如2～8%），采购人不接受有任何选择的报价，否则将被视为无效报价处理。报价下浮率不得为0，不能为负数，否则被视为无效报价。</w:t>
      </w:r>
    </w:p>
    <w:p>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2、供应商应对“车辆租赁费”、“驾驶员雇佣费”、“燃油费、车辆通行费、停车费、超时费、超公里费等合并费用”、“驾驶员餐食费用”、“驾驶员每次过夜住宿费”进行统一报价，报价形式为下浮率。</w:t>
      </w:r>
    </w:p>
    <w:p>
      <w:pPr>
        <w:spacing w:line="360" w:lineRule="auto"/>
        <w:ind w:firstLine="422" w:firstLineChars="200"/>
        <w:rPr>
          <w:rFonts w:hint="default" w:ascii="宋体" w:hAnsi="宋体" w:cs="宋体"/>
          <w:color w:val="auto"/>
          <w:highlight w:val="none"/>
          <w:lang w:val="en-US" w:eastAsia="zh-CN"/>
        </w:rPr>
      </w:pPr>
      <w:r>
        <w:rPr>
          <w:rFonts w:hint="eastAsia" w:ascii="宋体" w:hAnsi="宋体" w:cs="宋体"/>
          <w:b/>
          <w:bCs/>
          <w:color w:val="auto"/>
          <w:highlight w:val="none"/>
          <w:lang w:val="en-US" w:eastAsia="zh-CN"/>
        </w:rPr>
        <w:t>举例1：</w:t>
      </w:r>
      <w:r>
        <w:rPr>
          <w:rFonts w:hint="eastAsia" w:ascii="宋体" w:hAnsi="宋体" w:cs="宋体"/>
          <w:color w:val="auto"/>
          <w:highlight w:val="none"/>
          <w:lang w:val="en-US" w:eastAsia="zh-CN"/>
        </w:rPr>
        <w:t>供应商下浮率报价为5%，5月16日采购人租赁一台车，按高速路计算单程公里数为30公里，无驾驶员餐食费用，则供应商的实际结算费用为：30公里*2=60公里，60公里的（车辆租用费+驾驶员雇佣费+燃油费、车辆通行费、停车费、超时费、超公里费等合并费用）为50元/辆*（1-5%）=47.5元。</w:t>
      </w:r>
    </w:p>
    <w:p>
      <w:pPr>
        <w:spacing w:line="360" w:lineRule="auto"/>
        <w:ind w:firstLine="422" w:firstLineChars="200"/>
        <w:rPr>
          <w:rFonts w:hint="eastAsia" w:ascii="宋体" w:hAnsi="宋体" w:cs="宋体"/>
          <w:color w:val="auto"/>
          <w:highlight w:val="none"/>
          <w:lang w:val="en-US" w:eastAsia="zh-CN"/>
        </w:rPr>
      </w:pPr>
      <w:r>
        <w:rPr>
          <w:rFonts w:hint="eastAsia" w:ascii="宋体" w:hAnsi="宋体" w:cs="宋体"/>
          <w:b/>
          <w:bCs/>
          <w:color w:val="auto"/>
          <w:highlight w:val="none"/>
          <w:lang w:val="en-US" w:eastAsia="zh-CN"/>
        </w:rPr>
        <w:t>举例2：</w:t>
      </w:r>
      <w:r>
        <w:rPr>
          <w:rFonts w:hint="eastAsia" w:ascii="宋体" w:hAnsi="宋体" w:cs="宋体"/>
          <w:color w:val="auto"/>
          <w:highlight w:val="none"/>
          <w:lang w:val="en-US" w:eastAsia="zh-CN"/>
        </w:rPr>
        <w:t>供应商下浮率报价为5%，5月16日采购人租赁一台车，按高速路计算单程公里数为150公里，无需留宿过夜，则供应商的实际结算费用为：150公里*2=300公里，驾驶员餐食费用为80元/辆。</w:t>
      </w:r>
    </w:p>
    <w:p>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300公里计算：（车辆租用费410元/辆+驾驶员雇佣费200元/辆+（燃油费、车辆通行费、停车费、超时费、超公里费等合并费用2.6元/辆/公里*300公里）+驾驶员餐食费80元/辆）*（1-5%）</w:t>
      </w:r>
    </w:p>
    <w:p>
      <w:pPr>
        <w:spacing w:line="360" w:lineRule="auto"/>
        <w:ind w:firstLine="420" w:firstLineChars="200"/>
        <w:rPr>
          <w:rFonts w:hint="default" w:ascii="宋体" w:hAnsi="宋体" w:cs="宋体"/>
          <w:color w:val="auto"/>
          <w:highlight w:val="none"/>
          <w:lang w:val="en-US" w:eastAsia="zh-CN"/>
        </w:rPr>
      </w:pPr>
      <w:r>
        <w:rPr>
          <w:rFonts w:hint="eastAsia" w:ascii="宋体" w:hAnsi="宋体" w:cs="宋体"/>
          <w:color w:val="auto"/>
          <w:highlight w:val="none"/>
          <w:lang w:val="en-US" w:eastAsia="zh-CN"/>
        </w:rPr>
        <w:t>=（410+200+780+80）*95%</w:t>
      </w:r>
    </w:p>
    <w:p>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=1396.5元。</w:t>
      </w:r>
    </w:p>
    <w:p>
      <w:pPr>
        <w:spacing w:line="360" w:lineRule="auto"/>
        <w:ind w:firstLine="422" w:firstLineChars="200"/>
        <w:rPr>
          <w:rFonts w:hint="eastAsia" w:ascii="宋体" w:hAnsi="宋体" w:cs="宋体"/>
          <w:color w:val="auto"/>
          <w:highlight w:val="none"/>
          <w:lang w:val="en-US" w:eastAsia="zh-CN"/>
        </w:rPr>
      </w:pPr>
      <w:r>
        <w:rPr>
          <w:rFonts w:hint="eastAsia" w:ascii="宋体" w:hAnsi="宋体" w:cs="宋体"/>
          <w:b/>
          <w:bCs/>
          <w:color w:val="auto"/>
          <w:highlight w:val="none"/>
          <w:lang w:val="en-US" w:eastAsia="zh-CN"/>
        </w:rPr>
        <w:t>举例3：</w:t>
      </w:r>
      <w:r>
        <w:rPr>
          <w:rFonts w:hint="eastAsia" w:ascii="宋体" w:hAnsi="宋体" w:cs="宋体"/>
          <w:color w:val="auto"/>
          <w:highlight w:val="none"/>
          <w:lang w:val="en-US" w:eastAsia="zh-CN"/>
        </w:rPr>
        <w:t>供应商下浮率报价为5%，5月16日采购人租赁一台车，按高速路计算单程公里数为150公里，需留宿过夜1晚，则供应商的实际结算费用为：150公里*2=300公里，驾驶员餐食费用为80元/辆，驾驶员住宿费用为每晚350元/辆。</w:t>
      </w:r>
    </w:p>
    <w:p>
      <w:pPr>
        <w:spacing w:line="360" w:lineRule="auto"/>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300公里计算：（车辆租用费410元/辆+驾驶员雇佣费200元/辆+（燃油费、车辆通行费、停车费、超时费、超公里费等合并费用2.6元/辆/公里*300公里）+驾驶员餐食费80元/辆+驾驶员住宿费350元/辆/晚）*（1-5%）</w:t>
      </w:r>
    </w:p>
    <w:p>
      <w:pPr>
        <w:spacing w:line="360" w:lineRule="auto"/>
        <w:ind w:firstLine="420" w:firstLineChars="200"/>
        <w:rPr>
          <w:rFonts w:hint="default" w:ascii="宋体" w:hAnsi="宋体" w:cs="宋体"/>
          <w:color w:val="auto"/>
          <w:highlight w:val="none"/>
          <w:lang w:val="en-US" w:eastAsia="zh-CN"/>
        </w:rPr>
      </w:pPr>
      <w:r>
        <w:rPr>
          <w:rFonts w:hint="eastAsia" w:ascii="宋体" w:hAnsi="宋体" w:cs="宋体"/>
          <w:color w:val="auto"/>
          <w:highlight w:val="none"/>
          <w:lang w:val="en-US" w:eastAsia="zh-CN"/>
        </w:rPr>
        <w:t>=（410+200+780+80+350）*95%</w:t>
      </w:r>
    </w:p>
    <w:p>
      <w:pPr>
        <w:spacing w:line="360" w:lineRule="auto"/>
        <w:ind w:firstLine="420" w:firstLineChars="200"/>
        <w:rPr>
          <w:color w:val="auto"/>
          <w:highlight w:val="none"/>
        </w:rPr>
      </w:pPr>
      <w:r>
        <w:rPr>
          <w:rFonts w:hint="eastAsia" w:ascii="宋体" w:hAnsi="宋体" w:cs="宋体"/>
          <w:color w:val="auto"/>
          <w:highlight w:val="none"/>
          <w:lang w:val="en-US" w:eastAsia="zh-CN"/>
        </w:rPr>
        <w:t>=1729元。</w:t>
      </w:r>
    </w:p>
    <w:p>
      <w:pPr>
        <w:spacing w:line="360" w:lineRule="auto"/>
        <w:ind w:firstLine="420" w:firstLineChars="200"/>
        <w:rPr>
          <w:rFonts w:hint="eastAsia" w:ascii="宋体" w:hAnsi="宋体" w:eastAsia="宋体" w:cs="宋体"/>
          <w:color w:val="auto"/>
          <w:highlight w:val="none"/>
        </w:rPr>
      </w:pPr>
    </w:p>
    <w:bookmarkEnd w:id="42"/>
    <w:bookmarkEnd w:id="43"/>
    <w:bookmarkEnd w:id="44"/>
    <w:bookmarkEnd w:id="45"/>
    <w:p>
      <w:pPr>
        <w:pStyle w:val="2"/>
        <w:numPr>
          <w:ilvl w:val="0"/>
          <w:numId w:val="1"/>
        </w:numPr>
        <w:spacing w:line="360" w:lineRule="auto"/>
        <w:jc w:val="center"/>
        <w:rPr>
          <w:rFonts w:hint="eastAsia" w:ascii="宋体" w:hAnsi="宋体" w:eastAsia="宋体" w:cs="宋体"/>
          <w:color w:val="auto"/>
          <w:sz w:val="32"/>
          <w:szCs w:val="32"/>
          <w:highlight w:val="none"/>
        </w:rPr>
        <w:sectPr>
          <w:headerReference r:id="rId10" w:type="default"/>
          <w:footerReference r:id="rId11" w:type="default"/>
          <w:type w:val="continuous"/>
          <w:pgSz w:w="11906" w:h="16838"/>
          <w:pgMar w:top="1191" w:right="1361" w:bottom="1191" w:left="1191" w:header="794" w:footer="794" w:gutter="0"/>
          <w:pgNumType w:fmt="decimal"/>
          <w:cols w:space="720" w:num="1"/>
          <w:docGrid w:linePitch="285" w:charSpace="0"/>
        </w:sectPr>
      </w:pPr>
    </w:p>
    <w:p>
      <w:pPr>
        <w:pStyle w:val="2"/>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highlight w:val="none"/>
        </w:rPr>
        <w:br w:type="page"/>
      </w:r>
      <w:bookmarkStart w:id="55" w:name="_Toc461991234"/>
      <w:r>
        <w:rPr>
          <w:rFonts w:hint="eastAsia" w:ascii="宋体" w:hAnsi="宋体" w:eastAsia="宋体" w:cs="宋体"/>
          <w:color w:val="auto"/>
          <w:sz w:val="32"/>
          <w:szCs w:val="32"/>
          <w:highlight w:val="none"/>
        </w:rPr>
        <w:t xml:space="preserve">第四章  </w:t>
      </w:r>
      <w:bookmarkEnd w:id="55"/>
      <w:r>
        <w:rPr>
          <w:rFonts w:hint="eastAsia" w:ascii="宋体" w:hAnsi="宋体" w:eastAsia="宋体" w:cs="宋体"/>
          <w:color w:val="auto"/>
          <w:sz w:val="32"/>
          <w:szCs w:val="32"/>
          <w:highlight w:val="none"/>
          <w:lang w:val="en-US" w:eastAsia="zh-CN"/>
        </w:rPr>
        <w:t>合同文本</w:t>
      </w:r>
    </w:p>
    <w:bookmarkEnd w:id="46"/>
    <w:bookmarkEnd w:id="47"/>
    <w:bookmarkEnd w:id="48"/>
    <w:bookmarkEnd w:id="49"/>
    <w:bookmarkEnd w:id="50"/>
    <w:bookmarkEnd w:id="51"/>
    <w:bookmarkEnd w:id="52"/>
    <w:bookmarkEnd w:id="53"/>
    <w:p>
      <w:pPr>
        <w:pStyle w:val="104"/>
        <w:spacing w:line="360" w:lineRule="auto"/>
        <w:jc w:val="both"/>
        <w:rPr>
          <w:rFonts w:hint="eastAsia" w:ascii="宋体" w:hAnsi="宋体" w:eastAsia="宋体" w:cs="宋体"/>
          <w:b/>
          <w:bCs/>
          <w:color w:val="auto"/>
          <w:sz w:val="24"/>
          <w:highlight w:val="none"/>
        </w:rPr>
      </w:pPr>
      <w:bookmarkStart w:id="56" w:name="_Toc30476678"/>
      <w:bookmarkStart w:id="57" w:name="_Toc17252698"/>
      <w:bookmarkStart w:id="58" w:name="_Toc13884772"/>
      <w:bookmarkStart w:id="59" w:name="_Toc14450837"/>
      <w:bookmarkStart w:id="60" w:name="_Toc27840486"/>
      <w:bookmarkStart w:id="61" w:name="_Toc2699428"/>
      <w:r>
        <w:rPr>
          <w:rFonts w:hint="eastAsia" w:ascii="宋体" w:hAnsi="宋体" w:eastAsia="宋体" w:cs="宋体"/>
          <w:color w:val="auto"/>
          <w:highlight w:val="none"/>
        </w:rPr>
        <w:t>（《采购人需求》中另有规定的，以采购人需求为准）</w:t>
      </w:r>
    </w:p>
    <w:p>
      <w:pPr>
        <w:rPr>
          <w:rFonts w:hint="eastAsia" w:ascii="宋体" w:hAnsi="宋体" w:eastAsia="宋体" w:cs="宋体"/>
          <w:color w:val="auto"/>
          <w:highlight w:val="none"/>
        </w:rPr>
      </w:pPr>
      <w:r>
        <w:rPr>
          <w:rFonts w:hint="eastAsia" w:ascii="宋体" w:hAnsi="宋体" w:eastAsia="宋体" w:cs="宋体"/>
          <w:color w:val="auto"/>
          <w:highlight w:val="none"/>
        </w:rPr>
        <w:t>注：本合同条款仅供参考，甲乙双方可根据实际情况进行补充。</w:t>
      </w:r>
    </w:p>
    <w:p>
      <w:pPr>
        <w:rPr>
          <w:rFonts w:hint="eastAsia" w:ascii="宋体" w:hAnsi="宋体" w:eastAsia="宋体" w:cs="宋体"/>
          <w:color w:val="auto"/>
          <w:highlight w:val="none"/>
        </w:rPr>
      </w:pPr>
    </w:p>
    <w:p>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rPr>
        <w:t xml:space="preserve">                             </w:t>
      </w:r>
    </w:p>
    <w:p>
      <w:pPr>
        <w:snapToGrid w:val="0"/>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p>
    <w:p>
      <w:pPr>
        <w:bidi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的采购结果， </w:t>
      </w:r>
      <w:r>
        <w:rPr>
          <w:rFonts w:hint="eastAsia" w:ascii="宋体" w:hAnsi="宋体" w:eastAsia="宋体" w:cs="宋体"/>
          <w:color w:val="auto"/>
          <w:highlight w:val="none"/>
          <w:lang w:val="en-US" w:eastAsia="zh-CN"/>
        </w:rPr>
        <w:t>参照</w:t>
      </w:r>
      <w:r>
        <w:rPr>
          <w:rFonts w:hint="eastAsia" w:ascii="宋体" w:hAnsi="宋体" w:eastAsia="宋体" w:cs="宋体"/>
          <w:color w:val="auto"/>
          <w:highlight w:val="none"/>
        </w:rPr>
        <w:t>《中华人民共和国政府采购法》《中华人民共和国政府采购法实施条例》《民法典》的规定， 经双方协商， 本着平等互利和诚实信用的原则， 一致同意签订本合同如下。</w:t>
      </w:r>
    </w:p>
    <w:p>
      <w:pPr>
        <w:bidi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一、合同价格</w:t>
      </w:r>
    </w:p>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合同总价：（人民币）大写         (￥                )</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下浮率     %</w:t>
      </w:r>
      <w:r>
        <w:rPr>
          <w:rFonts w:hint="eastAsia" w:ascii="宋体" w:hAnsi="宋体" w:eastAsia="宋体" w:cs="宋体"/>
          <w:color w:val="auto"/>
          <w:highlight w:val="none"/>
        </w:rPr>
        <w:t>。</w:t>
      </w:r>
    </w:p>
    <w:p>
      <w:pPr>
        <w:bidi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合同价格包括了</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文件中《</w:t>
      </w:r>
      <w:r>
        <w:rPr>
          <w:rFonts w:hint="eastAsia" w:ascii="宋体" w:hAnsi="宋体" w:eastAsia="宋体" w:cs="宋体"/>
          <w:color w:val="auto"/>
          <w:highlight w:val="none"/>
          <w:lang w:val="en-US" w:eastAsia="zh-CN"/>
        </w:rPr>
        <w:t>采购人需求</w:t>
      </w:r>
      <w:r>
        <w:rPr>
          <w:rFonts w:hint="eastAsia" w:ascii="宋体" w:hAnsi="宋体" w:eastAsia="宋体" w:cs="宋体"/>
          <w:color w:val="auto"/>
          <w:highlight w:val="none"/>
        </w:rPr>
        <w:t>》所涉及的必须支付的全部费用。</w:t>
      </w:r>
    </w:p>
    <w:p>
      <w:pPr>
        <w:bidi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二、服务</w:t>
      </w:r>
      <w:r>
        <w:rPr>
          <w:rFonts w:hint="eastAsia" w:ascii="宋体" w:hAnsi="宋体" w:eastAsia="宋体" w:cs="宋体"/>
          <w:b/>
          <w:bCs/>
          <w:color w:val="auto"/>
          <w:highlight w:val="none"/>
          <w:lang w:val="en-US" w:eastAsia="zh-CN"/>
        </w:rPr>
        <w:t>标准</w:t>
      </w:r>
      <w:r>
        <w:rPr>
          <w:rFonts w:hint="eastAsia" w:ascii="宋体" w:hAnsi="宋体" w:eastAsia="宋体" w:cs="宋体"/>
          <w:b/>
          <w:bCs/>
          <w:color w:val="auto"/>
          <w:highlight w:val="none"/>
        </w:rPr>
        <w:t>：</w:t>
      </w:r>
    </w:p>
    <w:tbl>
      <w:tblPr>
        <w:tblStyle w:val="40"/>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095"/>
        <w:gridCol w:w="2882"/>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vAlign w:val="center"/>
          </w:tcPr>
          <w:p>
            <w:pPr>
              <w:snapToGrid w:val="0"/>
              <w:spacing w:line="360" w:lineRule="auto"/>
              <w:jc w:val="center"/>
              <w:rPr>
                <w:rFonts w:hint="eastAsia" w:ascii="宋体" w:hAnsi="宋体" w:eastAsia="宋体" w:cs="宋体"/>
                <w:color w:val="auto"/>
                <w:sz w:val="21"/>
                <w:szCs w:val="21"/>
                <w:highlight w:val="none"/>
                <w:vertAlign w:val="baseline"/>
              </w:rPr>
            </w:pPr>
            <w:r>
              <w:rPr>
                <w:rFonts w:hint="eastAsia" w:ascii="宋体" w:hAnsi="宋体" w:eastAsia="宋体" w:cs="宋体"/>
                <w:bCs/>
                <w:color w:val="auto"/>
                <w:sz w:val="21"/>
                <w:szCs w:val="21"/>
                <w:highlight w:val="none"/>
                <w:lang w:val="en-US" w:eastAsia="zh-CN"/>
              </w:rPr>
              <w:t>服务</w:t>
            </w:r>
            <w:r>
              <w:rPr>
                <w:rFonts w:hint="eastAsia" w:ascii="宋体" w:hAnsi="宋体" w:eastAsia="宋体" w:cs="宋体"/>
                <w:bCs/>
                <w:color w:val="auto"/>
                <w:sz w:val="21"/>
                <w:szCs w:val="21"/>
                <w:highlight w:val="none"/>
              </w:rPr>
              <w:t>类别</w:t>
            </w:r>
          </w:p>
        </w:tc>
        <w:tc>
          <w:tcPr>
            <w:tcW w:w="2095" w:type="dxa"/>
            <w:vAlign w:val="center"/>
          </w:tcPr>
          <w:p>
            <w:pPr>
              <w:snapToGrid w:val="0"/>
              <w:spacing w:line="360" w:lineRule="auto"/>
              <w:jc w:val="center"/>
              <w:rPr>
                <w:rFonts w:hint="eastAsia" w:ascii="宋体" w:hAnsi="宋体" w:eastAsia="宋体" w:cs="宋体"/>
                <w:color w:val="auto"/>
                <w:sz w:val="21"/>
                <w:szCs w:val="21"/>
                <w:highlight w:val="none"/>
                <w:vertAlign w:val="baseline"/>
              </w:rPr>
            </w:pPr>
            <w:r>
              <w:rPr>
                <w:rFonts w:hint="eastAsia" w:ascii="宋体" w:hAnsi="宋体" w:eastAsia="宋体" w:cs="宋体"/>
                <w:bCs/>
                <w:color w:val="auto"/>
                <w:sz w:val="21"/>
                <w:szCs w:val="21"/>
                <w:highlight w:val="none"/>
              </w:rPr>
              <w:t>名称</w:t>
            </w:r>
          </w:p>
        </w:tc>
        <w:tc>
          <w:tcPr>
            <w:tcW w:w="2882" w:type="dxa"/>
            <w:vAlign w:val="center"/>
          </w:tcPr>
          <w:p>
            <w:pPr>
              <w:snapToGrid w:val="0"/>
              <w:spacing w:line="360" w:lineRule="auto"/>
              <w:jc w:val="center"/>
              <w:rPr>
                <w:rFonts w:hint="eastAsia" w:ascii="宋体" w:hAnsi="宋体" w:eastAsia="宋体" w:cs="宋体"/>
                <w:color w:val="auto"/>
                <w:sz w:val="21"/>
                <w:szCs w:val="21"/>
                <w:highlight w:val="none"/>
                <w:vertAlign w:val="baseline"/>
              </w:rPr>
            </w:pPr>
            <w:r>
              <w:rPr>
                <w:rFonts w:hint="eastAsia" w:ascii="宋体" w:hAnsi="宋体" w:eastAsia="宋体" w:cs="宋体"/>
                <w:bCs/>
                <w:color w:val="auto"/>
                <w:sz w:val="21"/>
                <w:szCs w:val="21"/>
                <w:highlight w:val="none"/>
              </w:rPr>
              <w:t>型号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要求</w:t>
            </w:r>
          </w:p>
        </w:tc>
        <w:tc>
          <w:tcPr>
            <w:tcW w:w="2499" w:type="dxa"/>
            <w:vAlign w:val="center"/>
          </w:tcPr>
          <w:p>
            <w:pPr>
              <w:snapToGrid w:val="0"/>
              <w:spacing w:line="360" w:lineRule="auto"/>
              <w:jc w:val="center"/>
              <w:rPr>
                <w:rFonts w:hint="eastAsia" w:ascii="宋体" w:hAnsi="宋体" w:eastAsia="宋体" w:cs="宋体"/>
                <w:color w:val="auto"/>
                <w:sz w:val="21"/>
                <w:szCs w:val="21"/>
                <w:highlight w:val="none"/>
                <w:vertAlign w:val="baseline"/>
                <w:lang w:eastAsia="zh-CN"/>
              </w:rPr>
            </w:pPr>
            <w:r>
              <w:rPr>
                <w:rFonts w:hint="eastAsia" w:ascii="宋体" w:hAnsi="宋体" w:cs="宋体"/>
                <w:bCs/>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vAlign w:val="center"/>
          </w:tcPr>
          <w:p>
            <w:pPr>
              <w:snapToGrid w:val="0"/>
              <w:spacing w:after="200" w:line="360" w:lineRule="auto"/>
              <w:jc w:val="both"/>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车辆</w:t>
            </w:r>
            <w:r>
              <w:rPr>
                <w:rFonts w:hint="eastAsia" w:ascii="宋体" w:hAnsi="宋体" w:eastAsia="宋体" w:cs="宋体"/>
                <w:color w:val="auto"/>
                <w:sz w:val="21"/>
                <w:szCs w:val="21"/>
                <w:highlight w:val="none"/>
              </w:rPr>
              <w:t>不定量（随机性）</w:t>
            </w:r>
          </w:p>
        </w:tc>
        <w:tc>
          <w:tcPr>
            <w:tcW w:w="2095" w:type="dxa"/>
            <w:vAlign w:val="center"/>
          </w:tcPr>
          <w:p>
            <w:pPr>
              <w:snapToGrid w:val="0"/>
              <w:spacing w:line="360" w:lineRule="auto"/>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lang w:val="en-US" w:eastAsia="zh-CN"/>
              </w:rPr>
              <w:t>6至9座</w:t>
            </w:r>
            <w:r>
              <w:rPr>
                <w:rFonts w:hint="eastAsia"/>
                <w:color w:val="auto"/>
                <w:highlight w:val="none"/>
                <w:lang w:eastAsia="zh-CN"/>
              </w:rPr>
              <w:t>，</w:t>
            </w:r>
            <w:r>
              <w:rPr>
                <w:rFonts w:hint="eastAsia" w:ascii="宋体" w:hAnsi="宋体" w:eastAsia="宋体" w:cs="宋体"/>
                <w:color w:val="auto"/>
                <w:sz w:val="21"/>
                <w:szCs w:val="21"/>
                <w:highlight w:val="none"/>
              </w:rPr>
              <w:t>商务车</w:t>
            </w:r>
          </w:p>
        </w:tc>
        <w:tc>
          <w:tcPr>
            <w:tcW w:w="2882" w:type="dxa"/>
            <w:vAlign w:val="center"/>
          </w:tcPr>
          <w:p>
            <w:pPr>
              <w:snapToGrid w:val="0"/>
              <w:spacing w:line="360" w:lineRule="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服务车辆配置如下：2018年1月1日后生产，配倒车雷达，行车记录仪。</w:t>
            </w:r>
          </w:p>
        </w:tc>
        <w:tc>
          <w:tcPr>
            <w:tcW w:w="2499" w:type="dxa"/>
            <w:vAlign w:val="center"/>
          </w:tcPr>
          <w:p>
            <w:pPr>
              <w:snapToGrid w:val="0"/>
              <w:spacing w:line="360" w:lineRule="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新能源汽车、油电车、油车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94" w:type="dxa"/>
            <w:vAlign w:val="center"/>
          </w:tcPr>
          <w:p>
            <w:pPr>
              <w:snapToGrid w:val="0"/>
              <w:spacing w:after="200" w:line="360" w:lineRule="auto"/>
              <w:jc w:val="both"/>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驾驶资质及服务</w:t>
            </w:r>
          </w:p>
        </w:tc>
        <w:tc>
          <w:tcPr>
            <w:tcW w:w="2095" w:type="dxa"/>
            <w:vAlign w:val="center"/>
          </w:tcPr>
          <w:p>
            <w:pPr>
              <w:snapToGrid w:val="0"/>
              <w:spacing w:after="200" w:line="360" w:lineRule="auto"/>
              <w:jc w:val="both"/>
              <w:textAlignment w:val="center"/>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仪容礼貌服务、乘车质量服务</w:t>
            </w:r>
          </w:p>
        </w:tc>
        <w:tc>
          <w:tcPr>
            <w:tcW w:w="2882" w:type="dxa"/>
            <w:vAlign w:val="center"/>
          </w:tcPr>
          <w:p>
            <w:pPr>
              <w:snapToGrid w:val="0"/>
              <w:spacing w:line="360" w:lineRule="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rPr>
              <w:t>具有和所驾车辆相符的车辆驾驶执照、健康证、从业资格证、遵纪守法等</w:t>
            </w:r>
            <w:r>
              <w:rPr>
                <w:rFonts w:hint="eastAsia" w:ascii="宋体" w:hAnsi="宋体" w:eastAsia="宋体" w:cs="宋体"/>
                <w:color w:val="auto"/>
                <w:sz w:val="21"/>
                <w:szCs w:val="21"/>
                <w:highlight w:val="none"/>
                <w:lang w:eastAsia="zh-CN"/>
              </w:rPr>
              <w:t>；必须具备5年或以上驾驶经验,且无未消除的交通违法和交通肇事记录等，</w:t>
            </w:r>
            <w:r>
              <w:rPr>
                <w:rFonts w:hint="eastAsia" w:ascii="宋体" w:hAnsi="宋体" w:cs="宋体"/>
                <w:color w:val="auto"/>
                <w:sz w:val="21"/>
                <w:szCs w:val="21"/>
                <w:highlight w:val="none"/>
                <w:lang w:val="en-US" w:eastAsia="zh-CN"/>
              </w:rPr>
              <w:t>2022年3月1日至2024年3月1日，</w:t>
            </w:r>
            <w:r>
              <w:rPr>
                <w:rFonts w:hint="eastAsia" w:ascii="宋体" w:hAnsi="宋体" w:eastAsia="宋体" w:cs="宋体"/>
                <w:color w:val="auto"/>
                <w:sz w:val="21"/>
                <w:szCs w:val="21"/>
                <w:highlight w:val="none"/>
                <w:lang w:eastAsia="zh-CN"/>
              </w:rPr>
              <w:t>没有一次性被扣6分及以上，未发生过重大交通事故或负同等及以上责任等。</w:t>
            </w:r>
          </w:p>
        </w:tc>
        <w:tc>
          <w:tcPr>
            <w:tcW w:w="2499" w:type="dxa"/>
            <w:vAlign w:val="center"/>
          </w:tcPr>
          <w:p>
            <w:pPr>
              <w:snapToGrid w:val="0"/>
              <w:spacing w:line="360" w:lineRule="auto"/>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lang w:val="en-US" w:eastAsia="zh-CN"/>
              </w:rPr>
              <w:t>配套服务</w:t>
            </w:r>
          </w:p>
        </w:tc>
      </w:tr>
    </w:tbl>
    <w:p>
      <w:pPr>
        <w:bidi w:val="0"/>
        <w:jc w:val="left"/>
        <w:rPr>
          <w:rFonts w:hint="eastAsia" w:ascii="宋体" w:hAnsi="宋体" w:eastAsia="宋体" w:cs="宋体"/>
          <w:color w:val="auto"/>
          <w:highlight w:val="none"/>
        </w:rPr>
      </w:pPr>
    </w:p>
    <w:p>
      <w:pPr>
        <w:numPr>
          <w:ilvl w:val="0"/>
          <w:numId w:val="0"/>
        </w:numPr>
        <w:snapToGrid w:val="0"/>
        <w:spacing w:line="360" w:lineRule="auto"/>
        <w:ind w:left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车辆要求</w:t>
      </w:r>
    </w:p>
    <w:p>
      <w:pPr>
        <w:snapToGrid w:val="0"/>
        <w:spacing w:before="156" w:beforeLines="50"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服务车辆</w:t>
      </w:r>
      <w:r>
        <w:rPr>
          <w:rFonts w:hint="eastAsia" w:ascii="宋体" w:hAnsi="宋体" w:cs="宋体"/>
          <w:color w:val="auto"/>
          <w:sz w:val="21"/>
          <w:szCs w:val="21"/>
          <w:highlight w:val="none"/>
          <w:lang w:val="en-US" w:eastAsia="zh-CN"/>
        </w:rPr>
        <w:t>2022年3月1日至2024年3月1日，</w:t>
      </w:r>
      <w:r>
        <w:rPr>
          <w:rFonts w:hint="eastAsia" w:ascii="宋体" w:hAnsi="宋体" w:eastAsia="宋体" w:cs="宋体"/>
          <w:color w:val="auto"/>
          <w:sz w:val="21"/>
          <w:szCs w:val="21"/>
          <w:highlight w:val="none"/>
        </w:rPr>
        <w:t>无交通事故记录、无法律纠纷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无人员伤亡事故历史；经交警、交委等部门审检合格，证照齐全有效,符合国家技术规范的客运车辆</w:t>
      </w:r>
      <w:r>
        <w:rPr>
          <w:rFonts w:hint="eastAsia" w:ascii="宋体" w:hAnsi="宋体" w:eastAsia="宋体" w:cs="宋体"/>
          <w:color w:val="auto"/>
          <w:sz w:val="21"/>
          <w:szCs w:val="21"/>
          <w:highlight w:val="none"/>
          <w:lang w:eastAsia="zh-CN"/>
        </w:rPr>
        <w:t>；</w:t>
      </w:r>
    </w:p>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提供服务车辆：</w:t>
      </w:r>
      <w:r>
        <w:rPr>
          <w:rFonts w:hint="eastAsia" w:ascii="宋体" w:hAnsi="宋体" w:cs="宋体"/>
          <w:color w:val="auto"/>
          <w:sz w:val="21"/>
          <w:szCs w:val="21"/>
          <w:highlight w:val="none"/>
          <w:lang w:val="en-US" w:eastAsia="zh-CN"/>
        </w:rPr>
        <w:t>6至9座的</w:t>
      </w:r>
      <w:r>
        <w:rPr>
          <w:rFonts w:hint="eastAsia" w:ascii="宋体" w:hAnsi="宋体" w:eastAsia="宋体" w:cs="宋体"/>
          <w:color w:val="auto"/>
          <w:sz w:val="21"/>
          <w:szCs w:val="21"/>
          <w:highlight w:val="none"/>
        </w:rPr>
        <w:t>商务车</w:t>
      </w:r>
      <w:r>
        <w:rPr>
          <w:rFonts w:hint="eastAsia" w:ascii="宋体" w:hAnsi="宋体" w:cs="宋体"/>
          <w:color w:val="auto"/>
          <w:sz w:val="21"/>
          <w:szCs w:val="21"/>
          <w:highlight w:val="none"/>
          <w:lang w:eastAsia="zh-CN"/>
        </w:rPr>
        <w:t>。</w:t>
      </w:r>
    </w:p>
    <w:p>
      <w:pPr>
        <w:pStyle w:val="13"/>
        <w:spacing w:line="360" w:lineRule="auto"/>
        <w:ind w:firstLine="420" w:firstLineChars="200"/>
        <w:rPr>
          <w:rFonts w:hint="eastAsia" w:ascii="宋体" w:hAnsi="宋体" w:eastAsia="宋体" w:cs="宋体"/>
          <w:strike w:val="0"/>
          <w:dstrike/>
          <w:color w:val="auto"/>
          <w:sz w:val="21"/>
          <w:szCs w:val="21"/>
          <w:highlight w:val="none"/>
        </w:rPr>
      </w:pPr>
      <w:r>
        <w:rPr>
          <w:rFonts w:hint="eastAsia" w:ascii="宋体" w:hAnsi="宋体" w:eastAsia="宋体" w:cs="宋体"/>
          <w:b w:val="0"/>
          <w:bCs w:val="0"/>
          <w:color w:val="auto"/>
          <w:sz w:val="21"/>
          <w:szCs w:val="21"/>
          <w:highlight w:val="none"/>
          <w:u w:val="none"/>
          <w:lang w:val="en-US" w:eastAsia="zh-CN"/>
        </w:rPr>
        <w:t>3</w:t>
      </w:r>
      <w:r>
        <w:rPr>
          <w:rFonts w:hint="eastAsia" w:ascii="宋体" w:hAnsi="宋体" w:cs="宋体"/>
          <w:b w:val="0"/>
          <w:bCs w:val="0"/>
          <w:color w:val="auto"/>
          <w:sz w:val="21"/>
          <w:szCs w:val="21"/>
          <w:highlight w:val="none"/>
          <w:u w:val="none"/>
          <w:lang w:eastAsia="zh-CN"/>
        </w:rPr>
        <w:t>、</w:t>
      </w:r>
      <w:r>
        <w:rPr>
          <w:rFonts w:hint="eastAsia" w:ascii="宋体" w:hAnsi="宋体" w:cs="宋体"/>
          <w:b w:val="0"/>
          <w:bCs w:val="0"/>
          <w:color w:val="auto"/>
          <w:szCs w:val="21"/>
          <w:highlight w:val="none"/>
          <w:u w:val="none"/>
          <w:lang w:val="en-US" w:eastAsia="zh-CN"/>
        </w:rPr>
        <w:t>乙方的服务车辆在营运过程中发生的一切消费、折损、事故、责任等均由乙方承担，不得损害甲方权益。</w:t>
      </w:r>
    </w:p>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车辆车况良好，行驶里程不超</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万公里</w:t>
      </w:r>
      <w:r>
        <w:rPr>
          <w:rFonts w:hint="eastAsia" w:ascii="宋体" w:hAnsi="宋体" w:eastAsia="宋体" w:cs="宋体"/>
          <w:color w:val="auto"/>
          <w:sz w:val="21"/>
          <w:szCs w:val="21"/>
          <w:highlight w:val="none"/>
          <w:lang w:eastAsia="zh-CN"/>
        </w:rPr>
        <w:t>。</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购买保险，符合国家有关车辆保险规定，包括但不限于以下保险：</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1）交强险；</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2）乘坐人员意外伤害险：每名乘客保额不得低于</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万/座；</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3）第三者商业保险：所有车辆保额不得低于100万；</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）国家相关法律法规规定以及满足车辆安全运营的其他保险。</w:t>
      </w:r>
    </w:p>
    <w:p>
      <w:pPr>
        <w:snapToGrid w:val="0"/>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提供车辆3</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每辆车</w:t>
      </w:r>
      <w:r>
        <w:rPr>
          <w:rFonts w:hint="eastAsia" w:ascii="宋体" w:hAnsi="宋体" w:eastAsia="宋体" w:cs="宋体"/>
          <w:color w:val="auto"/>
          <w:sz w:val="21"/>
          <w:szCs w:val="21"/>
          <w:highlight w:val="none"/>
        </w:rPr>
        <w:t>随车驾驶员不少于</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名</w:t>
      </w:r>
      <w:r>
        <w:rPr>
          <w:rFonts w:hint="eastAsia" w:ascii="宋体" w:hAnsi="宋体" w:cs="宋体"/>
          <w:color w:val="auto"/>
          <w:sz w:val="21"/>
          <w:szCs w:val="21"/>
          <w:highlight w:val="none"/>
          <w:lang w:eastAsia="zh-CN"/>
        </w:rPr>
        <w:t>。</w:t>
      </w:r>
    </w:p>
    <w:p>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7</w:t>
      </w:r>
      <w:r>
        <w:rPr>
          <w:rFonts w:hint="eastAsia" w:ascii="宋体" w:hAnsi="宋体" w:cs="宋体"/>
          <w:color w:val="auto"/>
          <w:sz w:val="21"/>
          <w:szCs w:val="21"/>
          <w:highlight w:val="none"/>
          <w:lang w:eastAsia="zh-CN"/>
        </w:rPr>
        <w:t>、</w:t>
      </w:r>
      <w:r>
        <w:rPr>
          <w:rFonts w:hint="eastAsia" w:ascii="宋体" w:hAnsi="宋体" w:eastAsia="宋体" w:cs="宋体"/>
          <w:b w:val="0"/>
          <w:bCs w:val="0"/>
          <w:color w:val="auto"/>
          <w:sz w:val="21"/>
          <w:szCs w:val="21"/>
          <w:highlight w:val="none"/>
          <w:u w:val="none"/>
        </w:rPr>
        <w:t>车辆所有人为</w:t>
      </w:r>
      <w:r>
        <w:rPr>
          <w:rFonts w:hint="eastAsia" w:ascii="宋体" w:hAnsi="宋体" w:cs="宋体"/>
          <w:b w:val="0"/>
          <w:bCs w:val="0"/>
          <w:color w:val="auto"/>
          <w:sz w:val="21"/>
          <w:szCs w:val="21"/>
          <w:highlight w:val="none"/>
          <w:u w:val="none"/>
          <w:lang w:eastAsia="zh-CN"/>
        </w:rPr>
        <w:t>乙方</w:t>
      </w:r>
      <w:r>
        <w:rPr>
          <w:rFonts w:hint="eastAsia" w:ascii="宋体" w:hAnsi="宋体" w:eastAsia="宋体" w:cs="宋体"/>
          <w:b w:val="0"/>
          <w:bCs w:val="0"/>
          <w:color w:val="auto"/>
          <w:sz w:val="21"/>
          <w:szCs w:val="21"/>
          <w:highlight w:val="none"/>
          <w:u w:val="none"/>
        </w:rPr>
        <w:t>的，须提供车辆行驶证或购车发票；车辆所有人为非</w:t>
      </w:r>
      <w:r>
        <w:rPr>
          <w:rFonts w:hint="eastAsia" w:ascii="宋体" w:hAnsi="宋体" w:cs="宋体"/>
          <w:b w:val="0"/>
          <w:bCs w:val="0"/>
          <w:color w:val="auto"/>
          <w:sz w:val="21"/>
          <w:szCs w:val="21"/>
          <w:highlight w:val="none"/>
          <w:u w:val="none"/>
          <w:lang w:eastAsia="zh-CN"/>
        </w:rPr>
        <w:t>乙方</w:t>
      </w:r>
      <w:r>
        <w:rPr>
          <w:rFonts w:hint="eastAsia" w:ascii="宋体" w:hAnsi="宋体" w:eastAsia="宋体" w:cs="宋体"/>
          <w:b w:val="0"/>
          <w:bCs w:val="0"/>
          <w:color w:val="auto"/>
          <w:sz w:val="21"/>
          <w:szCs w:val="21"/>
          <w:highlight w:val="none"/>
          <w:u w:val="none"/>
        </w:rPr>
        <w:t>的，须同时提供车辆行驶证（或购车发票）</w:t>
      </w:r>
      <w:r>
        <w:rPr>
          <w:rFonts w:hint="eastAsia" w:ascii="宋体" w:hAnsi="宋体" w:eastAsia="宋体" w:cs="宋体"/>
          <w:b w:val="0"/>
          <w:bCs w:val="0"/>
          <w:color w:val="auto"/>
          <w:sz w:val="21"/>
          <w:szCs w:val="21"/>
          <w:highlight w:val="none"/>
          <w:u w:val="none"/>
          <w:lang w:val="en-US" w:eastAsia="zh-CN"/>
        </w:rPr>
        <w:t>及租赁合同</w:t>
      </w:r>
      <w:r>
        <w:rPr>
          <w:rFonts w:hint="eastAsia" w:ascii="宋体" w:hAnsi="宋体" w:eastAsia="宋体" w:cs="宋体"/>
          <w:b w:val="0"/>
          <w:bCs w:val="0"/>
          <w:color w:val="auto"/>
          <w:sz w:val="21"/>
          <w:szCs w:val="21"/>
          <w:highlight w:val="none"/>
          <w:u w:val="none"/>
          <w:lang w:eastAsia="zh-CN"/>
        </w:rPr>
        <w:t>。</w:t>
      </w:r>
    </w:p>
    <w:p>
      <w:pPr>
        <w:numPr>
          <w:ilvl w:val="0"/>
          <w:numId w:val="0"/>
        </w:numPr>
        <w:snapToGrid w:val="0"/>
        <w:spacing w:line="360" w:lineRule="auto"/>
        <w:ind w:leftChars="200"/>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驾驶员服务及要求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highlight w:val="none"/>
        </w:rPr>
        <w:t>驾驶员服务</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仪容</w:t>
      </w:r>
      <w:r>
        <w:rPr>
          <w:rFonts w:hint="eastAsia" w:ascii="宋体" w:hAnsi="宋体" w:eastAsia="宋体" w:cs="宋体"/>
          <w:color w:val="auto"/>
          <w:highlight w:val="none"/>
          <w:lang w:val="en-US" w:eastAsia="zh-CN"/>
        </w:rPr>
        <w:t>得体、干净整洁；</w:t>
      </w:r>
      <w:r>
        <w:rPr>
          <w:rFonts w:hint="eastAsia" w:ascii="宋体" w:hAnsi="宋体" w:eastAsia="宋体" w:cs="宋体"/>
          <w:color w:val="auto"/>
          <w:highlight w:val="none"/>
        </w:rPr>
        <w:t>服务热情。车辆出车前</w:t>
      </w:r>
      <w:r>
        <w:rPr>
          <w:rFonts w:hint="eastAsia" w:ascii="宋体" w:hAnsi="宋体" w:eastAsia="宋体" w:cs="宋体"/>
          <w:color w:val="auto"/>
          <w:highlight w:val="none"/>
          <w:lang w:val="en-US" w:eastAsia="zh-CN"/>
        </w:rPr>
        <w:t>应进行车辆</w:t>
      </w:r>
      <w:r>
        <w:rPr>
          <w:rFonts w:hint="eastAsia" w:ascii="宋体" w:hAnsi="宋体" w:eastAsia="宋体" w:cs="宋体"/>
          <w:color w:val="auto"/>
          <w:highlight w:val="none"/>
        </w:rPr>
        <w:t>安全检查</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车辆设备安全、反光三角架、灭火器等</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及</w:t>
      </w:r>
      <w:r>
        <w:rPr>
          <w:rFonts w:hint="eastAsia" w:ascii="宋体" w:hAnsi="宋体" w:eastAsia="宋体" w:cs="宋体"/>
          <w:color w:val="auto"/>
          <w:highlight w:val="none"/>
        </w:rPr>
        <w:t>随车</w:t>
      </w:r>
      <w:r>
        <w:rPr>
          <w:rFonts w:hint="eastAsia" w:ascii="宋体" w:hAnsi="宋体" w:eastAsia="宋体" w:cs="宋体"/>
          <w:color w:val="auto"/>
          <w:highlight w:val="none"/>
          <w:lang w:val="en-US" w:eastAsia="zh-CN"/>
        </w:rPr>
        <w:t>携带</w:t>
      </w:r>
      <w:r>
        <w:rPr>
          <w:rFonts w:hint="eastAsia" w:ascii="宋体" w:hAnsi="宋体" w:eastAsia="宋体" w:cs="宋体"/>
          <w:color w:val="auto"/>
          <w:highlight w:val="none"/>
        </w:rPr>
        <w:t>证件（行驶证/</w:t>
      </w:r>
      <w:r>
        <w:rPr>
          <w:rFonts w:hint="eastAsia" w:ascii="宋体" w:hAnsi="宋体" w:eastAsia="宋体" w:cs="宋体"/>
          <w:color w:val="auto"/>
          <w:highlight w:val="none"/>
          <w:lang w:val="en-US" w:eastAsia="zh-CN"/>
        </w:rPr>
        <w:t>驾驶证</w:t>
      </w:r>
      <w:r>
        <w:rPr>
          <w:rFonts w:hint="eastAsia" w:ascii="宋体" w:hAnsi="宋体" w:eastAsia="宋体" w:cs="宋体"/>
          <w:color w:val="auto"/>
          <w:highlight w:val="none"/>
        </w:rPr>
        <w:t>/保险</w:t>
      </w:r>
      <w:r>
        <w:rPr>
          <w:rFonts w:hint="eastAsia" w:ascii="宋体" w:hAnsi="宋体" w:eastAsia="宋体" w:cs="宋体"/>
          <w:color w:val="auto"/>
          <w:highlight w:val="none"/>
          <w:lang w:val="en-US" w:eastAsia="zh-CN"/>
        </w:rPr>
        <w:t>等）齐全，</w:t>
      </w:r>
      <w:r>
        <w:rPr>
          <w:rFonts w:hint="eastAsia" w:ascii="宋体" w:hAnsi="宋体" w:eastAsia="宋体" w:cs="宋体"/>
          <w:color w:val="auto"/>
          <w:highlight w:val="none"/>
        </w:rPr>
        <w:t>车内干净整洁、无异味。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highlight w:val="none"/>
        </w:rPr>
        <w:t>乘车质量服务：</w:t>
      </w:r>
      <w:r>
        <w:rPr>
          <w:rFonts w:hint="eastAsia" w:ascii="宋体" w:hAnsi="宋体" w:eastAsia="宋体" w:cs="宋体"/>
          <w:color w:val="auto"/>
          <w:highlight w:val="none"/>
          <w:lang w:val="en-US" w:eastAsia="zh-CN"/>
        </w:rPr>
        <w:t>遵守交规，</w:t>
      </w:r>
      <w:r>
        <w:rPr>
          <w:rFonts w:hint="eastAsia" w:ascii="宋体" w:hAnsi="宋体" w:eastAsia="宋体" w:cs="宋体"/>
          <w:color w:val="auto"/>
          <w:highlight w:val="none"/>
        </w:rPr>
        <w:t>驾驶员不私自改变车辆行驶路线；若驾驶员连续行车</w:t>
      </w:r>
      <w:r>
        <w:rPr>
          <w:rFonts w:hint="eastAsia" w:ascii="宋体" w:hAnsi="宋体" w:eastAsia="宋体" w:cs="宋体"/>
          <w:color w:val="auto"/>
          <w:highlight w:val="none"/>
          <w:lang w:val="en-US" w:eastAsia="zh-CN"/>
        </w:rPr>
        <w:t>300</w:t>
      </w:r>
      <w:r>
        <w:rPr>
          <w:rFonts w:hint="eastAsia" w:ascii="宋体" w:hAnsi="宋体" w:eastAsia="宋体" w:cs="宋体"/>
          <w:color w:val="auto"/>
          <w:highlight w:val="none"/>
        </w:rPr>
        <w:t>公里或</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小时，须停车休息</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分钟</w:t>
      </w:r>
      <w:r>
        <w:rPr>
          <w:rFonts w:hint="eastAsia" w:ascii="宋体" w:hAnsi="宋体" w:eastAsia="宋体" w:cs="宋体"/>
          <w:color w:val="auto"/>
          <w:highlight w:val="none"/>
          <w:lang w:val="en-US" w:eastAsia="zh-CN"/>
        </w:rPr>
        <w:t>缓解疲劳</w:t>
      </w:r>
      <w:r>
        <w:rPr>
          <w:rFonts w:hint="eastAsia" w:ascii="宋体" w:hAnsi="宋体" w:eastAsia="宋体" w:cs="宋体"/>
          <w:color w:val="auto"/>
          <w:highlight w:val="none"/>
        </w:rPr>
        <w:t>；驾驶员按出车单规定的时间和乘车地点提前</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分钟到达指定位置，帮助乘车人提拿行李并放好；</w:t>
      </w:r>
      <w:r>
        <w:rPr>
          <w:rFonts w:hint="eastAsia" w:ascii="宋体" w:hAnsi="宋体" w:eastAsia="宋体" w:cs="宋体"/>
          <w:color w:val="auto"/>
          <w:highlight w:val="none"/>
          <w:lang w:val="en-US" w:eastAsia="zh-CN"/>
        </w:rPr>
        <w:t>提醒乘客</w:t>
      </w:r>
      <w:r>
        <w:rPr>
          <w:rFonts w:hint="eastAsia" w:ascii="宋体" w:hAnsi="宋体" w:eastAsia="宋体" w:cs="宋体"/>
          <w:color w:val="auto"/>
          <w:highlight w:val="none"/>
        </w:rPr>
        <w:t>系好安全带，向乘车人确认车辆去往地点后出车。</w:t>
      </w:r>
      <w:r>
        <w:rPr>
          <w:rFonts w:hint="eastAsia" w:ascii="宋体" w:hAnsi="宋体" w:eastAsia="宋体" w:cs="宋体"/>
          <w:color w:val="auto"/>
          <w:highlight w:val="none"/>
          <w:lang w:val="en-US" w:eastAsia="zh-CN"/>
        </w:rPr>
        <w:t>回程</w:t>
      </w:r>
      <w:r>
        <w:rPr>
          <w:rFonts w:hint="eastAsia" w:ascii="宋体" w:hAnsi="宋体" w:eastAsia="宋体" w:cs="宋体"/>
          <w:color w:val="auto"/>
          <w:highlight w:val="none"/>
        </w:rPr>
        <w:t>将乘车人员安全送达返程地点；及时将车辆进行卫生清洁，做好车辆养护。</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驾驶员要求：</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提供运输服务时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随车驾驶员</w:t>
      </w:r>
      <w:r>
        <w:rPr>
          <w:rFonts w:hint="eastAsia" w:ascii="宋体" w:hAnsi="宋体" w:eastAsia="宋体" w:cs="宋体"/>
          <w:color w:val="auto"/>
          <w:sz w:val="21"/>
          <w:szCs w:val="21"/>
          <w:highlight w:val="none"/>
        </w:rPr>
        <w:t>必须具备5年或以上驾驶经验（驾龄截至日为202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月1日），具有和所驾车辆相符的车辆驾驶执照、健康证、从业资格证</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,遵纪守法，</w:t>
      </w:r>
      <w:r>
        <w:rPr>
          <w:rFonts w:hint="eastAsia" w:ascii="宋体" w:hAnsi="宋体" w:eastAsia="宋体" w:cs="宋体"/>
          <w:color w:val="auto"/>
          <w:sz w:val="21"/>
          <w:szCs w:val="21"/>
          <w:highlight w:val="none"/>
          <w:lang w:eastAsia="zh-CN"/>
        </w:rPr>
        <w:t>且无未消除的交通违法和交通肇事记录等，</w:t>
      </w:r>
      <w:r>
        <w:rPr>
          <w:rFonts w:hint="eastAsia" w:ascii="宋体" w:hAnsi="宋体" w:cs="宋体"/>
          <w:color w:val="auto"/>
          <w:sz w:val="21"/>
          <w:szCs w:val="21"/>
          <w:highlight w:val="none"/>
          <w:lang w:val="en-US" w:eastAsia="zh-CN"/>
        </w:rPr>
        <w:t>2022年3月1日至2024年3月1日</w:t>
      </w:r>
      <w:r>
        <w:rPr>
          <w:rFonts w:hint="eastAsia" w:ascii="宋体" w:hAnsi="宋体" w:eastAsia="宋体" w:cs="宋体"/>
          <w:color w:val="auto"/>
          <w:sz w:val="21"/>
          <w:szCs w:val="21"/>
          <w:highlight w:val="none"/>
          <w:lang w:eastAsia="zh-CN"/>
        </w:rPr>
        <w:t>没有一次性被扣6分及以上，未发生过重大交通事故或负同等及以上责任等。</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需提供驾驶证、健康证、从业资格证、</w:t>
      </w:r>
      <w:r>
        <w:rPr>
          <w:rFonts w:hint="eastAsia"/>
          <w:b/>
          <w:bCs/>
          <w:color w:val="auto"/>
          <w:highlight w:val="none"/>
          <w:lang w:val="en-US" w:eastAsia="zh-CN"/>
        </w:rPr>
        <w:t>机动车驾驶人安全驾驶记录情况（供应商可通过交管12123或到当地车管所进行申请）。</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配备驾驶员情况：执C1及以上牌照的驾驶员提供至少</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人。提供驾驶员的驾驶证复印件、劳动合同复印件、</w:t>
      </w:r>
      <w:r>
        <w:rPr>
          <w:rFonts w:hint="eastAsia" w:ascii="宋体" w:hAnsi="宋体" w:eastAsia="宋体" w:cs="宋体"/>
          <w:bCs/>
          <w:color w:val="auto"/>
          <w:sz w:val="21"/>
          <w:szCs w:val="21"/>
          <w:highlight w:val="none"/>
          <w:lang w:val="en-US" w:eastAsia="zh-CN"/>
        </w:rPr>
        <w:t>响应文件递交截止日前</w:t>
      </w:r>
      <w:r>
        <w:rPr>
          <w:rFonts w:hint="eastAsia" w:ascii="宋体" w:hAnsi="宋体" w:eastAsia="宋体" w:cs="宋体"/>
          <w:bCs/>
          <w:color w:val="auto"/>
          <w:sz w:val="21"/>
          <w:szCs w:val="21"/>
          <w:highlight w:val="none"/>
        </w:rPr>
        <w:t>6个月内（任意一个月）社保缴纳证明</w:t>
      </w:r>
      <w:r>
        <w:rPr>
          <w:rFonts w:hint="eastAsia" w:ascii="宋体" w:hAnsi="宋体" w:eastAsia="宋体" w:cs="宋体"/>
          <w:bCs/>
          <w:color w:val="auto"/>
          <w:sz w:val="21"/>
          <w:szCs w:val="21"/>
          <w:highlight w:val="none"/>
          <w:lang w:val="en-US" w:eastAsia="zh-CN"/>
        </w:rPr>
        <w:t>或个人所得税证明</w:t>
      </w:r>
      <w:r>
        <w:rPr>
          <w:rFonts w:hint="eastAsia" w:ascii="宋体" w:hAnsi="宋体" w:eastAsia="宋体" w:cs="宋体"/>
          <w:color w:val="auto"/>
          <w:sz w:val="21"/>
          <w:szCs w:val="21"/>
          <w:highlight w:val="none"/>
        </w:rPr>
        <w:t>。</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）驾驶员对所获得的</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各类信息负有保密义务，不得对外泄漏及从事违法活动。</w:t>
      </w:r>
    </w:p>
    <w:p>
      <w:pPr>
        <w:bidi w:val="0"/>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）驾驶员提供服务期间与</w:t>
      </w:r>
      <w:r>
        <w:rPr>
          <w:rFonts w:hint="eastAsia" w:ascii="宋体" w:hAnsi="宋体" w:eastAsia="宋体" w:cs="宋体"/>
          <w:color w:val="auto"/>
          <w:sz w:val="21"/>
          <w:szCs w:val="21"/>
          <w:highlight w:val="none"/>
          <w:lang w:val="en-US" w:eastAsia="zh-CN"/>
        </w:rPr>
        <w:t>乘车人</w:t>
      </w:r>
      <w:r>
        <w:rPr>
          <w:rFonts w:hint="eastAsia" w:ascii="宋体" w:hAnsi="宋体" w:eastAsia="宋体" w:cs="宋体"/>
          <w:color w:val="auto"/>
          <w:sz w:val="21"/>
          <w:szCs w:val="21"/>
          <w:highlight w:val="none"/>
        </w:rPr>
        <w:t>发生冲突，</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可向</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管理人员反映，提出意见，</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应按</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意见进行整改，如果</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提出更换驾驶员和车辆要求，</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w:t>
      </w:r>
      <w:r>
        <w:rPr>
          <w:rFonts w:hint="eastAsia" w:ascii="宋体" w:hAnsi="宋体" w:cs="宋体"/>
          <w:color w:val="auto"/>
          <w:sz w:val="21"/>
          <w:szCs w:val="21"/>
          <w:highlight w:val="none"/>
          <w:lang w:eastAsia="zh-CN"/>
        </w:rPr>
        <w:t>在</w:t>
      </w:r>
      <w:r>
        <w:rPr>
          <w:rFonts w:hint="eastAsia" w:ascii="宋体" w:hAnsi="宋体" w:cs="宋体"/>
          <w:color w:val="auto"/>
          <w:sz w:val="21"/>
          <w:szCs w:val="21"/>
          <w:highlight w:val="none"/>
          <w:lang w:val="en-US" w:eastAsia="zh-CN"/>
        </w:rPr>
        <w:t>3日内更换完成</w:t>
      </w:r>
      <w:r>
        <w:rPr>
          <w:rFonts w:hint="eastAsia" w:ascii="宋体" w:hAnsi="宋体" w:eastAsia="宋体" w:cs="宋体"/>
          <w:color w:val="auto"/>
          <w:sz w:val="21"/>
          <w:szCs w:val="21"/>
          <w:highlight w:val="none"/>
        </w:rPr>
        <w:t>。</w:t>
      </w:r>
    </w:p>
    <w:p>
      <w:pPr>
        <w:bidi w:val="0"/>
        <w:spacing w:line="360" w:lineRule="auto"/>
        <w:rPr>
          <w:rFonts w:hint="eastAsia" w:ascii="宋体" w:hAnsi="宋体" w:eastAsia="宋体" w:cs="宋体"/>
          <w:b/>
          <w:bCs/>
          <w:i w:val="0"/>
          <w:iCs w:val="0"/>
          <w:color w:val="auto"/>
          <w:highlight w:val="none"/>
          <w:lang w:val="en-US" w:eastAsia="zh-CN"/>
        </w:rPr>
      </w:pPr>
      <w:r>
        <w:rPr>
          <w:rFonts w:hint="eastAsia" w:ascii="宋体" w:hAnsi="宋体" w:eastAsia="宋体" w:cs="宋体"/>
          <w:b/>
          <w:bCs/>
          <w:i w:val="0"/>
          <w:iCs w:val="0"/>
          <w:color w:val="auto"/>
          <w:highlight w:val="none"/>
        </w:rPr>
        <w:t>三、服务</w:t>
      </w:r>
      <w:r>
        <w:rPr>
          <w:rFonts w:hint="eastAsia" w:ascii="宋体" w:hAnsi="宋体" w:eastAsia="宋体" w:cs="宋体"/>
          <w:b/>
          <w:bCs/>
          <w:i w:val="0"/>
          <w:iCs w:val="0"/>
          <w:color w:val="auto"/>
          <w:highlight w:val="none"/>
          <w:lang w:val="en-US" w:eastAsia="zh-CN"/>
        </w:rPr>
        <w:t>方式</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目为全承包方式,即投标报价包含租赁车辆的保险、年审、轮胎、维修、燃料、保养、检修、税金、营运费、过路费、管理费、税杂费以及驾驶员的薪金、食宿等与本项目相关的一切可预计及未能预计的项目相关费用。</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需有专人负责</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车辆及驾驶员的管理工作，并服从</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的车辆服务和调度。</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监狱为国家刑罚执行机关，</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及工作人员需对服务过程中了解到的监狱工作内容保密，如有泄露将依法追究相关责任。</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车辆运输前往目的地途中原则上不能过夜住宿休息，返程时应根据运输的实际情况调节食宿时间；确有需要的，须经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乘车人员同意后，安排驾乘和食宿时间。</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提出服务时间及用车数量需求时，存在不确定性，</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应合理安排节假日值班驾驶员、临时用车等服务；接到</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提出的服务需求时，须在3小时内安排驾驶员及车辆按照服务标准到达指定地点。</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不得将本项目转包或分包给第三方。</w:t>
      </w:r>
    </w:p>
    <w:p>
      <w:pPr>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在提供服务时，每趟行程需提供随车雨伞3把、每人不少于2支矿泉水（≥350ML/支）以及必要的急救医疗用品等。</w:t>
      </w:r>
    </w:p>
    <w:p>
      <w:pPr>
        <w:bidi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szCs w:val="21"/>
          <w:highlight w:val="none"/>
        </w:rPr>
        <w:t>8</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车辆运输往返路线原则上选择以高速公路为最优驾乘路线。</w:t>
      </w:r>
    </w:p>
    <w:p>
      <w:pPr>
        <w:bidi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四、售后保障</w:t>
      </w:r>
    </w:p>
    <w:p>
      <w:pPr>
        <w:widowControl/>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val="en-US" w:eastAsia="zh-CN"/>
        </w:rPr>
        <w:t>若甲方出现</w:t>
      </w:r>
      <w:r>
        <w:rPr>
          <w:rFonts w:hint="eastAsia" w:ascii="宋体" w:hAnsi="宋体" w:eastAsia="宋体" w:cs="宋体"/>
          <w:color w:val="auto"/>
          <w:sz w:val="21"/>
          <w:szCs w:val="21"/>
          <w:highlight w:val="none"/>
        </w:rPr>
        <w:t>特殊情况,</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应需满足</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临时改变乘车服务的时间、行程及用车等；因</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临时调整路线或目的地的，经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核实确认，以实际运输的（单程）公里数量结算金额，由</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承担；因</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临时调整路线或目的地的，造成</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工作人员不能按时往返的，</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有权追究</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相关责任。</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（二）服务车辆过程中如发生意外情况（如交通事故、车辆故障等），</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收到报告后应立即采取应急措施（报警、报险或叫救护车等），</w:t>
      </w:r>
      <w:r>
        <w:rPr>
          <w:rFonts w:hint="eastAsia" w:ascii="宋体" w:hAnsi="宋体" w:cs="宋体"/>
          <w:color w:val="auto"/>
          <w:sz w:val="21"/>
          <w:szCs w:val="21"/>
          <w:highlight w:val="none"/>
          <w:lang w:val="en-US" w:eastAsia="zh-CN"/>
        </w:rPr>
        <w:t>在1小时内</w:t>
      </w:r>
      <w:r>
        <w:rPr>
          <w:rFonts w:hint="eastAsia" w:ascii="宋体" w:hAnsi="宋体" w:eastAsia="宋体" w:cs="宋体"/>
          <w:color w:val="auto"/>
          <w:sz w:val="21"/>
          <w:szCs w:val="21"/>
          <w:highlight w:val="none"/>
        </w:rPr>
        <w:t>安排车辆接送随车人员；</w:t>
      </w:r>
      <w:r>
        <w:rPr>
          <w:rFonts w:hint="eastAsia" w:ascii="宋体" w:hAnsi="宋体" w:cs="宋体"/>
          <w:color w:val="auto"/>
          <w:sz w:val="21"/>
          <w:szCs w:val="21"/>
          <w:highlight w:val="none"/>
          <w:lang w:val="en-US" w:eastAsia="zh-CN"/>
        </w:rPr>
        <w:t>国内</w:t>
      </w:r>
      <w:r>
        <w:rPr>
          <w:rFonts w:hint="eastAsia" w:ascii="宋体" w:hAnsi="宋体" w:eastAsia="宋体" w:cs="宋体"/>
          <w:color w:val="auto"/>
          <w:sz w:val="21"/>
          <w:szCs w:val="21"/>
          <w:highlight w:val="none"/>
        </w:rPr>
        <w:t>发生事故时应做好临时换乘车辆和救援方案等，经</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同意后方可实施；如造成</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人员人身及财产损害的，</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应先行垫付相关费用，如交通部门判定</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负主要责任的，由</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承担所有责任。</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未按时完成履约行为或服务质量达不到要求，经</w:t>
      </w:r>
      <w:r>
        <w:rPr>
          <w:rFonts w:hint="eastAsia" w:ascii="宋体" w:hAnsi="宋体" w:cs="宋体"/>
          <w:color w:val="auto"/>
          <w:sz w:val="21"/>
          <w:szCs w:val="21"/>
          <w:highlight w:val="none"/>
          <w:lang w:eastAsia="zh-CN"/>
        </w:rPr>
        <w:t>甲方</w:t>
      </w:r>
      <w:r>
        <w:rPr>
          <w:rFonts w:hint="eastAsia" w:ascii="宋体" w:hAnsi="宋体" w:cs="宋体"/>
          <w:color w:val="auto"/>
          <w:sz w:val="21"/>
          <w:szCs w:val="21"/>
          <w:highlight w:val="none"/>
          <w:lang w:val="en-US" w:eastAsia="zh-CN"/>
        </w:rPr>
        <w:t>累计</w:t>
      </w:r>
      <w:r>
        <w:rPr>
          <w:rFonts w:hint="eastAsia" w:ascii="宋体" w:hAnsi="宋体" w:eastAsia="宋体" w:cs="宋体"/>
          <w:color w:val="auto"/>
          <w:sz w:val="21"/>
          <w:szCs w:val="21"/>
          <w:highlight w:val="none"/>
        </w:rPr>
        <w:t>三次提出书面批评意见后，仍无改进，</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有权终止合同。</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派出的</w:t>
      </w:r>
      <w:r>
        <w:rPr>
          <w:rFonts w:hint="eastAsia" w:ascii="宋体" w:hAnsi="宋体" w:eastAsia="宋体" w:cs="宋体"/>
          <w:color w:val="auto"/>
          <w:sz w:val="21"/>
          <w:szCs w:val="21"/>
          <w:highlight w:val="none"/>
          <w:lang w:val="en-US" w:eastAsia="zh-CN"/>
        </w:rPr>
        <w:t>驾驶员及车辆</w:t>
      </w:r>
      <w:r>
        <w:rPr>
          <w:rFonts w:hint="eastAsia" w:ascii="宋体" w:hAnsi="宋体" w:eastAsia="宋体" w:cs="宋体"/>
          <w:color w:val="auto"/>
          <w:sz w:val="21"/>
          <w:szCs w:val="21"/>
          <w:highlight w:val="none"/>
        </w:rPr>
        <w:t>，由</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负责管理，如有违反国家的法律、法规等情形时，导致</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lang w:val="en-US" w:eastAsia="zh-CN"/>
        </w:rPr>
        <w:t>乘车</w:t>
      </w:r>
      <w:r>
        <w:rPr>
          <w:rFonts w:hint="eastAsia" w:ascii="宋体" w:hAnsi="宋体" w:eastAsia="宋体" w:cs="宋体"/>
          <w:color w:val="auto"/>
          <w:sz w:val="21"/>
          <w:szCs w:val="21"/>
          <w:highlight w:val="none"/>
        </w:rPr>
        <w:t>人员人身和财产损害的，</w:t>
      </w:r>
      <w:r>
        <w:rPr>
          <w:rFonts w:hint="eastAsia" w:ascii="宋体" w:hAnsi="宋体" w:cs="宋体"/>
          <w:color w:val="auto"/>
          <w:sz w:val="21"/>
          <w:szCs w:val="21"/>
          <w:highlight w:val="none"/>
          <w:lang w:eastAsia="zh-CN"/>
        </w:rPr>
        <w:t>甲方</w:t>
      </w:r>
      <w:r>
        <w:rPr>
          <w:rFonts w:hint="eastAsia" w:ascii="宋体" w:hAnsi="宋体" w:cs="宋体"/>
          <w:color w:val="auto"/>
          <w:sz w:val="21"/>
          <w:szCs w:val="21"/>
          <w:highlight w:val="none"/>
          <w:lang w:val="en-US" w:eastAsia="zh-CN"/>
        </w:rPr>
        <w:t>单方</w:t>
      </w:r>
      <w:r>
        <w:rPr>
          <w:rFonts w:hint="eastAsia" w:ascii="宋体" w:hAnsi="宋体" w:eastAsia="宋体" w:cs="宋体"/>
          <w:color w:val="auto"/>
          <w:sz w:val="21"/>
          <w:szCs w:val="21"/>
          <w:highlight w:val="none"/>
        </w:rPr>
        <w:t>有权终止合同，并追究</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相关责任。</w:t>
      </w:r>
    </w:p>
    <w:p>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cs="宋体"/>
          <w:color w:val="auto"/>
          <w:sz w:val="21"/>
          <w:szCs w:val="21"/>
          <w:highlight w:val="none"/>
          <w:lang w:eastAsia="zh-CN"/>
        </w:rPr>
        <w:t>乙方</w:t>
      </w:r>
      <w:r>
        <w:rPr>
          <w:rFonts w:hint="eastAsia" w:ascii="宋体" w:hAnsi="宋体" w:eastAsia="宋体" w:cs="宋体"/>
          <w:bCs/>
          <w:color w:val="auto"/>
          <w:sz w:val="21"/>
          <w:szCs w:val="21"/>
          <w:highlight w:val="none"/>
        </w:rPr>
        <w:t>需在合同期内按照</w:t>
      </w:r>
      <w:r>
        <w:rPr>
          <w:rFonts w:hint="eastAsia" w:ascii="宋体" w:hAnsi="宋体" w:eastAsia="宋体" w:cs="宋体"/>
          <w:bCs/>
          <w:color w:val="auto"/>
          <w:sz w:val="21"/>
          <w:szCs w:val="21"/>
          <w:highlight w:val="none"/>
          <w:lang w:val="en-US" w:eastAsia="zh-CN"/>
        </w:rPr>
        <w:t>需求向</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提供服务，如因市场行情变化或其他原因，不能提供相应服务的，</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应出具书面说明，并提供解决方案，经</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同意后施行。</w:t>
      </w:r>
    </w:p>
    <w:p>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（六）</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需在签订中标合同的同时与</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签定车辆服务安全管理责任书。</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提供的服务达不到</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文件、合同约定的要求及</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文件的承诺，</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可根据以下情况扣除相应的履约保证金或解除合同，包括但不限于以下情形：</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违反双方合同安全管理规定的，每次扣除履约保证金10%；</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车辆不符合相关管理部门规定</w:t>
      </w:r>
      <w:r>
        <w:rPr>
          <w:rFonts w:hint="eastAsia" w:ascii="宋体" w:hAnsi="宋体" w:cs="宋体"/>
          <w:color w:val="auto"/>
          <w:sz w:val="21"/>
          <w:szCs w:val="21"/>
          <w:highlight w:val="none"/>
          <w:lang w:val="en-US" w:eastAsia="zh-CN"/>
        </w:rPr>
        <w:t>及需求</w:t>
      </w:r>
      <w:r>
        <w:rPr>
          <w:rFonts w:hint="eastAsia" w:ascii="宋体" w:hAnsi="宋体" w:eastAsia="宋体" w:cs="宋体"/>
          <w:color w:val="auto"/>
          <w:sz w:val="21"/>
          <w:szCs w:val="21"/>
          <w:highlight w:val="none"/>
        </w:rPr>
        <w:t>的，每次扣除履约保证金10%，不及时整改的扣除履约保证金20%；</w:t>
      </w:r>
    </w:p>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无特殊原因不按时到达服务点的</w:t>
      </w:r>
      <w:r>
        <w:rPr>
          <w:rFonts w:hint="eastAsia" w:ascii="宋体" w:hAnsi="宋体" w:cs="宋体"/>
          <w:color w:val="auto"/>
          <w:sz w:val="21"/>
          <w:szCs w:val="21"/>
          <w:highlight w:val="none"/>
          <w:lang w:val="en-US" w:eastAsia="zh-CN"/>
        </w:rPr>
        <w:t>或</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乘车人员有效投诉一次服务的，每次扣除履约保证金</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 xml:space="preserve">累计3次后，甲方有权单方解除合同 </w:t>
      </w:r>
      <w:r>
        <w:rPr>
          <w:rFonts w:hint="eastAsia" w:ascii="宋体" w:hAnsi="宋体" w:eastAsia="宋体" w:cs="宋体"/>
          <w:color w:val="auto"/>
          <w:sz w:val="21"/>
          <w:szCs w:val="21"/>
          <w:highlight w:val="none"/>
        </w:rPr>
        <w:t>；</w:t>
      </w:r>
      <w:r>
        <w:rPr>
          <w:rFonts w:hint="eastAsia"/>
          <w:color w:val="auto"/>
          <w:highlight w:val="none"/>
          <w:lang w:val="en-US" w:eastAsia="zh-CN"/>
        </w:rPr>
        <w:t>如有</w:t>
      </w:r>
      <w:r>
        <w:rPr>
          <w:rFonts w:hint="eastAsia" w:ascii="宋体" w:hAnsi="宋体" w:eastAsia="宋体" w:cs="宋体"/>
          <w:color w:val="auto"/>
          <w:sz w:val="21"/>
          <w:szCs w:val="21"/>
          <w:highlight w:val="none"/>
        </w:rPr>
        <w:t>造成乘客人身和财产损害的，扣除履约保证金100%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w:t>
      </w:r>
      <w:r>
        <w:rPr>
          <w:rFonts w:hint="eastAsia" w:ascii="宋体" w:hAnsi="宋体" w:cs="宋体"/>
          <w:color w:val="auto"/>
          <w:sz w:val="21"/>
          <w:szCs w:val="21"/>
          <w:highlight w:val="none"/>
          <w:lang w:eastAsia="zh-CN"/>
        </w:rPr>
        <w:t>甲方</w:t>
      </w:r>
      <w:r>
        <w:rPr>
          <w:rFonts w:hint="eastAsia" w:ascii="宋体" w:hAnsi="宋体" w:eastAsia="宋体" w:cs="宋体"/>
          <w:bCs/>
          <w:color w:val="auto"/>
          <w:sz w:val="21"/>
          <w:szCs w:val="21"/>
          <w:highlight w:val="none"/>
        </w:rPr>
        <w:t>单方</w:t>
      </w:r>
      <w:r>
        <w:rPr>
          <w:rFonts w:hint="eastAsia" w:ascii="宋体" w:hAnsi="宋体" w:eastAsia="宋体" w:cs="宋体"/>
          <w:color w:val="auto"/>
          <w:sz w:val="21"/>
          <w:szCs w:val="21"/>
          <w:highlight w:val="none"/>
          <w:lang w:val="en-US" w:eastAsia="zh-CN"/>
        </w:rPr>
        <w:t>有权</w:t>
      </w:r>
      <w:r>
        <w:rPr>
          <w:rFonts w:hint="eastAsia" w:ascii="宋体" w:hAnsi="宋体" w:eastAsia="宋体" w:cs="宋体"/>
          <w:color w:val="auto"/>
          <w:sz w:val="21"/>
          <w:szCs w:val="21"/>
          <w:highlight w:val="none"/>
        </w:rPr>
        <w:t>解除合同</w:t>
      </w:r>
      <w:r>
        <w:rPr>
          <w:rFonts w:hint="eastAsia" w:ascii="宋体" w:hAnsi="宋体" w:eastAsia="宋体" w:cs="宋体"/>
          <w:color w:val="auto"/>
          <w:sz w:val="21"/>
          <w:szCs w:val="21"/>
          <w:highlight w:val="none"/>
          <w:lang w:eastAsia="zh-CN"/>
        </w:rPr>
        <w:t>。</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发生严重的安全事故，</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负主要责任的，扣除履约保证金100%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且</w:t>
      </w:r>
      <w:r>
        <w:rPr>
          <w:rFonts w:hint="eastAsia" w:ascii="宋体" w:hAnsi="宋体" w:cs="宋体"/>
          <w:color w:val="auto"/>
          <w:sz w:val="21"/>
          <w:szCs w:val="21"/>
          <w:highlight w:val="none"/>
          <w:lang w:eastAsia="zh-CN"/>
        </w:rPr>
        <w:t>甲方</w:t>
      </w:r>
      <w:r>
        <w:rPr>
          <w:rFonts w:hint="eastAsia" w:ascii="宋体" w:hAnsi="宋体" w:eastAsia="宋体" w:cs="宋体"/>
          <w:bCs/>
          <w:color w:val="auto"/>
          <w:sz w:val="21"/>
          <w:szCs w:val="21"/>
          <w:highlight w:val="none"/>
        </w:rPr>
        <w:t>单方</w:t>
      </w:r>
      <w:r>
        <w:rPr>
          <w:rFonts w:hint="eastAsia" w:ascii="宋体" w:hAnsi="宋体" w:eastAsia="宋体" w:cs="宋体"/>
          <w:color w:val="auto"/>
          <w:sz w:val="21"/>
          <w:szCs w:val="21"/>
          <w:highlight w:val="none"/>
          <w:lang w:val="en-US" w:eastAsia="zh-CN"/>
        </w:rPr>
        <w:t>有权</w:t>
      </w:r>
      <w:r>
        <w:rPr>
          <w:rFonts w:hint="eastAsia" w:ascii="宋体" w:hAnsi="宋体" w:eastAsia="宋体" w:cs="宋体"/>
          <w:color w:val="auto"/>
          <w:sz w:val="21"/>
          <w:szCs w:val="21"/>
          <w:highlight w:val="none"/>
        </w:rPr>
        <w:t>解除合同</w:t>
      </w:r>
      <w:r>
        <w:rPr>
          <w:rFonts w:hint="eastAsia" w:ascii="宋体" w:hAnsi="宋体" w:eastAsia="宋体" w:cs="宋体"/>
          <w:color w:val="auto"/>
          <w:sz w:val="21"/>
          <w:szCs w:val="21"/>
          <w:highlight w:val="none"/>
          <w:lang w:eastAsia="zh-CN"/>
        </w:rPr>
        <w:t>。</w:t>
      </w:r>
    </w:p>
    <w:p>
      <w:pPr>
        <w:spacing w:before="1" w:line="360" w:lineRule="auto"/>
        <w:ind w:left="41" w:firstLine="420" w:firstLineChars="200"/>
        <w:rPr>
          <w:rFonts w:hint="eastAsia" w:ascii="宋体" w:hAnsi="宋体" w:eastAsia="宋体" w:cs="宋体"/>
          <w:color w:val="auto"/>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其他负面情形发生，经核实</w:t>
      </w:r>
      <w:r>
        <w:rPr>
          <w:rFonts w:hint="eastAsia" w:ascii="宋体" w:hAnsi="宋体" w:cs="宋体"/>
          <w:color w:val="auto"/>
          <w:sz w:val="21"/>
          <w:szCs w:val="21"/>
          <w:highlight w:val="none"/>
          <w:lang w:eastAsia="zh-CN"/>
        </w:rPr>
        <w:t>乙方</w:t>
      </w:r>
      <w:r>
        <w:rPr>
          <w:rFonts w:hint="eastAsia" w:ascii="宋体" w:hAnsi="宋体" w:eastAsia="宋体" w:cs="宋体"/>
          <w:color w:val="auto"/>
          <w:sz w:val="21"/>
          <w:szCs w:val="21"/>
          <w:highlight w:val="none"/>
        </w:rPr>
        <w:t>负主要责任的，</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可参照以上条款扣除相应的履约保证金，造成严重后果的</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可单方解除合同并追究</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的责任。</w:t>
      </w:r>
    </w:p>
    <w:p>
      <w:pPr>
        <w:bidi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rPr>
        <w:t>付款方式</w:t>
      </w:r>
    </w:p>
    <w:p>
      <w:pPr>
        <w:widowControl/>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（一）包含租赁车辆的保险、年审、轮胎、维修、燃料、保养、检修、税金、营运费、过</w:t>
      </w:r>
      <w:r>
        <w:rPr>
          <w:rFonts w:hint="eastAsia" w:ascii="宋体" w:hAnsi="宋体" w:eastAsia="宋体" w:cs="宋体"/>
          <w:color w:val="auto"/>
          <w:sz w:val="21"/>
          <w:szCs w:val="21"/>
          <w:highlight w:val="none"/>
        </w:rPr>
        <w:t>路费、管理费、税杂费</w:t>
      </w:r>
      <w:r>
        <w:rPr>
          <w:rFonts w:hint="eastAsia" w:ascii="宋体" w:hAnsi="宋体" w:eastAsia="宋体" w:cs="宋体"/>
          <w:bCs/>
          <w:color w:val="auto"/>
          <w:sz w:val="21"/>
          <w:szCs w:val="21"/>
          <w:highlight w:val="none"/>
        </w:rPr>
        <w:t>以及</w:t>
      </w:r>
      <w:r>
        <w:rPr>
          <w:rFonts w:hint="eastAsia" w:ascii="宋体" w:hAnsi="宋体" w:eastAsia="宋体" w:cs="宋体"/>
          <w:color w:val="auto"/>
          <w:sz w:val="21"/>
          <w:szCs w:val="21"/>
          <w:highlight w:val="none"/>
        </w:rPr>
        <w:t>驾驶员的薪金、</w:t>
      </w:r>
      <w:r>
        <w:rPr>
          <w:rFonts w:hint="eastAsia" w:ascii="宋体" w:hAnsi="宋体" w:eastAsia="宋体" w:cs="宋体"/>
          <w:bCs/>
          <w:color w:val="auto"/>
          <w:sz w:val="21"/>
          <w:szCs w:val="21"/>
          <w:highlight w:val="none"/>
        </w:rPr>
        <w:t>食宿和防疫费用</w:t>
      </w:r>
      <w:r>
        <w:rPr>
          <w:rFonts w:hint="eastAsia" w:ascii="宋体" w:hAnsi="宋体" w:eastAsia="宋体" w:cs="宋体"/>
          <w:color w:val="auto"/>
          <w:sz w:val="21"/>
          <w:szCs w:val="21"/>
          <w:highlight w:val="none"/>
        </w:rPr>
        <w:t>等与本项目相关的一切可预计及未能预计的项目相关费用，以实际运输的公里数量结算金额为准。</w:t>
      </w:r>
    </w:p>
    <w:p>
      <w:pPr>
        <w:widowControl/>
        <w:snapToGrid w:val="0"/>
        <w:spacing w:line="360" w:lineRule="auto"/>
        <w:ind w:firstLine="420" w:firstLineChars="200"/>
        <w:rPr>
          <w:rFonts w:hint="eastAsia" w:ascii="宋体" w:hAnsi="宋体" w:eastAsia="宋体" w:cs="宋体"/>
          <w:bCs/>
          <w:strike w:val="0"/>
          <w:dstrike/>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完成每期服务后，按照百度导航（始发地至目的地）运输路线截图、提供结算表，</w:t>
      </w:r>
      <w:r>
        <w:rPr>
          <w:rFonts w:hint="eastAsia" w:ascii="宋体" w:hAnsi="宋体" w:eastAsia="宋体" w:cs="宋体"/>
          <w:color w:val="auto"/>
          <w:sz w:val="21"/>
          <w:szCs w:val="21"/>
          <w:highlight w:val="none"/>
        </w:rPr>
        <w:t>每</w:t>
      </w:r>
      <w:r>
        <w:rPr>
          <w:rFonts w:hint="eastAsia" w:ascii="宋体" w:hAnsi="宋体" w:cs="宋体"/>
          <w:color w:val="auto"/>
          <w:sz w:val="21"/>
          <w:szCs w:val="21"/>
          <w:highlight w:val="none"/>
          <w:lang w:val="en-US" w:eastAsia="zh-CN"/>
        </w:rPr>
        <w:t>季度首月10</w:t>
      </w:r>
      <w:r>
        <w:rPr>
          <w:rFonts w:hint="eastAsia" w:ascii="宋体" w:hAnsi="宋体" w:eastAsia="宋体" w:cs="宋体"/>
          <w:color w:val="auto"/>
          <w:sz w:val="21"/>
          <w:szCs w:val="21"/>
          <w:highlight w:val="none"/>
        </w:rPr>
        <w:t>日前向</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列出上</w:t>
      </w:r>
      <w:r>
        <w:rPr>
          <w:rFonts w:hint="eastAsia" w:ascii="宋体" w:hAnsi="宋体" w:cs="宋体"/>
          <w:color w:val="auto"/>
          <w:sz w:val="21"/>
          <w:szCs w:val="21"/>
          <w:highlight w:val="none"/>
          <w:lang w:val="en-US" w:eastAsia="zh-CN"/>
        </w:rPr>
        <w:t>季度</w:t>
      </w:r>
      <w:r>
        <w:rPr>
          <w:rFonts w:hint="eastAsia" w:ascii="宋体" w:hAnsi="宋体" w:eastAsia="宋体" w:cs="宋体"/>
          <w:color w:val="auto"/>
          <w:sz w:val="21"/>
          <w:szCs w:val="21"/>
          <w:highlight w:val="none"/>
        </w:rPr>
        <w:t>所发生的总费用，由</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审定后，成交</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提供等额的正式税务发票，</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在收到发票后的</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个工作日内向成交人支付审定后的费用。结算手续按照</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有关规定执行。如结算费用已达到本项目的采购预算</w:t>
      </w:r>
      <w:r>
        <w:rPr>
          <w:rFonts w:hint="eastAsia" w:ascii="宋体" w:hAnsi="宋体" w:cs="宋体"/>
          <w:color w:val="auto"/>
          <w:sz w:val="21"/>
          <w:szCs w:val="21"/>
          <w:highlight w:val="none"/>
          <w:lang w:val="en-US" w:eastAsia="zh-CN"/>
        </w:rPr>
        <w:t>或</w:t>
      </w:r>
      <w:r>
        <w:rPr>
          <w:rFonts w:hint="eastAsia" w:ascii="宋体" w:hAnsi="宋体" w:eastAsia="宋体" w:cs="宋体"/>
          <w:color w:val="auto"/>
          <w:kern w:val="2"/>
          <w:sz w:val="21"/>
          <w:szCs w:val="21"/>
          <w:highlight w:val="none"/>
          <w:lang w:bidi="ar"/>
        </w:rPr>
        <w:t>合同截止日期两者先到为准</w:t>
      </w:r>
      <w:r>
        <w:rPr>
          <w:rFonts w:hint="eastAsia" w:ascii="宋体" w:hAnsi="宋体" w:eastAsia="宋体" w:cs="宋体"/>
          <w:color w:val="auto"/>
          <w:sz w:val="21"/>
          <w:szCs w:val="21"/>
          <w:highlight w:val="none"/>
        </w:rPr>
        <w:t>。</w:t>
      </w:r>
    </w:p>
    <w:p>
      <w:pPr>
        <w:widowControl/>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（三）合同履约保证金按预算金额的5%</w:t>
      </w:r>
      <w:r>
        <w:rPr>
          <w:rFonts w:hint="eastAsia" w:ascii="宋体" w:hAnsi="宋体" w:cs="宋体"/>
          <w:color w:val="auto"/>
          <w:sz w:val="21"/>
          <w:szCs w:val="21"/>
          <w:highlight w:val="none"/>
          <w:lang w:val="en-US" w:eastAsia="zh-CN"/>
        </w:rPr>
        <w:t>缴纳</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签订合同后5个工作日内缴纳，</w:t>
      </w:r>
      <w:r>
        <w:rPr>
          <w:rFonts w:hint="eastAsia" w:ascii="宋体" w:hAnsi="宋体" w:eastAsia="宋体" w:cs="宋体"/>
          <w:color w:val="auto"/>
          <w:sz w:val="21"/>
          <w:szCs w:val="21"/>
          <w:highlight w:val="none"/>
        </w:rPr>
        <w:t>履约保证金可采用支票、银行汇款、保函等非现金的形式提交。</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，待本项目实际结算金额达到</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预算金额或合同期满后，无服务质量问题的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由服务</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lang w:val="en-US" w:eastAsia="zh-CN"/>
        </w:rPr>
        <w:t>提出书面申请，</w:t>
      </w:r>
      <w:r>
        <w:rPr>
          <w:rFonts w:hint="eastAsia" w:ascii="宋体" w:hAnsi="宋体" w:cs="宋体"/>
          <w:bCs/>
          <w:color w:val="auto"/>
          <w:sz w:val="21"/>
          <w:szCs w:val="21"/>
          <w:highlight w:val="none"/>
          <w:lang w:eastAsia="zh-CN"/>
        </w:rPr>
        <w:t>甲方</w:t>
      </w:r>
      <w:r>
        <w:rPr>
          <w:rFonts w:hint="eastAsia" w:ascii="宋体" w:hAnsi="宋体" w:eastAsia="宋体" w:cs="宋体"/>
          <w:bCs/>
          <w:color w:val="auto"/>
          <w:sz w:val="21"/>
          <w:szCs w:val="21"/>
          <w:highlight w:val="none"/>
        </w:rPr>
        <w:t>将在30天内无息退回履约保证金。如因</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的原因提前中止合同的，履约保证金将不予退回。</w:t>
      </w:r>
    </w:p>
    <w:p>
      <w:pPr>
        <w:widowControl/>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（四）本</w:t>
      </w:r>
      <w:r>
        <w:rPr>
          <w:rFonts w:hint="eastAsia" w:ascii="宋体" w:hAnsi="宋体" w:eastAsia="宋体" w:cs="宋体"/>
          <w:bCs/>
          <w:color w:val="auto"/>
          <w:sz w:val="21"/>
          <w:szCs w:val="21"/>
          <w:highlight w:val="none"/>
        </w:rPr>
        <w:t>项目通过银行转账的方式结算，</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需提供：</w:t>
      </w:r>
    </w:p>
    <w:p>
      <w:pPr>
        <w:widowControl/>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highlight w:val="none"/>
        </w:rPr>
        <w:t>、</w:t>
      </w:r>
      <w:r>
        <w:rPr>
          <w:rFonts w:hint="eastAsia" w:ascii="宋体" w:hAnsi="宋体" w:eastAsia="宋体" w:cs="宋体"/>
          <w:bCs/>
          <w:color w:val="auto"/>
          <w:sz w:val="21"/>
          <w:szCs w:val="21"/>
          <w:highlight w:val="none"/>
        </w:rPr>
        <w:t xml:space="preserve">对公账号（银行开户许可证）；     </w:t>
      </w:r>
    </w:p>
    <w:p>
      <w:pPr>
        <w:widowControl/>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highlight w:val="none"/>
        </w:rPr>
        <w:t>、</w:t>
      </w:r>
      <w:r>
        <w:rPr>
          <w:rFonts w:hint="eastAsia" w:ascii="宋体" w:hAnsi="宋体" w:eastAsia="宋体" w:cs="宋体"/>
          <w:bCs/>
          <w:color w:val="auto"/>
          <w:sz w:val="21"/>
          <w:szCs w:val="21"/>
          <w:highlight w:val="none"/>
        </w:rPr>
        <w:t>项目合同；</w:t>
      </w:r>
    </w:p>
    <w:p>
      <w:pPr>
        <w:widowControl/>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highlight w:val="none"/>
        </w:rPr>
        <w:t>、</w:t>
      </w:r>
      <w:r>
        <w:rPr>
          <w:rFonts w:hint="eastAsia" w:ascii="宋体" w:hAnsi="宋体" w:eastAsia="宋体" w:cs="宋体"/>
          <w:bCs/>
          <w:color w:val="auto"/>
          <w:sz w:val="21"/>
          <w:szCs w:val="21"/>
          <w:highlight w:val="none"/>
        </w:rPr>
        <w:t xml:space="preserve">成交结果通知书；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color w:val="auto"/>
          <w:highlight w:val="none"/>
        </w:rPr>
        <w:t>、</w:t>
      </w:r>
      <w:r>
        <w:rPr>
          <w:rFonts w:hint="eastAsia" w:ascii="宋体" w:hAnsi="宋体" w:eastAsia="宋体" w:cs="宋体"/>
          <w:bCs/>
          <w:color w:val="auto"/>
          <w:sz w:val="21"/>
          <w:szCs w:val="21"/>
          <w:highlight w:val="none"/>
        </w:rPr>
        <w:t>开具的发票（含税价）。</w:t>
      </w: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color w:val="auto"/>
          <w:sz w:val="21"/>
          <w:szCs w:val="20"/>
          <w:highlight w:val="none"/>
          <w:lang w:val="en-US" w:eastAsia="zh-CN"/>
        </w:rPr>
      </w:pPr>
      <w:r>
        <w:rPr>
          <w:rFonts w:hint="eastAsia" w:ascii="宋体" w:hAnsi="宋体" w:cs="宋体"/>
          <w:b/>
          <w:bCs/>
          <w:color w:val="auto"/>
          <w:sz w:val="21"/>
          <w:szCs w:val="20"/>
          <w:highlight w:val="none"/>
          <w:lang w:val="en-US" w:eastAsia="zh-CN"/>
        </w:rPr>
        <w:t>六、结算要求</w:t>
      </w:r>
    </w:p>
    <w:p>
      <w:pPr>
        <w:snapToGrid w:val="0"/>
        <w:spacing w:line="360" w:lineRule="auto"/>
        <w:ind w:firstLine="420" w:firstLineChars="200"/>
        <w:rPr>
          <w:rFonts w:hint="eastAsia" w:ascii="宋体" w:hAnsi="宋体" w:eastAsia="宋体" w:cs="宋体"/>
          <w:color w:val="auto"/>
          <w:kern w:val="2"/>
          <w:sz w:val="21"/>
          <w:szCs w:val="21"/>
          <w:highlight w:val="none"/>
          <w:lang w:bidi="ar"/>
        </w:rPr>
      </w:pPr>
      <w:r>
        <w:rPr>
          <w:rFonts w:hint="eastAsia" w:ascii="宋体" w:hAnsi="宋体" w:cs="宋体"/>
          <w:color w:val="auto"/>
          <w:kern w:val="2"/>
          <w:sz w:val="21"/>
          <w:szCs w:val="21"/>
          <w:highlight w:val="none"/>
          <w:lang w:val="en-US" w:eastAsia="zh-CN" w:bidi="ar"/>
        </w:rPr>
        <w:t>以</w:t>
      </w:r>
      <w:r>
        <w:rPr>
          <w:rFonts w:hint="eastAsia" w:ascii="宋体" w:hAnsi="宋体" w:eastAsia="宋体" w:cs="宋体"/>
          <w:color w:val="auto"/>
          <w:kern w:val="2"/>
          <w:sz w:val="21"/>
          <w:szCs w:val="21"/>
          <w:highlight w:val="none"/>
          <w:lang w:bidi="ar"/>
        </w:rPr>
        <w:t>实际运输量</w:t>
      </w:r>
      <w:r>
        <w:rPr>
          <w:rFonts w:hint="eastAsia" w:ascii="宋体" w:hAnsi="宋体" w:cs="宋体"/>
          <w:color w:val="auto"/>
          <w:kern w:val="2"/>
          <w:sz w:val="21"/>
          <w:szCs w:val="21"/>
          <w:highlight w:val="none"/>
          <w:lang w:val="en-US" w:eastAsia="zh-CN" w:bidi="ar"/>
        </w:rPr>
        <w:t>均按照</w:t>
      </w:r>
      <w:r>
        <w:rPr>
          <w:rFonts w:hint="eastAsia" w:ascii="宋体" w:hAnsi="宋体" w:eastAsia="宋体" w:cs="宋体"/>
          <w:color w:val="auto"/>
          <w:kern w:val="2"/>
          <w:sz w:val="21"/>
          <w:szCs w:val="21"/>
          <w:highlight w:val="none"/>
          <w:lang w:bidi="ar"/>
        </w:rPr>
        <w:t>百度地图测量始发地到目的地</w:t>
      </w:r>
      <w:r>
        <w:rPr>
          <w:rFonts w:hint="eastAsia" w:ascii="宋体" w:hAnsi="宋体" w:cs="宋体"/>
          <w:color w:val="auto"/>
          <w:kern w:val="2"/>
          <w:sz w:val="21"/>
          <w:szCs w:val="21"/>
          <w:highlight w:val="none"/>
          <w:lang w:val="en-US" w:eastAsia="zh-CN" w:bidi="ar"/>
        </w:rPr>
        <w:t>单程</w:t>
      </w:r>
      <w:r>
        <w:rPr>
          <w:rFonts w:hint="eastAsia" w:ascii="宋体" w:hAnsi="宋体" w:eastAsia="宋体" w:cs="宋体"/>
          <w:color w:val="auto"/>
          <w:kern w:val="2"/>
          <w:sz w:val="21"/>
          <w:szCs w:val="21"/>
          <w:highlight w:val="none"/>
          <w:lang w:bidi="ar"/>
        </w:rPr>
        <w:t>公里数</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bidi="ar"/>
        </w:rPr>
        <w:t>（高速路优先）计算。</w:t>
      </w:r>
    </w:p>
    <w:p>
      <w:pPr>
        <w:numPr>
          <w:ilvl w:val="-1"/>
          <w:numId w:val="0"/>
        </w:numPr>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日出行距离大于15公里（不含本数）且</w:t>
      </w:r>
      <w:r>
        <w:rPr>
          <w:rFonts w:hint="eastAsia" w:ascii="宋体" w:hAnsi="宋体" w:cs="宋体"/>
          <w:color w:val="auto"/>
          <w:kern w:val="2"/>
          <w:sz w:val="21"/>
          <w:szCs w:val="21"/>
          <w:highlight w:val="none"/>
          <w:lang w:val="en-US" w:eastAsia="zh-CN" w:bidi="ar-SA"/>
        </w:rPr>
        <w:t>小于</w:t>
      </w:r>
      <w:r>
        <w:rPr>
          <w:rFonts w:hint="eastAsia" w:ascii="宋体" w:hAnsi="宋体" w:eastAsia="宋体" w:cs="宋体"/>
          <w:color w:val="auto"/>
          <w:kern w:val="2"/>
          <w:sz w:val="21"/>
          <w:szCs w:val="21"/>
          <w:highlight w:val="none"/>
          <w:lang w:val="en-US" w:eastAsia="zh-CN" w:bidi="ar-SA"/>
        </w:rPr>
        <w:t>等于60公里的，车辆租用费20元/辆、驾驶员雇佣费20元/辆，燃油费、车辆通行费、停车费、超时费、超公里费等合并计算10元/辆，以上小计50元（</w:t>
      </w:r>
      <w:r>
        <w:rPr>
          <w:rFonts w:hint="eastAsia" w:ascii="宋体" w:hAnsi="宋体" w:eastAsia="宋体" w:cs="宋体"/>
          <w:b/>
          <w:bCs/>
          <w:color w:val="auto"/>
          <w:kern w:val="2"/>
          <w:sz w:val="21"/>
          <w:szCs w:val="21"/>
          <w:highlight w:val="none"/>
          <w:lang w:val="en-US" w:eastAsia="zh-CN" w:bidi="ar-SA"/>
        </w:rPr>
        <w:t>无驾驶员餐食</w:t>
      </w:r>
      <w:r>
        <w:rPr>
          <w:rFonts w:hint="eastAsia" w:ascii="宋体" w:hAnsi="宋体" w:cs="宋体"/>
          <w:b/>
          <w:bCs/>
          <w:color w:val="auto"/>
          <w:kern w:val="2"/>
          <w:sz w:val="21"/>
          <w:szCs w:val="21"/>
          <w:highlight w:val="none"/>
          <w:lang w:val="en-US" w:eastAsia="zh-CN" w:bidi="ar-SA"/>
        </w:rPr>
        <w:t>、住宿</w:t>
      </w:r>
      <w:r>
        <w:rPr>
          <w:rFonts w:hint="eastAsia" w:ascii="宋体" w:hAnsi="宋体" w:eastAsia="宋体" w:cs="宋体"/>
          <w:b/>
          <w:bCs/>
          <w:color w:val="auto"/>
          <w:kern w:val="2"/>
          <w:sz w:val="21"/>
          <w:szCs w:val="21"/>
          <w:highlight w:val="none"/>
          <w:lang w:val="en-US" w:eastAsia="zh-CN" w:bidi="ar-SA"/>
        </w:rPr>
        <w:t>费用</w:t>
      </w:r>
      <w:r>
        <w:rPr>
          <w:rFonts w:hint="eastAsia" w:ascii="宋体" w:hAnsi="宋体" w:eastAsia="宋体" w:cs="宋体"/>
          <w:color w:val="auto"/>
          <w:kern w:val="2"/>
          <w:sz w:val="21"/>
          <w:szCs w:val="21"/>
          <w:highlight w:val="none"/>
          <w:lang w:val="en-US" w:eastAsia="zh-CN" w:bidi="ar-SA"/>
        </w:rPr>
        <w:t>）。</w:t>
      </w:r>
    </w:p>
    <w:p>
      <w:pPr>
        <w:numPr>
          <w:ilvl w:val="-1"/>
          <w:numId w:val="0"/>
        </w:num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ascii="宋体" w:hAnsi="宋体" w:eastAsia="宋体" w:cs="宋体"/>
          <w:color w:val="auto"/>
          <w:sz w:val="21"/>
          <w:szCs w:val="21"/>
          <w:highlight w:val="none"/>
        </w:rPr>
        <w:t>日均出行距离</w:t>
      </w:r>
      <w:r>
        <w:rPr>
          <w:rFonts w:hint="eastAsia" w:ascii="宋体" w:hAnsi="宋体" w:cs="宋体"/>
          <w:color w:val="auto"/>
          <w:sz w:val="21"/>
          <w:szCs w:val="21"/>
          <w:highlight w:val="none"/>
          <w:lang w:val="en-US" w:eastAsia="zh-CN"/>
        </w:rPr>
        <w:t>不</w:t>
      </w:r>
      <w:r>
        <w:rPr>
          <w:rFonts w:ascii="宋体" w:hAnsi="宋体" w:eastAsia="宋体" w:cs="宋体"/>
          <w:color w:val="auto"/>
          <w:sz w:val="21"/>
          <w:szCs w:val="21"/>
          <w:highlight w:val="none"/>
        </w:rPr>
        <w:t>超过250公里的租车</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val="en-US" w:eastAsia="zh-CN"/>
        </w:rPr>
        <w:t>驾驶员餐食费用每日50元/辆,</w:t>
      </w: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人员实际行程安排</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需要留宿过夜的，</w:t>
      </w:r>
      <w:r>
        <w:rPr>
          <w:rFonts w:hint="eastAsia" w:ascii="宋体" w:hAnsi="宋体" w:cs="宋体"/>
          <w:b/>
          <w:bCs/>
          <w:color w:val="auto"/>
          <w:sz w:val="21"/>
          <w:szCs w:val="21"/>
          <w:highlight w:val="none"/>
          <w:lang w:val="en-US" w:eastAsia="zh-CN"/>
        </w:rPr>
        <w:t>驾驶员住宿费用每晚350元/辆</w:t>
      </w:r>
      <w:r>
        <w:rPr>
          <w:rFonts w:hint="eastAsia" w:ascii="宋体" w:hAnsi="宋体" w:eastAsia="宋体" w:cs="宋体"/>
          <w:color w:val="auto"/>
          <w:sz w:val="21"/>
          <w:szCs w:val="21"/>
          <w:highlight w:val="none"/>
          <w:lang w:val="en-US" w:eastAsia="zh-CN"/>
        </w:rPr>
        <w:t>。</w:t>
      </w:r>
    </w:p>
    <w:p>
      <w:pPr>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日出行距离</w:t>
      </w:r>
      <w:r>
        <w:rPr>
          <w:rFonts w:hint="eastAsia" w:ascii="宋体" w:hAnsi="宋体" w:cs="宋体"/>
          <w:color w:val="auto"/>
          <w:sz w:val="21"/>
          <w:szCs w:val="21"/>
          <w:highlight w:val="none"/>
          <w:lang w:val="en-US" w:eastAsia="zh-CN"/>
        </w:rPr>
        <w:t>大于60公里（不含本数）且</w:t>
      </w:r>
      <w:r>
        <w:rPr>
          <w:rFonts w:hint="eastAsia" w:ascii="宋体" w:hAnsi="宋体" w:cs="宋体"/>
          <w:color w:val="auto"/>
          <w:sz w:val="21"/>
          <w:szCs w:val="21"/>
          <w:highlight w:val="none"/>
          <w:lang w:eastAsia="zh-CN"/>
        </w:rPr>
        <w:t>小于等于</w:t>
      </w:r>
      <w:r>
        <w:rPr>
          <w:rFonts w:hint="eastAsia" w:ascii="宋体" w:hAnsi="宋体" w:eastAsia="宋体" w:cs="宋体"/>
          <w:color w:val="auto"/>
          <w:sz w:val="21"/>
          <w:szCs w:val="21"/>
          <w:highlight w:val="none"/>
          <w:lang w:val="en-US" w:eastAsia="zh-CN"/>
        </w:rPr>
        <w:t>100</w:t>
      </w:r>
      <w:r>
        <w:rPr>
          <w:rFonts w:ascii="宋体" w:hAnsi="宋体" w:eastAsia="宋体" w:cs="宋体"/>
          <w:color w:val="auto"/>
          <w:sz w:val="21"/>
          <w:szCs w:val="21"/>
          <w:highlight w:val="none"/>
        </w:rPr>
        <w:t>公里的</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车辆租用费</w:t>
      </w:r>
      <w:r>
        <w:rPr>
          <w:rFonts w:hint="eastAsia" w:ascii="宋体" w:hAnsi="宋体" w:eastAsia="宋体" w:cs="宋体"/>
          <w:color w:val="auto"/>
          <w:sz w:val="21"/>
          <w:szCs w:val="21"/>
          <w:highlight w:val="none"/>
          <w:lang w:val="en-US" w:eastAsia="zh-CN"/>
        </w:rPr>
        <w:t>200元</w:t>
      </w:r>
      <w:r>
        <w:rPr>
          <w:rFonts w:hint="eastAsia" w:ascii="宋体" w:hAnsi="宋体" w:cs="宋体"/>
          <w:color w:val="auto"/>
          <w:sz w:val="21"/>
          <w:szCs w:val="21"/>
          <w:highlight w:val="none"/>
          <w:lang w:val="en-US" w:eastAsia="zh-CN"/>
        </w:rPr>
        <w:t>/辆</w:t>
      </w:r>
      <w:r>
        <w:rPr>
          <w:rFonts w:ascii="宋体" w:hAnsi="宋体" w:eastAsia="宋体" w:cs="宋体"/>
          <w:color w:val="auto"/>
          <w:sz w:val="21"/>
          <w:szCs w:val="21"/>
          <w:highlight w:val="none"/>
        </w:rPr>
        <w:t>、驾驶员雇佣费</w:t>
      </w:r>
      <w:r>
        <w:rPr>
          <w:rFonts w:hint="eastAsia" w:ascii="宋体" w:hAnsi="宋体" w:eastAsia="宋体" w:cs="宋体"/>
          <w:color w:val="auto"/>
          <w:sz w:val="21"/>
          <w:szCs w:val="21"/>
          <w:highlight w:val="none"/>
          <w:lang w:val="en-US" w:eastAsia="zh-CN"/>
        </w:rPr>
        <w:t>100元</w:t>
      </w:r>
      <w:r>
        <w:rPr>
          <w:rFonts w:hint="eastAsia" w:ascii="宋体" w:hAnsi="宋体" w:cs="宋体"/>
          <w:color w:val="auto"/>
          <w:sz w:val="21"/>
          <w:szCs w:val="21"/>
          <w:highlight w:val="none"/>
          <w:lang w:val="en-US" w:eastAsia="zh-CN"/>
        </w:rPr>
        <w:t>/辆</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rPr>
        <w:t>燃油费、车辆通行费</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停车费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超时费、</w:t>
      </w:r>
      <w:r>
        <w:rPr>
          <w:rFonts w:ascii="宋体" w:hAnsi="宋体" w:eastAsia="宋体" w:cs="宋体"/>
          <w:color w:val="auto"/>
          <w:sz w:val="21"/>
          <w:szCs w:val="21"/>
          <w:highlight w:val="none"/>
          <w:lang w:val="en-US" w:eastAsia="zh-CN"/>
        </w:rPr>
        <w:t>超公里费</w:t>
      </w:r>
      <w:r>
        <w:rPr>
          <w:rFonts w:hint="eastAsia" w:ascii="宋体" w:hAnsi="宋体" w:eastAsia="宋体" w:cs="宋体"/>
          <w:color w:val="auto"/>
          <w:sz w:val="21"/>
          <w:szCs w:val="21"/>
          <w:highlight w:val="none"/>
          <w:lang w:val="en-US" w:eastAsia="zh-CN"/>
        </w:rPr>
        <w:t>等</w:t>
      </w:r>
      <w:r>
        <w:rPr>
          <w:rFonts w:ascii="宋体" w:hAnsi="宋体" w:eastAsia="宋体" w:cs="宋体"/>
          <w:color w:val="auto"/>
          <w:sz w:val="21"/>
          <w:szCs w:val="21"/>
          <w:highlight w:val="none"/>
        </w:rPr>
        <w:t>合并计算</w:t>
      </w:r>
      <w:r>
        <w:rPr>
          <w:rFonts w:hint="eastAsia" w:ascii="宋体" w:hAnsi="宋体" w:eastAsia="宋体" w:cs="宋体"/>
          <w:color w:val="auto"/>
          <w:sz w:val="21"/>
          <w:szCs w:val="21"/>
          <w:highlight w:val="none"/>
          <w:lang w:val="en-US" w:eastAsia="zh-CN"/>
        </w:rPr>
        <w:t>100元</w:t>
      </w:r>
      <w:r>
        <w:rPr>
          <w:rFonts w:hint="eastAsia" w:ascii="宋体" w:hAnsi="宋体" w:cs="宋体"/>
          <w:color w:val="auto"/>
          <w:sz w:val="21"/>
          <w:szCs w:val="21"/>
          <w:highlight w:val="none"/>
          <w:lang w:val="en-US" w:eastAsia="zh-CN"/>
        </w:rPr>
        <w:t>/辆</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以上小计</w:t>
      </w:r>
      <w:r>
        <w:rPr>
          <w:rFonts w:hint="eastAsia" w:ascii="宋体" w:hAnsi="宋体" w:eastAsia="宋体" w:cs="宋体"/>
          <w:color w:val="auto"/>
          <w:sz w:val="21"/>
          <w:szCs w:val="21"/>
          <w:highlight w:val="none"/>
          <w:lang w:val="en-US" w:eastAsia="zh-CN"/>
        </w:rPr>
        <w:t>400元</w:t>
      </w:r>
      <w:r>
        <w:rPr>
          <w:rFonts w:ascii="宋体" w:hAnsi="宋体" w:eastAsia="宋体" w:cs="宋体"/>
          <w:color w:val="auto"/>
          <w:sz w:val="21"/>
          <w:szCs w:val="21"/>
          <w:highlight w:val="none"/>
        </w:rPr>
        <w:t>。</w:t>
      </w:r>
    </w:p>
    <w:p>
      <w:pPr>
        <w:snapToGrid w:val="0"/>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日出行距离</w:t>
      </w:r>
      <w:r>
        <w:rPr>
          <w:rFonts w:hint="eastAsia" w:ascii="宋体" w:hAnsi="宋体" w:cs="宋体"/>
          <w:color w:val="auto"/>
          <w:sz w:val="21"/>
          <w:szCs w:val="21"/>
          <w:highlight w:val="none"/>
          <w:lang w:eastAsia="zh-CN"/>
        </w:rPr>
        <w:t>大于</w:t>
      </w:r>
      <w:r>
        <w:rPr>
          <w:rFonts w:hint="eastAsia" w:ascii="宋体" w:hAnsi="宋体" w:cs="宋体"/>
          <w:color w:val="auto"/>
          <w:sz w:val="21"/>
          <w:szCs w:val="21"/>
          <w:highlight w:val="none"/>
          <w:lang w:val="en-US" w:eastAsia="zh-CN"/>
        </w:rPr>
        <w:t>100</w:t>
      </w:r>
      <w:r>
        <w:rPr>
          <w:rFonts w:ascii="宋体" w:hAnsi="宋体" w:eastAsia="宋体" w:cs="宋体"/>
          <w:color w:val="auto"/>
          <w:sz w:val="21"/>
          <w:szCs w:val="21"/>
          <w:highlight w:val="none"/>
        </w:rPr>
        <w:t>公里</w:t>
      </w:r>
      <w:r>
        <w:rPr>
          <w:rFonts w:hint="eastAsia" w:ascii="宋体" w:hAnsi="宋体" w:cs="宋体"/>
          <w:color w:val="auto"/>
          <w:sz w:val="21"/>
          <w:szCs w:val="21"/>
          <w:highlight w:val="none"/>
          <w:lang w:eastAsia="zh-CN"/>
        </w:rPr>
        <w:t>小于等于</w:t>
      </w:r>
      <w:r>
        <w:rPr>
          <w:rFonts w:hint="eastAsia" w:ascii="宋体" w:hAnsi="宋体" w:cs="宋体"/>
          <w:color w:val="auto"/>
          <w:sz w:val="21"/>
          <w:szCs w:val="21"/>
          <w:highlight w:val="none"/>
          <w:lang w:val="en-US" w:eastAsia="zh-CN"/>
        </w:rPr>
        <w:t>200公里的</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车辆租用费</w:t>
      </w:r>
      <w:r>
        <w:rPr>
          <w:rFonts w:hint="eastAsia" w:ascii="宋体" w:hAnsi="宋体" w:cs="宋体"/>
          <w:color w:val="auto"/>
          <w:sz w:val="21"/>
          <w:szCs w:val="21"/>
          <w:highlight w:val="none"/>
          <w:lang w:val="en-US" w:eastAsia="zh-CN"/>
        </w:rPr>
        <w:t>300</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/辆</w:t>
      </w:r>
      <w:r>
        <w:rPr>
          <w:rFonts w:ascii="宋体" w:hAnsi="宋体" w:eastAsia="宋体" w:cs="宋体"/>
          <w:color w:val="auto"/>
          <w:sz w:val="21"/>
          <w:szCs w:val="21"/>
          <w:highlight w:val="none"/>
        </w:rPr>
        <w:t>、驾驶员雇佣费</w:t>
      </w:r>
      <w:r>
        <w:rPr>
          <w:rFonts w:hint="eastAsia" w:ascii="宋体" w:hAnsi="宋体" w:cs="宋体"/>
          <w:color w:val="auto"/>
          <w:sz w:val="21"/>
          <w:szCs w:val="21"/>
          <w:highlight w:val="none"/>
          <w:lang w:val="en-US" w:eastAsia="zh-CN"/>
        </w:rPr>
        <w:t>150</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/辆</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rPr>
        <w:t>燃油费、车辆通行费</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停车费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超时费、</w:t>
      </w:r>
      <w:r>
        <w:rPr>
          <w:rFonts w:ascii="宋体" w:hAnsi="宋体" w:eastAsia="宋体" w:cs="宋体"/>
          <w:color w:val="auto"/>
          <w:sz w:val="21"/>
          <w:szCs w:val="21"/>
          <w:highlight w:val="none"/>
          <w:lang w:val="en-US" w:eastAsia="zh-CN"/>
        </w:rPr>
        <w:t>超公里费</w:t>
      </w:r>
      <w:r>
        <w:rPr>
          <w:rFonts w:hint="eastAsia" w:ascii="宋体" w:hAnsi="宋体" w:eastAsia="宋体" w:cs="宋体"/>
          <w:color w:val="auto"/>
          <w:sz w:val="21"/>
          <w:szCs w:val="21"/>
          <w:highlight w:val="none"/>
          <w:lang w:val="en-US" w:eastAsia="zh-CN"/>
        </w:rPr>
        <w:t>等</w:t>
      </w:r>
      <w:r>
        <w:rPr>
          <w:rFonts w:ascii="宋体" w:hAnsi="宋体" w:eastAsia="宋体" w:cs="宋体"/>
          <w:color w:val="auto"/>
          <w:sz w:val="21"/>
          <w:szCs w:val="21"/>
          <w:highlight w:val="none"/>
        </w:rPr>
        <w:t>合并计算</w:t>
      </w:r>
      <w:r>
        <w:rPr>
          <w:rFonts w:hint="eastAsia" w:ascii="宋体" w:hAnsi="宋体" w:cs="宋体"/>
          <w:color w:val="auto"/>
          <w:sz w:val="21"/>
          <w:szCs w:val="21"/>
          <w:highlight w:val="none"/>
          <w:lang w:val="en-US" w:eastAsia="zh-CN"/>
        </w:rPr>
        <w:t>150</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/辆，以上小计600元</w:t>
      </w:r>
      <w:r>
        <w:rPr>
          <w:rFonts w:ascii="宋体" w:hAnsi="宋体" w:eastAsia="宋体" w:cs="宋体"/>
          <w:color w:val="auto"/>
          <w:sz w:val="21"/>
          <w:szCs w:val="21"/>
          <w:highlight w:val="none"/>
        </w:rPr>
        <w:t>。</w:t>
      </w:r>
    </w:p>
    <w:p>
      <w:pPr>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日出行距离</w:t>
      </w:r>
      <w:r>
        <w:rPr>
          <w:rFonts w:hint="eastAsia" w:ascii="宋体" w:hAnsi="宋体" w:cs="宋体"/>
          <w:color w:val="auto"/>
          <w:sz w:val="21"/>
          <w:szCs w:val="21"/>
          <w:highlight w:val="none"/>
          <w:lang w:eastAsia="zh-CN"/>
        </w:rPr>
        <w:t>大于</w:t>
      </w:r>
      <w:r>
        <w:rPr>
          <w:rFonts w:hint="eastAsia" w:ascii="宋体" w:hAnsi="宋体" w:cs="宋体"/>
          <w:color w:val="auto"/>
          <w:sz w:val="21"/>
          <w:szCs w:val="21"/>
          <w:highlight w:val="none"/>
          <w:lang w:val="en-US" w:eastAsia="zh-CN"/>
        </w:rPr>
        <w:t>200</w:t>
      </w:r>
      <w:r>
        <w:rPr>
          <w:rFonts w:ascii="宋体" w:hAnsi="宋体" w:eastAsia="宋体" w:cs="宋体"/>
          <w:color w:val="auto"/>
          <w:sz w:val="21"/>
          <w:szCs w:val="21"/>
          <w:highlight w:val="none"/>
        </w:rPr>
        <w:t>公里</w:t>
      </w:r>
      <w:r>
        <w:rPr>
          <w:rFonts w:hint="eastAsia" w:ascii="宋体" w:hAnsi="宋体" w:cs="宋体"/>
          <w:color w:val="auto"/>
          <w:sz w:val="21"/>
          <w:szCs w:val="21"/>
          <w:highlight w:val="none"/>
          <w:lang w:eastAsia="zh-CN"/>
        </w:rPr>
        <w:t>小于等于</w:t>
      </w:r>
      <w:r>
        <w:rPr>
          <w:rFonts w:hint="eastAsia" w:ascii="宋体" w:hAnsi="宋体" w:cs="宋体"/>
          <w:color w:val="auto"/>
          <w:sz w:val="21"/>
          <w:szCs w:val="21"/>
          <w:highlight w:val="none"/>
          <w:lang w:val="en-US" w:eastAsia="zh-CN"/>
        </w:rPr>
        <w:t>250公里的</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车辆租用费</w:t>
      </w:r>
      <w:r>
        <w:rPr>
          <w:rFonts w:hint="eastAsia" w:ascii="宋体" w:hAnsi="宋体" w:cs="宋体"/>
          <w:color w:val="auto"/>
          <w:sz w:val="21"/>
          <w:szCs w:val="21"/>
          <w:highlight w:val="none"/>
          <w:lang w:val="en-US" w:eastAsia="zh-CN"/>
        </w:rPr>
        <w:t>410</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/辆</w:t>
      </w:r>
      <w:r>
        <w:rPr>
          <w:rFonts w:ascii="宋体" w:hAnsi="宋体" w:eastAsia="宋体" w:cs="宋体"/>
          <w:color w:val="auto"/>
          <w:sz w:val="21"/>
          <w:szCs w:val="21"/>
          <w:highlight w:val="none"/>
        </w:rPr>
        <w:t>、驾驶员雇佣费</w:t>
      </w:r>
      <w:r>
        <w:rPr>
          <w:rFonts w:hint="eastAsia" w:ascii="宋体" w:hAnsi="宋体" w:cs="宋体"/>
          <w:color w:val="auto"/>
          <w:sz w:val="21"/>
          <w:szCs w:val="21"/>
          <w:highlight w:val="none"/>
          <w:lang w:val="en-US" w:eastAsia="zh-CN"/>
        </w:rPr>
        <w:t>200</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/辆</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rPr>
        <w:t>燃油费、车辆通行费</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停车费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超时费、</w:t>
      </w:r>
      <w:r>
        <w:rPr>
          <w:rFonts w:ascii="宋体" w:hAnsi="宋体" w:eastAsia="宋体" w:cs="宋体"/>
          <w:color w:val="auto"/>
          <w:sz w:val="21"/>
          <w:szCs w:val="21"/>
          <w:highlight w:val="none"/>
          <w:lang w:val="en-US" w:eastAsia="zh-CN"/>
        </w:rPr>
        <w:t>超公里费</w:t>
      </w:r>
      <w:r>
        <w:rPr>
          <w:rFonts w:hint="eastAsia" w:ascii="宋体" w:hAnsi="宋体" w:eastAsia="宋体" w:cs="宋体"/>
          <w:color w:val="auto"/>
          <w:sz w:val="21"/>
          <w:szCs w:val="21"/>
          <w:highlight w:val="none"/>
          <w:lang w:val="en-US" w:eastAsia="zh-CN"/>
        </w:rPr>
        <w:t>等</w:t>
      </w:r>
      <w:r>
        <w:rPr>
          <w:rFonts w:ascii="宋体" w:hAnsi="宋体" w:eastAsia="宋体" w:cs="宋体"/>
          <w:color w:val="auto"/>
          <w:sz w:val="21"/>
          <w:szCs w:val="21"/>
          <w:highlight w:val="none"/>
        </w:rPr>
        <w:t>合并计算</w:t>
      </w:r>
      <w:r>
        <w:rPr>
          <w:rFonts w:hint="eastAsia" w:ascii="宋体" w:hAnsi="宋体" w:cs="宋体"/>
          <w:color w:val="auto"/>
          <w:sz w:val="21"/>
          <w:szCs w:val="21"/>
          <w:highlight w:val="none"/>
          <w:lang w:val="en-US" w:eastAsia="zh-CN"/>
        </w:rPr>
        <w:t>190</w:t>
      </w:r>
      <w:r>
        <w:rPr>
          <w:rFonts w:hint="eastAsia" w:ascii="宋体" w:hAnsi="宋体" w:eastAsia="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/辆，以上小计800元</w:t>
      </w:r>
      <w:r>
        <w:rPr>
          <w:rFonts w:ascii="宋体" w:hAnsi="宋体" w:eastAsia="宋体" w:cs="宋体"/>
          <w:color w:val="auto"/>
          <w:sz w:val="21"/>
          <w:szCs w:val="21"/>
          <w:highlight w:val="none"/>
        </w:rPr>
        <w:t>。</w:t>
      </w:r>
    </w:p>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kern w:val="2"/>
          <w:sz w:val="21"/>
          <w:szCs w:val="21"/>
          <w:highlight w:val="none"/>
          <w:lang w:val="en-US" w:eastAsia="zh-CN" w:bidi="ar"/>
        </w:rPr>
        <w:t>3、</w:t>
      </w:r>
      <w:r>
        <w:rPr>
          <w:rFonts w:ascii="宋体" w:hAnsi="宋体" w:eastAsia="宋体" w:cs="宋体"/>
          <w:color w:val="auto"/>
          <w:sz w:val="21"/>
          <w:szCs w:val="21"/>
          <w:highlight w:val="none"/>
        </w:rPr>
        <w:t>日均出行距离</w:t>
      </w:r>
      <w:r>
        <w:rPr>
          <w:rFonts w:hint="eastAsia" w:ascii="宋体" w:hAnsi="宋体" w:cs="宋体"/>
          <w:color w:val="auto"/>
          <w:sz w:val="21"/>
          <w:szCs w:val="21"/>
          <w:highlight w:val="none"/>
          <w:lang w:eastAsia="zh-CN"/>
        </w:rPr>
        <w:t>大于</w:t>
      </w:r>
      <w:r>
        <w:rPr>
          <w:rFonts w:ascii="宋体" w:hAnsi="宋体" w:eastAsia="宋体" w:cs="宋体"/>
          <w:color w:val="auto"/>
          <w:sz w:val="21"/>
          <w:szCs w:val="21"/>
          <w:highlight w:val="none"/>
        </w:rPr>
        <w:t>250公里的租车</w:t>
      </w:r>
      <w:r>
        <w:rPr>
          <w:rFonts w:hint="eastAsia" w:ascii="宋体" w:hAnsi="宋体" w:cs="宋体"/>
          <w:color w:val="auto"/>
          <w:sz w:val="21"/>
          <w:szCs w:val="21"/>
          <w:highlight w:val="none"/>
          <w:lang w:eastAsia="zh-CN"/>
        </w:rPr>
        <w:t>，</w:t>
      </w:r>
      <w:r>
        <w:rPr>
          <w:rFonts w:hint="eastAsia" w:ascii="宋体" w:hAnsi="宋体" w:cs="宋体"/>
          <w:b/>
          <w:bCs/>
          <w:color w:val="auto"/>
          <w:sz w:val="21"/>
          <w:szCs w:val="21"/>
          <w:highlight w:val="none"/>
          <w:lang w:val="en-US" w:eastAsia="zh-CN"/>
        </w:rPr>
        <w:t>驾驶员餐食费用每日80元/辆，</w:t>
      </w:r>
      <w:r>
        <w:rPr>
          <w:rFonts w:hint="eastAsia" w:ascii="宋体" w:hAnsi="宋体" w:eastAsia="宋体" w:cs="宋体"/>
          <w:color w:val="auto"/>
          <w:sz w:val="21"/>
          <w:szCs w:val="21"/>
          <w:highlight w:val="none"/>
          <w:lang w:val="en-US" w:eastAsia="zh-CN"/>
        </w:rPr>
        <w:t>根据</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人员实际行程安排</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需要留宿过夜的，</w:t>
      </w:r>
      <w:r>
        <w:rPr>
          <w:rFonts w:hint="eastAsia" w:ascii="宋体" w:hAnsi="宋体" w:cs="宋体"/>
          <w:b/>
          <w:bCs/>
          <w:color w:val="auto"/>
          <w:sz w:val="21"/>
          <w:szCs w:val="21"/>
          <w:highlight w:val="none"/>
          <w:lang w:val="en-US" w:eastAsia="zh-CN"/>
        </w:rPr>
        <w:t>驾驶员住宿费用每晚350元/辆</w:t>
      </w:r>
      <w:r>
        <w:rPr>
          <w:rFonts w:hint="eastAsia" w:ascii="宋体" w:hAnsi="宋体" w:eastAsia="宋体" w:cs="宋体"/>
          <w:color w:val="auto"/>
          <w:sz w:val="21"/>
          <w:szCs w:val="21"/>
          <w:highlight w:val="none"/>
          <w:lang w:val="en-US" w:eastAsia="zh-CN"/>
        </w:rPr>
        <w:t>。</w:t>
      </w:r>
    </w:p>
    <w:p>
      <w:pPr>
        <w:snapToGrid w:val="0"/>
        <w:spacing w:line="360" w:lineRule="auto"/>
        <w:ind w:firstLine="420" w:firstLineChars="200"/>
        <w:rPr>
          <w:rFonts w:hint="default"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rPr>
        <w:t>日出行距离</w:t>
      </w:r>
      <w:r>
        <w:rPr>
          <w:rFonts w:hint="eastAsia" w:ascii="宋体" w:hAnsi="宋体" w:cs="宋体"/>
          <w:color w:val="auto"/>
          <w:sz w:val="21"/>
          <w:szCs w:val="21"/>
          <w:highlight w:val="none"/>
          <w:lang w:eastAsia="zh-CN"/>
        </w:rPr>
        <w:t>大于</w:t>
      </w:r>
      <w:r>
        <w:rPr>
          <w:rFonts w:hint="eastAsia" w:ascii="宋体" w:hAnsi="宋体" w:cs="宋体"/>
          <w:color w:val="auto"/>
          <w:sz w:val="21"/>
          <w:szCs w:val="21"/>
          <w:highlight w:val="none"/>
          <w:lang w:val="en-US" w:eastAsia="zh-CN"/>
        </w:rPr>
        <w:t>250公里的，</w:t>
      </w:r>
      <w:r>
        <w:rPr>
          <w:rFonts w:hint="eastAsia" w:ascii="宋体" w:hAnsi="宋体" w:eastAsia="宋体" w:cs="宋体"/>
          <w:color w:val="auto"/>
          <w:sz w:val="21"/>
          <w:szCs w:val="21"/>
          <w:highlight w:val="none"/>
          <w:lang w:val="en-US" w:eastAsia="zh-CN"/>
        </w:rPr>
        <w:t>按照每日</w:t>
      </w:r>
      <w:r>
        <w:rPr>
          <w:rFonts w:ascii="宋体" w:hAnsi="宋体" w:eastAsia="宋体" w:cs="宋体"/>
          <w:color w:val="auto"/>
          <w:sz w:val="21"/>
          <w:szCs w:val="21"/>
          <w:highlight w:val="none"/>
        </w:rPr>
        <w:t>车辆租用费</w:t>
      </w:r>
      <w:r>
        <w:rPr>
          <w:rFonts w:hint="eastAsia" w:ascii="宋体" w:hAnsi="宋体" w:eastAsia="宋体" w:cs="宋体"/>
          <w:color w:val="auto"/>
          <w:sz w:val="21"/>
          <w:szCs w:val="21"/>
          <w:highlight w:val="none"/>
          <w:lang w:val="en-US" w:eastAsia="zh-CN"/>
        </w:rPr>
        <w:t>410元</w:t>
      </w:r>
      <w:r>
        <w:rPr>
          <w:rFonts w:hint="eastAsia" w:ascii="宋体" w:hAnsi="宋体" w:cs="宋体"/>
          <w:color w:val="auto"/>
          <w:sz w:val="21"/>
          <w:szCs w:val="21"/>
          <w:highlight w:val="none"/>
          <w:lang w:val="en-US" w:eastAsia="zh-CN"/>
        </w:rPr>
        <w:t>/辆</w:t>
      </w:r>
      <w:r>
        <w:rPr>
          <w:rFonts w:ascii="宋体" w:hAnsi="宋体" w:eastAsia="宋体" w:cs="宋体"/>
          <w:color w:val="auto"/>
          <w:sz w:val="21"/>
          <w:szCs w:val="21"/>
          <w:highlight w:val="none"/>
        </w:rPr>
        <w:t>、驾驶员</w:t>
      </w:r>
      <w:r>
        <w:rPr>
          <w:rFonts w:hint="eastAsia" w:ascii="宋体" w:hAnsi="宋体" w:eastAsia="宋体" w:cs="宋体"/>
          <w:color w:val="auto"/>
          <w:sz w:val="21"/>
          <w:szCs w:val="21"/>
          <w:highlight w:val="none"/>
          <w:lang w:val="en-US" w:eastAsia="zh-CN"/>
        </w:rPr>
        <w:t>每日</w:t>
      </w:r>
      <w:r>
        <w:rPr>
          <w:rFonts w:ascii="宋体" w:hAnsi="宋体" w:eastAsia="宋体" w:cs="宋体"/>
          <w:color w:val="auto"/>
          <w:sz w:val="21"/>
          <w:szCs w:val="21"/>
          <w:highlight w:val="none"/>
        </w:rPr>
        <w:t>雇佣费</w:t>
      </w:r>
      <w:r>
        <w:rPr>
          <w:rFonts w:hint="eastAsia" w:ascii="宋体" w:hAnsi="宋体" w:eastAsia="宋体" w:cs="宋体"/>
          <w:color w:val="auto"/>
          <w:sz w:val="21"/>
          <w:szCs w:val="21"/>
          <w:highlight w:val="none"/>
          <w:lang w:val="en-US" w:eastAsia="zh-CN"/>
        </w:rPr>
        <w:t>200元</w:t>
      </w:r>
      <w:r>
        <w:rPr>
          <w:rFonts w:hint="eastAsia" w:ascii="宋体" w:hAnsi="宋体" w:cs="宋体"/>
          <w:color w:val="auto"/>
          <w:sz w:val="21"/>
          <w:szCs w:val="21"/>
          <w:highlight w:val="none"/>
          <w:lang w:val="en-US" w:eastAsia="zh-CN"/>
        </w:rPr>
        <w:t>/辆</w:t>
      </w:r>
      <w:r>
        <w:rPr>
          <w:rFonts w:hint="eastAsia" w:ascii="宋体" w:hAnsi="宋体" w:eastAsia="宋体" w:cs="宋体"/>
          <w:color w:val="auto"/>
          <w:sz w:val="21"/>
          <w:szCs w:val="21"/>
          <w:highlight w:val="none"/>
          <w:lang w:val="en-US" w:eastAsia="zh-CN"/>
        </w:rPr>
        <w:t>计算；</w:t>
      </w:r>
      <w:r>
        <w:rPr>
          <w:rFonts w:ascii="宋体" w:hAnsi="宋体" w:eastAsia="宋体" w:cs="宋体"/>
          <w:color w:val="auto"/>
          <w:sz w:val="21"/>
          <w:szCs w:val="21"/>
          <w:highlight w:val="none"/>
        </w:rPr>
        <w:t>燃油费、车辆通行费</w:t>
      </w:r>
      <w:r>
        <w:rPr>
          <w:rFonts w:hint="eastAsia"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停车费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超时费、</w:t>
      </w:r>
      <w:r>
        <w:rPr>
          <w:rFonts w:ascii="宋体" w:hAnsi="宋体" w:eastAsia="宋体" w:cs="宋体"/>
          <w:color w:val="auto"/>
          <w:sz w:val="21"/>
          <w:szCs w:val="21"/>
          <w:highlight w:val="none"/>
          <w:lang w:val="en-US" w:eastAsia="zh-CN"/>
        </w:rPr>
        <w:t>超公里费</w:t>
      </w:r>
      <w:r>
        <w:rPr>
          <w:rFonts w:hint="eastAsia" w:ascii="宋体" w:hAnsi="宋体" w:eastAsia="宋体" w:cs="宋体"/>
          <w:color w:val="auto"/>
          <w:sz w:val="21"/>
          <w:szCs w:val="21"/>
          <w:highlight w:val="none"/>
          <w:lang w:val="en-US" w:eastAsia="zh-CN"/>
        </w:rPr>
        <w:t>等</w:t>
      </w:r>
      <w:r>
        <w:rPr>
          <w:rFonts w:ascii="宋体" w:hAnsi="宋体" w:eastAsia="宋体" w:cs="宋体"/>
          <w:color w:val="auto"/>
          <w:sz w:val="21"/>
          <w:szCs w:val="21"/>
          <w:highlight w:val="none"/>
        </w:rPr>
        <w:t>合并计算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按照</w:t>
      </w:r>
      <w:r>
        <w:rPr>
          <w:rFonts w:hint="eastAsia" w:ascii="宋体" w:hAnsi="宋体" w:eastAsia="宋体" w:cs="宋体"/>
          <w:color w:val="auto"/>
          <w:sz w:val="21"/>
          <w:szCs w:val="21"/>
          <w:highlight w:val="none"/>
        </w:rPr>
        <w:t>百度地图测量始发地到目的地</w:t>
      </w:r>
      <w:r>
        <w:rPr>
          <w:rFonts w:hint="eastAsia" w:ascii="宋体" w:hAnsi="宋体" w:eastAsia="宋体" w:cs="宋体"/>
          <w:color w:val="auto"/>
          <w:sz w:val="21"/>
          <w:szCs w:val="21"/>
          <w:highlight w:val="none"/>
          <w:lang w:val="en-US" w:eastAsia="zh-CN"/>
        </w:rPr>
        <w:t>单程</w:t>
      </w:r>
      <w:r>
        <w:rPr>
          <w:rFonts w:hint="eastAsia" w:ascii="宋体" w:hAnsi="宋体" w:eastAsia="宋体" w:cs="宋体"/>
          <w:color w:val="auto"/>
          <w:sz w:val="21"/>
          <w:szCs w:val="21"/>
          <w:highlight w:val="none"/>
        </w:rPr>
        <w:t>公里数</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（高</w:t>
      </w:r>
      <w:r>
        <w:rPr>
          <w:rFonts w:hint="eastAsia" w:ascii="宋体" w:hAnsi="宋体" w:eastAsia="宋体" w:cs="宋体"/>
          <w:color w:val="auto"/>
          <w:kern w:val="2"/>
          <w:sz w:val="21"/>
          <w:szCs w:val="21"/>
          <w:highlight w:val="none"/>
          <w:lang w:bidi="ar"/>
        </w:rPr>
        <w:t>速路优先）计算</w:t>
      </w:r>
      <w:r>
        <w:rPr>
          <w:rFonts w:hint="eastAsia" w:ascii="宋体" w:hAnsi="宋体" w:cs="宋体"/>
          <w:color w:val="auto"/>
          <w:kern w:val="2"/>
          <w:sz w:val="21"/>
          <w:szCs w:val="21"/>
          <w:highlight w:val="none"/>
          <w:lang w:eastAsia="zh-CN" w:bidi="ar"/>
        </w:rPr>
        <w:t>，</w:t>
      </w:r>
      <w:r>
        <w:rPr>
          <w:rFonts w:hint="eastAsia" w:ascii="宋体" w:hAnsi="宋体" w:cs="宋体"/>
          <w:b/>
          <w:bCs/>
          <w:color w:val="auto"/>
          <w:kern w:val="2"/>
          <w:sz w:val="21"/>
          <w:szCs w:val="21"/>
          <w:highlight w:val="none"/>
          <w:lang w:val="en-US" w:eastAsia="zh-CN" w:bidi="ar"/>
        </w:rPr>
        <w:t>每公里</w:t>
      </w:r>
      <w:r>
        <w:rPr>
          <w:rFonts w:hint="eastAsia" w:ascii="宋体" w:hAnsi="宋体" w:cs="宋体"/>
          <w:b/>
          <w:bCs/>
          <w:color w:val="auto"/>
          <w:sz w:val="21"/>
          <w:szCs w:val="21"/>
          <w:highlight w:val="none"/>
          <w:lang w:val="en-US" w:eastAsia="zh-CN"/>
        </w:rPr>
        <w:t>≤2.60元/辆</w:t>
      </w:r>
      <w:r>
        <w:rPr>
          <w:rFonts w:hint="eastAsia" w:ascii="宋体" w:hAnsi="宋体" w:cs="宋体"/>
          <w:color w:val="auto"/>
          <w:sz w:val="21"/>
          <w:szCs w:val="21"/>
          <w:highlight w:val="none"/>
          <w:lang w:val="en-US" w:eastAsia="zh-CN"/>
        </w:rPr>
        <w:t>。</w:t>
      </w:r>
    </w:p>
    <w:p>
      <w:pPr>
        <w:bidi w:val="0"/>
        <w:spacing w:line="360" w:lineRule="auto"/>
        <w:rPr>
          <w:rFonts w:hint="eastAsia"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、验收要求</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1、验收内容：</w:t>
      </w:r>
      <w:r>
        <w:rPr>
          <w:rFonts w:hint="eastAsia" w:ascii="宋体" w:hAnsi="宋体" w:cs="宋体"/>
          <w:bCs/>
          <w:color w:val="auto"/>
          <w:sz w:val="21"/>
          <w:szCs w:val="21"/>
          <w:highlight w:val="none"/>
          <w:lang w:eastAsia="zh-CN"/>
        </w:rPr>
        <w:t>乙方</w:t>
      </w:r>
      <w:r>
        <w:rPr>
          <w:rFonts w:hint="eastAsia" w:ascii="宋体" w:hAnsi="宋体" w:eastAsia="宋体" w:cs="宋体"/>
          <w:bCs/>
          <w:color w:val="auto"/>
          <w:sz w:val="21"/>
          <w:szCs w:val="21"/>
          <w:highlight w:val="none"/>
        </w:rPr>
        <w:t>完成每期服务后，按照百度导航（始发地至目的地）运输路线截图、提供结算表，</w:t>
      </w:r>
      <w:r>
        <w:rPr>
          <w:rFonts w:hint="eastAsia" w:ascii="宋体" w:hAnsi="宋体" w:eastAsia="宋体" w:cs="宋体"/>
          <w:color w:val="auto"/>
          <w:sz w:val="21"/>
          <w:szCs w:val="21"/>
          <w:highlight w:val="none"/>
        </w:rPr>
        <w:t>每</w:t>
      </w:r>
      <w:r>
        <w:rPr>
          <w:rFonts w:hint="eastAsia" w:ascii="宋体" w:hAnsi="宋体" w:cs="宋体"/>
          <w:color w:val="auto"/>
          <w:sz w:val="21"/>
          <w:szCs w:val="21"/>
          <w:highlight w:val="none"/>
          <w:lang w:val="en-US" w:eastAsia="zh-CN"/>
        </w:rPr>
        <w:t>季度首月10</w:t>
      </w:r>
      <w:r>
        <w:rPr>
          <w:rFonts w:hint="eastAsia" w:ascii="宋体" w:hAnsi="宋体" w:eastAsia="宋体" w:cs="宋体"/>
          <w:color w:val="auto"/>
          <w:sz w:val="21"/>
          <w:szCs w:val="21"/>
          <w:highlight w:val="none"/>
        </w:rPr>
        <w:t>日前向</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列出上</w:t>
      </w:r>
      <w:r>
        <w:rPr>
          <w:rFonts w:hint="eastAsia" w:ascii="宋体" w:hAnsi="宋体" w:cs="宋体"/>
          <w:color w:val="auto"/>
          <w:sz w:val="21"/>
          <w:szCs w:val="21"/>
          <w:highlight w:val="none"/>
          <w:lang w:val="en-US" w:eastAsia="zh-CN"/>
        </w:rPr>
        <w:t>季度</w:t>
      </w:r>
      <w:r>
        <w:rPr>
          <w:rFonts w:hint="eastAsia" w:ascii="宋体" w:hAnsi="宋体" w:eastAsia="宋体" w:cs="宋体"/>
          <w:color w:val="auto"/>
          <w:sz w:val="21"/>
          <w:szCs w:val="21"/>
          <w:highlight w:val="none"/>
        </w:rPr>
        <w:t>所发生的总费用，由</w:t>
      </w:r>
      <w:r>
        <w:rPr>
          <w:rFonts w:hint="eastAsia" w:ascii="宋体" w:hAnsi="宋体" w:cs="宋体"/>
          <w:color w:val="auto"/>
          <w:sz w:val="21"/>
          <w:szCs w:val="21"/>
          <w:highlight w:val="none"/>
          <w:lang w:eastAsia="zh-CN"/>
        </w:rPr>
        <w:t>甲方</w:t>
      </w:r>
      <w:r>
        <w:rPr>
          <w:rFonts w:hint="eastAsia" w:ascii="宋体" w:hAnsi="宋体" w:eastAsia="宋体" w:cs="宋体"/>
          <w:color w:val="auto"/>
          <w:sz w:val="21"/>
          <w:szCs w:val="21"/>
          <w:highlight w:val="none"/>
        </w:rPr>
        <w:t>审定</w:t>
      </w:r>
      <w:r>
        <w:rPr>
          <w:rFonts w:hint="eastAsia" w:ascii="宋体" w:hAnsi="宋体" w:cs="宋体"/>
          <w:color w:val="auto"/>
          <w:sz w:val="21"/>
          <w:szCs w:val="21"/>
          <w:highlight w:val="none"/>
          <w:lang w:eastAsia="zh-CN"/>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2、验收标准：</w:t>
      </w:r>
      <w:r>
        <w:rPr>
          <w:rFonts w:hint="eastAsia" w:ascii="宋体" w:hAnsi="宋体" w:cs="宋体"/>
          <w:color w:val="auto"/>
          <w:highlight w:val="none"/>
          <w:lang w:val="en-US" w:eastAsia="zh-CN"/>
        </w:rPr>
        <w:t>行驶公里数、夜宿、餐食等</w:t>
      </w:r>
      <w:r>
        <w:rPr>
          <w:rFonts w:hint="eastAsia" w:ascii="宋体" w:hAnsi="宋体" w:cs="宋体"/>
          <w:bCs/>
          <w:color w:val="auto"/>
          <w:sz w:val="21"/>
          <w:szCs w:val="21"/>
          <w:highlight w:val="none"/>
          <w:lang w:val="en-US" w:eastAsia="zh-CN"/>
        </w:rPr>
        <w:t>结算表应有每次甲方的乘车人（工作人员≥2人）签名确认</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其他</w:t>
      </w:r>
      <w:r>
        <w:rPr>
          <w:rFonts w:hint="eastAsia" w:ascii="宋体" w:hAnsi="宋体" w:eastAsia="宋体" w:cs="宋体"/>
          <w:color w:val="auto"/>
          <w:highlight w:val="none"/>
        </w:rPr>
        <w:t>按国家规定及合同条款执行。</w:t>
      </w:r>
    </w:p>
    <w:p>
      <w:pPr>
        <w:bidi w:val="0"/>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3、验收结果确认：</w:t>
      </w:r>
      <w:r>
        <w:rPr>
          <w:rFonts w:hint="eastAsia" w:ascii="宋体" w:hAnsi="宋体" w:eastAsia="宋体" w:cs="宋体"/>
          <w:color w:val="auto"/>
          <w:highlight w:val="none"/>
          <w:lang w:val="en-US" w:eastAsia="zh-CN"/>
        </w:rPr>
        <w:t>由乙方提交结算表给甲方，甲方相关人员签名确认</w:t>
      </w:r>
    </w:p>
    <w:p>
      <w:pPr>
        <w:bidi w:val="0"/>
        <w:spacing w:line="360" w:lineRule="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八</w:t>
      </w:r>
      <w:r>
        <w:rPr>
          <w:rFonts w:hint="eastAsia" w:ascii="宋体" w:hAnsi="宋体" w:eastAsia="宋体" w:cs="宋体"/>
          <w:b/>
          <w:bCs/>
          <w:color w:val="auto"/>
          <w:highlight w:val="none"/>
        </w:rPr>
        <w:t>、异议索赔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乙方同意甲方按照下述方法解决索赔事宜：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1、乙方对于所提供的服务与采购文件、报价文件、合同要求不符负有责任，乙方负担由此发生的一切损失和费用。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2、如果在收到索赔通知后十天内， 乙方未做答复且乙方未征得甲方同意延长答复期限，上述索赔应视为已被乙方接受。 乙方应按照甲方选择的方法和要求解决索赔事宜。</w:t>
      </w:r>
    </w:p>
    <w:p>
      <w:pPr>
        <w:bidi w:val="0"/>
        <w:spacing w:line="360" w:lineRule="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九</w:t>
      </w:r>
      <w:r>
        <w:rPr>
          <w:rFonts w:hint="eastAsia" w:ascii="宋体" w:hAnsi="宋体" w:eastAsia="宋体" w:cs="宋体"/>
          <w:b/>
          <w:bCs/>
          <w:color w:val="auto"/>
          <w:highlight w:val="none"/>
        </w:rPr>
        <w:t>、违约责任与赔偿损失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1、乙方提供的服务不符合采购文件、报价文件或本合同规定的， 甲方有权拒收，并且乙方须向甲方支付本合同总价5%的违约金。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2、乙方未能按本合同规定的期限提供服务，从逾期之日起每日按本合同总价</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的数额向甲方支付违约金；逾期半个月以上的，甲方有权终止合同，由此造成的甲方经济损失由乙方承担。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3、甲方无正当理由拒收接受服务，到期拒付服务款项的， 甲方向乙方偿付本合同总的5%的违约金。甲方逾期付款，则每日按本合同总价的3‟向乙方偿付违约金。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4、乙方违反本合同约定的保密义务，应向甲方支付合同总金额20%的违约金，造成严重后果的，甲方有权终止合同。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5、其他违约责任按《中华人民共和国</w:t>
      </w:r>
      <w:r>
        <w:rPr>
          <w:rFonts w:hint="eastAsia" w:ascii="宋体" w:hAnsi="宋体" w:eastAsia="宋体" w:cs="宋体"/>
          <w:color w:val="auto"/>
          <w:highlight w:val="none"/>
          <w:lang w:val="en-US" w:eastAsia="zh-CN"/>
        </w:rPr>
        <w:t>民法典</w:t>
      </w:r>
      <w:r>
        <w:rPr>
          <w:rFonts w:hint="eastAsia" w:ascii="宋体" w:hAnsi="宋体" w:eastAsia="宋体" w:cs="宋体"/>
          <w:color w:val="auto"/>
          <w:highlight w:val="none"/>
        </w:rPr>
        <w:t>》等法律法规的规定处理。</w:t>
      </w:r>
    </w:p>
    <w:p>
      <w:pPr>
        <w:bidi w:val="0"/>
        <w:spacing w:line="360" w:lineRule="auto"/>
        <w:rPr>
          <w:rFonts w:hint="eastAsia" w:ascii="宋体" w:hAnsi="宋体" w:eastAsia="宋体" w:cs="宋体"/>
          <w:b/>
          <w:bCs/>
          <w:color w:val="auto"/>
          <w:highlight w:val="none"/>
        </w:rPr>
      </w:pPr>
      <w:r>
        <w:rPr>
          <w:rFonts w:hint="eastAsia" w:ascii="宋体" w:hAnsi="宋体" w:cs="宋体"/>
          <w:b/>
          <w:bCs/>
          <w:color w:val="auto"/>
          <w:highlight w:val="none"/>
          <w:lang w:val="en-US" w:eastAsia="zh-CN"/>
        </w:rPr>
        <w:t>十</w:t>
      </w:r>
      <w:r>
        <w:rPr>
          <w:rFonts w:hint="eastAsia" w:ascii="宋体" w:hAnsi="宋体" w:eastAsia="宋体" w:cs="宋体"/>
          <w:b/>
          <w:bCs/>
          <w:color w:val="auto"/>
          <w:highlight w:val="none"/>
        </w:rPr>
        <w:t>、争端的解决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1、凡与本合同有关而引起的一切争议， 甲乙双方应首先通过友好协商解决， 如经协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商后仍不能达成协议时，任何一方可以向法院提出诉讼。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2、本合同的诉讼管辖地为甲方所在地有管辖权的法院。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3、在进行法院审理期间，除提交法院审理的事项外，合同其他部分仍应继续履行。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4、本合同按照中华人民共和国的法律进行解释。</w:t>
      </w:r>
    </w:p>
    <w:p>
      <w:pPr>
        <w:bidi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rPr>
        <w:t>、通知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1、本合同一方给对方的通知应用书面形式送达合同中规定的对方的地址，电传或传真要经对方的书面确认，以电报形式的通知， 从当地邮电局发出电报的第二天视为送达。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2、通知以送到日期或通知书的生效日期为生效日期，两者中以晚的一个日期为准。</w:t>
      </w:r>
    </w:p>
    <w:p>
      <w:pPr>
        <w:bidi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rPr>
        <w:t>、税和关税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1、中国政府根据现行税法对甲方征收的与本合同有关的一切税费均应由甲方负担。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2、中国政府根据现行的税法规定对乙方或其雇员征收的与本合同有关的一切税费均应由乙方负担。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在中国境外发生的与本合同执行有关的一切税费均应由乙方负担。</w:t>
      </w:r>
    </w:p>
    <w:p>
      <w:pPr>
        <w:bidi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三</w:t>
      </w:r>
      <w:r>
        <w:rPr>
          <w:rFonts w:hint="eastAsia" w:ascii="宋体" w:hAnsi="宋体" w:eastAsia="宋体" w:cs="宋体"/>
          <w:b/>
          <w:bCs/>
          <w:color w:val="auto"/>
          <w:highlight w:val="none"/>
        </w:rPr>
        <w:t>、 合同生效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1、合同经双方法定代表或授权代表签字并盖章后生效， 合同签字日期以最后一方签字并盖章之日为准；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2、本合同一式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份，以中文书写，甲方、乙方各执</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w:t>
      </w:r>
    </w:p>
    <w:p>
      <w:pPr>
        <w:bidi w:val="0"/>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十</w:t>
      </w:r>
      <w:r>
        <w:rPr>
          <w:rFonts w:hint="eastAsia" w:ascii="宋体" w:hAnsi="宋体" w:cs="宋体"/>
          <w:b/>
          <w:bCs/>
          <w:color w:val="auto"/>
          <w:highlight w:val="none"/>
          <w:lang w:val="en-US" w:eastAsia="zh-CN"/>
        </w:rPr>
        <w:t>四</w:t>
      </w:r>
      <w:r>
        <w:rPr>
          <w:rFonts w:hint="eastAsia" w:ascii="宋体" w:hAnsi="宋体" w:eastAsia="宋体" w:cs="宋体"/>
          <w:b/>
          <w:bCs/>
          <w:color w:val="auto"/>
          <w:highlight w:val="none"/>
        </w:rPr>
        <w:t>、其它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1、如果财政批复的预算与招标预算不一致时，最后以批复财政整合修改，协商解决。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2、如需修改或补充合同内容，应经甲方、乙方协商，共同签署书面修改或补充协议。该协议将作为本合同不可分割的一部分，并优先服从补充协议的约定。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3、本合同之所有附件均为合同的有效组成部分，与本合同具有同样法律效力。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在执行本合同的过程中，所有经甲乙双方签署确认的文件（包括会议纪要、补充协议、往来信函）即成为本合同的有效组成部分，其生效日期为双方签字并盖章或确认之日期。甲乙双方招投标文件及乙方的所有承诺俱为本合同的必要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5、除甲方事先书面同意外，乙方不得部分或全部转让其应履行的合同项下的义务。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6、本合同合计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页A4纸张，缺页之合同为无效合同。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7、本项目产生的一切知识产权归甲方独家所有。</w:t>
      </w:r>
    </w:p>
    <w:p>
      <w:pPr>
        <w:spacing w:before="85"/>
        <w:rPr>
          <w:color w:val="auto"/>
          <w:highlight w:val="none"/>
        </w:rPr>
      </w:pPr>
    </w:p>
    <w:p>
      <w:pPr>
        <w:spacing w:before="84"/>
        <w:rPr>
          <w:color w:val="auto"/>
          <w:highlight w:val="none"/>
        </w:rPr>
      </w:pPr>
    </w:p>
    <w:tbl>
      <w:tblPr>
        <w:tblStyle w:val="122"/>
        <w:tblW w:w="8458" w:type="dxa"/>
        <w:tblInd w:w="36"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229"/>
        <w:gridCol w:w="422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4229" w:type="dxa"/>
            <w:vAlign w:val="top"/>
          </w:tcPr>
          <w:p>
            <w:pPr>
              <w:bidi w:val="0"/>
              <w:spacing w:line="360" w:lineRule="auto"/>
              <w:rPr>
                <w:color w:val="auto"/>
                <w:highlight w:val="none"/>
              </w:rPr>
            </w:pPr>
            <w:r>
              <w:rPr>
                <w:color w:val="auto"/>
                <w:highlight w:val="none"/>
              </w:rPr>
              <w:t>甲方（盖章）：</w:t>
            </w:r>
          </w:p>
        </w:tc>
        <w:tc>
          <w:tcPr>
            <w:tcW w:w="4229" w:type="dxa"/>
            <w:vAlign w:val="top"/>
          </w:tcPr>
          <w:p>
            <w:pPr>
              <w:bidi w:val="0"/>
              <w:spacing w:line="360" w:lineRule="auto"/>
              <w:rPr>
                <w:color w:val="auto"/>
                <w:highlight w:val="none"/>
              </w:rPr>
            </w:pPr>
            <w:r>
              <w:rPr>
                <w:color w:val="auto"/>
                <w:highlight w:val="none"/>
              </w:rPr>
              <w:t>乙方（盖章）：</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4229" w:type="dxa"/>
            <w:vAlign w:val="top"/>
          </w:tcPr>
          <w:p>
            <w:pPr>
              <w:bidi w:val="0"/>
              <w:spacing w:line="360" w:lineRule="auto"/>
              <w:rPr>
                <w:color w:val="auto"/>
                <w:highlight w:val="none"/>
              </w:rPr>
            </w:pPr>
            <w:r>
              <w:rPr>
                <w:color w:val="auto"/>
                <w:highlight w:val="none"/>
              </w:rPr>
              <w:t>甲方法定代表（签字）：</w:t>
            </w:r>
          </w:p>
        </w:tc>
        <w:tc>
          <w:tcPr>
            <w:tcW w:w="4229" w:type="dxa"/>
            <w:vAlign w:val="top"/>
          </w:tcPr>
          <w:p>
            <w:pPr>
              <w:bidi w:val="0"/>
              <w:spacing w:line="360" w:lineRule="auto"/>
              <w:rPr>
                <w:color w:val="auto"/>
                <w:highlight w:val="none"/>
              </w:rPr>
            </w:pPr>
            <w:r>
              <w:rPr>
                <w:color w:val="auto"/>
                <w:highlight w:val="none"/>
              </w:rPr>
              <w:t>乙方法定代表（签字）：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4229" w:type="dxa"/>
            <w:vAlign w:val="top"/>
          </w:tcPr>
          <w:p>
            <w:pPr>
              <w:bidi w:val="0"/>
              <w:spacing w:line="360" w:lineRule="auto"/>
              <w:rPr>
                <w:color w:val="auto"/>
                <w:highlight w:val="none"/>
              </w:rPr>
            </w:pPr>
            <w:r>
              <w:rPr>
                <w:color w:val="auto"/>
                <w:highlight w:val="none"/>
              </w:rPr>
              <w:t>地    址：</w:t>
            </w:r>
          </w:p>
        </w:tc>
        <w:tc>
          <w:tcPr>
            <w:tcW w:w="4229" w:type="dxa"/>
            <w:vAlign w:val="top"/>
          </w:tcPr>
          <w:p>
            <w:pPr>
              <w:bidi w:val="0"/>
              <w:spacing w:line="360" w:lineRule="auto"/>
              <w:rPr>
                <w:color w:val="auto"/>
                <w:highlight w:val="none"/>
              </w:rPr>
            </w:pPr>
            <w:r>
              <w:rPr>
                <w:color w:val="auto"/>
                <w:highlight w:val="none"/>
              </w:rPr>
              <w:t>地    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4229" w:type="dxa"/>
            <w:vAlign w:val="top"/>
          </w:tcPr>
          <w:p>
            <w:pPr>
              <w:bidi w:val="0"/>
              <w:spacing w:line="360" w:lineRule="auto"/>
              <w:rPr>
                <w:color w:val="auto"/>
                <w:highlight w:val="none"/>
              </w:rPr>
            </w:pPr>
            <w:r>
              <w:rPr>
                <w:color w:val="auto"/>
                <w:highlight w:val="none"/>
              </w:rPr>
              <w:t>电    话：</w:t>
            </w:r>
          </w:p>
        </w:tc>
        <w:tc>
          <w:tcPr>
            <w:tcW w:w="4229" w:type="dxa"/>
            <w:vAlign w:val="top"/>
          </w:tcPr>
          <w:p>
            <w:pPr>
              <w:bidi w:val="0"/>
              <w:spacing w:line="360" w:lineRule="auto"/>
              <w:rPr>
                <w:color w:val="auto"/>
                <w:highlight w:val="none"/>
              </w:rPr>
            </w:pPr>
            <w:r>
              <w:rPr>
                <w:color w:val="auto"/>
                <w:highlight w:val="none"/>
              </w:rPr>
              <w:t>电    话：</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4229" w:type="dxa"/>
            <w:vAlign w:val="top"/>
          </w:tcPr>
          <w:p>
            <w:pPr>
              <w:bidi w:val="0"/>
              <w:spacing w:line="360" w:lineRule="auto"/>
              <w:rPr>
                <w:color w:val="auto"/>
                <w:highlight w:val="none"/>
              </w:rPr>
            </w:pPr>
            <w:r>
              <w:rPr>
                <w:color w:val="auto"/>
                <w:highlight w:val="none"/>
              </w:rPr>
              <w:t>传    真：</w:t>
            </w:r>
          </w:p>
        </w:tc>
        <w:tc>
          <w:tcPr>
            <w:tcW w:w="4229" w:type="dxa"/>
            <w:vAlign w:val="top"/>
          </w:tcPr>
          <w:p>
            <w:pPr>
              <w:bidi w:val="0"/>
              <w:spacing w:line="360" w:lineRule="auto"/>
              <w:rPr>
                <w:color w:val="auto"/>
                <w:highlight w:val="none"/>
              </w:rPr>
            </w:pPr>
            <w:r>
              <w:rPr>
                <w:color w:val="auto"/>
                <w:highlight w:val="none"/>
              </w:rPr>
              <w:t>传    真：</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4229" w:type="dxa"/>
            <w:vAlign w:val="top"/>
          </w:tcPr>
          <w:p>
            <w:pPr>
              <w:bidi w:val="0"/>
              <w:spacing w:line="360" w:lineRule="auto"/>
              <w:rPr>
                <w:color w:val="auto"/>
                <w:highlight w:val="none"/>
              </w:rPr>
            </w:pPr>
            <w:r>
              <w:rPr>
                <w:color w:val="auto"/>
                <w:highlight w:val="none"/>
              </w:rPr>
              <w:t>开户银行：</w:t>
            </w:r>
          </w:p>
        </w:tc>
        <w:tc>
          <w:tcPr>
            <w:tcW w:w="4229" w:type="dxa"/>
            <w:vAlign w:val="top"/>
          </w:tcPr>
          <w:p>
            <w:pPr>
              <w:bidi w:val="0"/>
              <w:spacing w:line="360" w:lineRule="auto"/>
              <w:rPr>
                <w:color w:val="auto"/>
                <w:highlight w:val="none"/>
              </w:rPr>
            </w:pPr>
            <w:r>
              <w:rPr>
                <w:color w:val="auto"/>
                <w:highlight w:val="none"/>
              </w:rPr>
              <w:t>开户银行：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54" w:hRule="atLeast"/>
        </w:trPr>
        <w:tc>
          <w:tcPr>
            <w:tcW w:w="4229" w:type="dxa"/>
            <w:vAlign w:val="top"/>
          </w:tcPr>
          <w:p>
            <w:pPr>
              <w:bidi w:val="0"/>
              <w:spacing w:line="360" w:lineRule="auto"/>
              <w:rPr>
                <w:color w:val="auto"/>
                <w:highlight w:val="none"/>
              </w:rPr>
            </w:pPr>
            <w:bookmarkStart w:id="62" w:name="bookmark7"/>
            <w:bookmarkEnd w:id="62"/>
            <w:r>
              <w:rPr>
                <w:color w:val="auto"/>
                <w:highlight w:val="none"/>
              </w:rPr>
              <w:t>开户账号：</w:t>
            </w:r>
          </w:p>
        </w:tc>
        <w:tc>
          <w:tcPr>
            <w:tcW w:w="4229" w:type="dxa"/>
            <w:vAlign w:val="top"/>
          </w:tcPr>
          <w:p>
            <w:pPr>
              <w:bidi w:val="0"/>
              <w:spacing w:line="360" w:lineRule="auto"/>
              <w:rPr>
                <w:color w:val="auto"/>
                <w:highlight w:val="none"/>
              </w:rPr>
            </w:pPr>
            <w:r>
              <w:rPr>
                <w:color w:val="auto"/>
                <w:highlight w:val="none"/>
              </w:rPr>
              <w:t>开户账号：</w:t>
            </w:r>
          </w:p>
        </w:tc>
      </w:tr>
    </w:tbl>
    <w:p>
      <w:pPr>
        <w:spacing w:before="10"/>
        <w:rPr>
          <w:color w:val="auto"/>
          <w:highlight w:val="none"/>
        </w:rPr>
      </w:pPr>
    </w:p>
    <w:p>
      <w:pPr>
        <w:spacing w:before="10"/>
        <w:rPr>
          <w:color w:val="auto"/>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bookmarkEnd w:id="56"/>
    <w:bookmarkEnd w:id="57"/>
    <w:bookmarkEnd w:id="58"/>
    <w:bookmarkEnd w:id="59"/>
    <w:bookmarkEnd w:id="60"/>
    <w:bookmarkEnd w:id="61"/>
    <w:p>
      <w:pPr>
        <w:pStyle w:val="2"/>
        <w:numPr>
          <w:ilvl w:val="0"/>
          <w:numId w:val="1"/>
        </w:numPr>
        <w:spacing w:line="360" w:lineRule="auto"/>
        <w:jc w:val="center"/>
        <w:rPr>
          <w:rFonts w:hint="eastAsia" w:ascii="宋体" w:hAnsi="宋体" w:eastAsia="宋体" w:cs="宋体"/>
          <w:color w:val="auto"/>
          <w:sz w:val="32"/>
          <w:szCs w:val="32"/>
          <w:highlight w:val="none"/>
        </w:rPr>
        <w:sectPr>
          <w:headerReference r:id="rId12" w:type="default"/>
          <w:footerReference r:id="rId13" w:type="default"/>
          <w:type w:val="continuous"/>
          <w:pgSz w:w="11906" w:h="16838"/>
          <w:pgMar w:top="1191" w:right="1361" w:bottom="1191" w:left="1191" w:header="794" w:footer="794" w:gutter="0"/>
          <w:pgNumType w:fmt="decimal"/>
          <w:cols w:space="720" w:num="1"/>
          <w:docGrid w:linePitch="285" w:charSpace="0"/>
        </w:sectPr>
      </w:pPr>
      <w:bookmarkStart w:id="63" w:name="_Toc461991235"/>
      <w:bookmarkStart w:id="64" w:name="_Toc453695576"/>
      <w:bookmarkStart w:id="65" w:name="_Toc453695703"/>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pStyle w:val="2"/>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第五章 磋商细则</w:t>
      </w:r>
      <w:bookmarkEnd w:id="63"/>
      <w:bookmarkEnd w:id="64"/>
      <w:bookmarkEnd w:id="65"/>
    </w:p>
    <w:p>
      <w:pPr>
        <w:widowControl/>
        <w:spacing w:before="120" w:after="120"/>
        <w:ind w:left="0" w:leftChars="0" w:firstLine="0" w:firstLineChars="0"/>
        <w:rPr>
          <w:rFonts w:hint="eastAsia" w:ascii="宋体" w:hAnsi="宋体" w:eastAsia="宋体" w:cs="宋体"/>
          <w:color w:val="auto"/>
          <w:sz w:val="21"/>
          <w:szCs w:val="22"/>
          <w:highlight w:val="none"/>
          <w:lang w:val="en-US" w:eastAsia="zh-CN"/>
        </w:rPr>
      </w:pPr>
      <w:bookmarkStart w:id="66" w:name="_Toc453695704"/>
      <w:bookmarkStart w:id="67" w:name="_Toc238274897"/>
      <w:bookmarkStart w:id="68" w:name="_Toc237684314"/>
      <w:bookmarkStart w:id="69" w:name="_Toc231028402"/>
      <w:bookmarkStart w:id="70" w:name="_Toc238275015"/>
      <w:bookmarkStart w:id="71" w:name="_Toc453695577"/>
      <w:bookmarkStart w:id="72" w:name="_Toc237683953"/>
      <w:bookmarkStart w:id="73" w:name="_Toc338083281"/>
      <w:bookmarkStart w:id="74" w:name="_Toc461991236"/>
      <w:bookmarkStart w:id="75" w:name="_Toc234746291"/>
      <w:bookmarkStart w:id="76" w:name="_Toc183338091"/>
      <w:r>
        <w:rPr>
          <w:rFonts w:hint="eastAsia" w:ascii="宋体" w:hAnsi="宋体" w:eastAsia="宋体" w:cs="宋体"/>
          <w:color w:val="auto"/>
          <w:sz w:val="21"/>
          <w:szCs w:val="22"/>
          <w:highlight w:val="none"/>
        </w:rPr>
        <w:t>一</w:t>
      </w:r>
      <w:r>
        <w:rPr>
          <w:rFonts w:hint="eastAsia" w:ascii="宋体" w:hAnsi="宋体" w:eastAsia="宋体" w:cs="宋体"/>
          <w:color w:val="auto"/>
          <w:sz w:val="21"/>
          <w:szCs w:val="22"/>
          <w:highlight w:val="none"/>
          <w:lang w:eastAsia="zh-CN"/>
        </w:rPr>
        <w:t>、</w:t>
      </w:r>
      <w:r>
        <w:rPr>
          <w:rFonts w:hint="eastAsia" w:ascii="宋体" w:hAnsi="宋体" w:eastAsia="宋体" w:cs="宋体"/>
          <w:color w:val="auto"/>
          <w:sz w:val="21"/>
          <w:szCs w:val="22"/>
          <w:highlight w:val="none"/>
          <w:lang w:val="en-US" w:eastAsia="zh-CN"/>
        </w:rPr>
        <w:t>磋商小组组成</w:t>
      </w:r>
    </w:p>
    <w:p>
      <w:pPr>
        <w:widowControl/>
        <w:numPr>
          <w:ilvl w:val="0"/>
          <w:numId w:val="0"/>
        </w:numPr>
        <w:bidi w:val="0"/>
        <w:spacing w:line="360" w:lineRule="auto"/>
        <w:ind w:left="-61" w:leftChars="-29" w:firstLine="420" w:firstLineChars="200"/>
        <w:rPr>
          <w:rFonts w:hint="eastAsia" w:ascii="宋体" w:hAnsi="宋体" w:eastAsia="宋体" w:cs="宋体"/>
          <w:color w:val="auto"/>
          <w:sz w:val="21"/>
          <w:szCs w:val="22"/>
          <w:highlight w:val="none"/>
          <w:lang w:val="en-GB"/>
        </w:rPr>
      </w:pPr>
      <w:r>
        <w:rPr>
          <w:rFonts w:hint="eastAsia" w:ascii="宋体" w:hAnsi="宋体" w:eastAsia="宋体" w:cs="宋体"/>
          <w:color w:val="auto"/>
          <w:sz w:val="21"/>
          <w:szCs w:val="22"/>
          <w:highlight w:val="none"/>
          <w:lang w:val="en-US" w:eastAsia="zh-CN"/>
        </w:rPr>
        <w:t>磋商小组</w:t>
      </w:r>
      <w:bookmarkStart w:id="77" w:name="_Toc199735924"/>
      <w:r>
        <w:rPr>
          <w:rFonts w:hint="eastAsia" w:ascii="宋体" w:hAnsi="宋体" w:eastAsia="宋体" w:cs="宋体"/>
          <w:color w:val="auto"/>
          <w:sz w:val="21"/>
          <w:szCs w:val="22"/>
          <w:highlight w:val="none"/>
          <w:lang w:val="en-GB"/>
        </w:rPr>
        <w:t>由采购人代表和</w:t>
      </w:r>
      <w:r>
        <w:rPr>
          <w:rFonts w:hint="eastAsia" w:ascii="宋体" w:hAnsi="宋体" w:eastAsia="宋体" w:cs="宋体"/>
          <w:color w:val="auto"/>
          <w:sz w:val="21"/>
          <w:szCs w:val="22"/>
          <w:highlight w:val="none"/>
          <w:lang w:val="en-GB" w:eastAsia="zh-CN"/>
        </w:rPr>
        <w:t>有关</w:t>
      </w:r>
      <w:r>
        <w:rPr>
          <w:rFonts w:hint="eastAsia" w:ascii="宋体" w:hAnsi="宋体" w:eastAsia="宋体" w:cs="宋体"/>
          <w:color w:val="auto"/>
          <w:sz w:val="21"/>
          <w:szCs w:val="22"/>
          <w:highlight w:val="none"/>
          <w:lang w:val="en-GB"/>
        </w:rPr>
        <w:t>专家共三人以上（达公开招标限额的项目为五人以上）单数组成，其中专家在政府采购专家库中随机抽取，如采购人不派代表参加评审，则</w:t>
      </w:r>
      <w:r>
        <w:rPr>
          <w:rFonts w:hint="eastAsia" w:ascii="宋体" w:hAnsi="宋体" w:eastAsia="宋体" w:cs="宋体"/>
          <w:color w:val="auto"/>
          <w:sz w:val="21"/>
          <w:szCs w:val="22"/>
          <w:highlight w:val="none"/>
          <w:lang w:val="en-US" w:eastAsia="zh-CN"/>
        </w:rPr>
        <w:t>磋商小组</w:t>
      </w:r>
      <w:r>
        <w:rPr>
          <w:rFonts w:hint="eastAsia" w:ascii="宋体" w:hAnsi="宋体" w:eastAsia="宋体" w:cs="宋体"/>
          <w:color w:val="auto"/>
          <w:sz w:val="21"/>
          <w:szCs w:val="22"/>
          <w:highlight w:val="none"/>
          <w:lang w:val="en-GB"/>
        </w:rPr>
        <w:t>全部由从政府采购专家库随机抽取的专家组成。</w:t>
      </w:r>
      <w:r>
        <w:rPr>
          <w:rFonts w:hint="eastAsia" w:ascii="宋体" w:hAnsi="宋体" w:eastAsia="宋体" w:cs="宋体"/>
          <w:color w:val="auto"/>
          <w:sz w:val="21"/>
          <w:szCs w:val="22"/>
          <w:highlight w:val="none"/>
          <w:lang w:val="en-US" w:eastAsia="zh-CN"/>
        </w:rPr>
        <w:t>磋商小组</w:t>
      </w:r>
      <w:r>
        <w:rPr>
          <w:rFonts w:hint="eastAsia" w:ascii="宋体" w:hAnsi="宋体" w:eastAsia="宋体" w:cs="宋体"/>
          <w:color w:val="auto"/>
          <w:sz w:val="21"/>
          <w:szCs w:val="22"/>
          <w:highlight w:val="none"/>
          <w:lang w:val="en-GB"/>
        </w:rPr>
        <w:t>本着公平、公正、科学、择优的原则，严格按照法律法规和</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lang w:val="en-GB"/>
        </w:rPr>
        <w:t>文件的要求推荐评审结果。</w:t>
      </w:r>
      <w:r>
        <w:rPr>
          <w:rFonts w:hint="eastAsia" w:ascii="宋体" w:hAnsi="宋体" w:eastAsia="宋体" w:cs="宋体"/>
          <w:color w:val="auto"/>
          <w:sz w:val="21"/>
          <w:szCs w:val="22"/>
          <w:highlight w:val="none"/>
          <w:lang w:val="en-US" w:eastAsia="zh-CN"/>
        </w:rPr>
        <w:t>磋商小组</w:t>
      </w:r>
      <w:r>
        <w:rPr>
          <w:rFonts w:hint="eastAsia" w:ascii="宋体" w:hAnsi="宋体" w:eastAsia="宋体" w:cs="宋体"/>
          <w:color w:val="auto"/>
          <w:sz w:val="21"/>
          <w:szCs w:val="22"/>
          <w:highlight w:val="none"/>
          <w:lang w:val="en-GB"/>
        </w:rPr>
        <w:t>在</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lang w:val="en-GB"/>
        </w:rPr>
        <w:t>及评审过程中出现意见不一致时，应遵循少数服从多数原则。</w:t>
      </w:r>
    </w:p>
    <w:p>
      <w:pPr>
        <w:widowControl/>
        <w:bidi w:val="0"/>
        <w:spacing w:line="360" w:lineRule="auto"/>
        <w:ind w:left="-61" w:leftChars="-29" w:firstLine="420" w:firstLineChars="200"/>
        <w:rPr>
          <w:rFonts w:hint="eastAsia" w:ascii="宋体" w:hAnsi="宋体" w:eastAsia="宋体" w:cs="宋体"/>
          <w:color w:val="auto"/>
          <w:sz w:val="21"/>
          <w:szCs w:val="22"/>
          <w:highlight w:val="none"/>
          <w:lang w:val="en-GB"/>
        </w:rPr>
      </w:pPr>
      <w:r>
        <w:rPr>
          <w:rFonts w:hint="eastAsia" w:ascii="宋体" w:hAnsi="宋体" w:eastAsia="宋体" w:cs="宋体"/>
          <w:color w:val="auto"/>
          <w:sz w:val="21"/>
          <w:szCs w:val="22"/>
          <w:highlight w:val="none"/>
          <w:lang w:val="en-US" w:eastAsia="zh-CN"/>
        </w:rPr>
        <w:t>磋商小组</w:t>
      </w:r>
      <w:r>
        <w:rPr>
          <w:rFonts w:hint="eastAsia" w:ascii="宋体" w:hAnsi="宋体" w:eastAsia="宋体" w:cs="宋体"/>
          <w:color w:val="auto"/>
          <w:sz w:val="21"/>
          <w:szCs w:val="22"/>
          <w:highlight w:val="none"/>
          <w:lang w:val="en-GB"/>
        </w:rPr>
        <w:t>成员有下列情形之一的，受到邀请应主动提出回避，采购当事人也可以要求该成员回避：</w:t>
      </w:r>
      <w:bookmarkEnd w:id="77"/>
    </w:p>
    <w:p>
      <w:pPr>
        <w:widowControl/>
        <w:numPr>
          <w:ilvl w:val="0"/>
          <w:numId w:val="0"/>
        </w:numPr>
        <w:tabs>
          <w:tab w:val="left" w:pos="0"/>
        </w:tabs>
        <w:bidi w:val="0"/>
        <w:spacing w:line="360" w:lineRule="auto"/>
        <w:ind w:left="-61" w:leftChars="-29"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val="en-US" w:eastAsia="zh-CN"/>
        </w:rPr>
        <w:t>1.</w:t>
      </w:r>
      <w:r>
        <w:rPr>
          <w:rFonts w:hint="eastAsia" w:ascii="宋体" w:hAnsi="宋体" w:eastAsia="宋体" w:cs="宋体"/>
          <w:color w:val="auto"/>
          <w:sz w:val="21"/>
          <w:szCs w:val="22"/>
          <w:highlight w:val="none"/>
        </w:rPr>
        <w:t>本人、配偶或直系亲属3年内曾在参加该采购项目的供应商中任职（包括一般工作）或担任顾问，或与参加该采购项目的供应商发生过法律纠纷；</w:t>
      </w:r>
    </w:p>
    <w:p>
      <w:pPr>
        <w:widowControl/>
        <w:numPr>
          <w:ilvl w:val="0"/>
          <w:numId w:val="0"/>
        </w:numPr>
        <w:tabs>
          <w:tab w:val="left" w:pos="0"/>
        </w:tabs>
        <w:bidi w:val="0"/>
        <w:spacing w:line="360" w:lineRule="auto"/>
        <w:ind w:left="-61" w:leftChars="-29"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val="en-US" w:eastAsia="zh-CN"/>
        </w:rPr>
        <w:t>2.</w:t>
      </w:r>
      <w:r>
        <w:rPr>
          <w:rFonts w:hint="eastAsia" w:ascii="宋体" w:hAnsi="宋体" w:eastAsia="宋体" w:cs="宋体"/>
          <w:color w:val="auto"/>
          <w:sz w:val="21"/>
          <w:szCs w:val="22"/>
          <w:highlight w:val="none"/>
        </w:rPr>
        <w:t>任职单位与采购人或参加该采购项目供应商存在行政隶属关系；</w:t>
      </w:r>
    </w:p>
    <w:p>
      <w:pPr>
        <w:widowControl/>
        <w:numPr>
          <w:ilvl w:val="0"/>
          <w:numId w:val="0"/>
        </w:numPr>
        <w:tabs>
          <w:tab w:val="left" w:pos="0"/>
        </w:tabs>
        <w:bidi w:val="0"/>
        <w:spacing w:line="360" w:lineRule="auto"/>
        <w:ind w:left="-61" w:leftChars="-29"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val="en-US" w:eastAsia="zh-CN"/>
        </w:rPr>
        <w:t>3.</w:t>
      </w:r>
      <w:r>
        <w:rPr>
          <w:rFonts w:hint="eastAsia" w:ascii="宋体" w:hAnsi="宋体" w:eastAsia="宋体" w:cs="宋体"/>
          <w:color w:val="auto"/>
          <w:sz w:val="21"/>
          <w:szCs w:val="22"/>
          <w:highlight w:val="none"/>
        </w:rPr>
        <w:t>曾经参加过该采购项目的进口产品或</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文件、采购需求、采购方式的论证和咨询服务工作；</w:t>
      </w:r>
    </w:p>
    <w:p>
      <w:pPr>
        <w:widowControl/>
        <w:numPr>
          <w:ilvl w:val="0"/>
          <w:numId w:val="0"/>
        </w:numPr>
        <w:tabs>
          <w:tab w:val="left" w:pos="0"/>
        </w:tabs>
        <w:bidi w:val="0"/>
        <w:spacing w:line="360" w:lineRule="auto"/>
        <w:ind w:left="-61" w:leftChars="-29"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val="en-US" w:eastAsia="zh-CN"/>
        </w:rPr>
        <w:t>4.</w:t>
      </w:r>
      <w:r>
        <w:rPr>
          <w:rFonts w:hint="eastAsia" w:ascii="宋体" w:hAnsi="宋体" w:eastAsia="宋体" w:cs="宋体"/>
          <w:color w:val="auto"/>
          <w:sz w:val="21"/>
          <w:szCs w:val="22"/>
          <w:highlight w:val="none"/>
        </w:rPr>
        <w:t>是参加该采购项目供应商的上级主管部门、控股或参股单位的工作人员，或与该供应商存在其他经济利益关系；</w:t>
      </w:r>
    </w:p>
    <w:p>
      <w:pPr>
        <w:widowControl/>
        <w:numPr>
          <w:ilvl w:val="0"/>
          <w:numId w:val="0"/>
        </w:numPr>
        <w:tabs>
          <w:tab w:val="left" w:pos="0"/>
        </w:tabs>
        <w:bidi w:val="0"/>
        <w:spacing w:line="360" w:lineRule="auto"/>
        <w:ind w:left="-61" w:leftChars="-29"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val="en-US" w:eastAsia="zh-CN"/>
        </w:rPr>
        <w:t>5.磋商小组</w:t>
      </w:r>
      <w:r>
        <w:rPr>
          <w:rFonts w:hint="eastAsia" w:ascii="宋体" w:hAnsi="宋体" w:eastAsia="宋体" w:cs="宋体"/>
          <w:color w:val="auto"/>
          <w:sz w:val="21"/>
          <w:szCs w:val="22"/>
          <w:highlight w:val="none"/>
        </w:rPr>
        <w:t>成员之间具有配偶、近亲属关系；</w:t>
      </w:r>
    </w:p>
    <w:p>
      <w:pPr>
        <w:widowControl/>
        <w:numPr>
          <w:ilvl w:val="0"/>
          <w:numId w:val="0"/>
        </w:numPr>
        <w:tabs>
          <w:tab w:val="left" w:pos="0"/>
        </w:tabs>
        <w:bidi w:val="0"/>
        <w:spacing w:line="360" w:lineRule="auto"/>
        <w:ind w:left="-61" w:leftChars="-29"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val="en-US" w:eastAsia="zh-CN"/>
        </w:rPr>
        <w:t>6.</w:t>
      </w:r>
      <w:r>
        <w:rPr>
          <w:rFonts w:hint="eastAsia" w:ascii="宋体" w:hAnsi="宋体" w:eastAsia="宋体" w:cs="宋体"/>
          <w:color w:val="auto"/>
          <w:sz w:val="21"/>
          <w:szCs w:val="22"/>
          <w:highlight w:val="none"/>
        </w:rPr>
        <w:t>同一单位的评审专家在同一项目</w:t>
      </w:r>
      <w:r>
        <w:rPr>
          <w:rFonts w:hint="eastAsia" w:ascii="宋体" w:hAnsi="宋体" w:eastAsia="宋体" w:cs="宋体"/>
          <w:color w:val="auto"/>
          <w:sz w:val="21"/>
          <w:szCs w:val="22"/>
          <w:highlight w:val="none"/>
          <w:lang w:val="en-US" w:eastAsia="zh-CN"/>
        </w:rPr>
        <w:t>磋商小组</w:t>
      </w:r>
      <w:r>
        <w:rPr>
          <w:rFonts w:hint="eastAsia" w:ascii="宋体" w:hAnsi="宋体" w:eastAsia="宋体" w:cs="宋体"/>
          <w:color w:val="auto"/>
          <w:sz w:val="21"/>
          <w:szCs w:val="22"/>
          <w:highlight w:val="none"/>
        </w:rPr>
        <w:t>成员中超过一名；</w:t>
      </w:r>
    </w:p>
    <w:p>
      <w:pPr>
        <w:widowControl/>
        <w:numPr>
          <w:ilvl w:val="0"/>
          <w:numId w:val="0"/>
        </w:numPr>
        <w:tabs>
          <w:tab w:val="left" w:pos="0"/>
        </w:tabs>
        <w:spacing w:line="360" w:lineRule="auto"/>
        <w:ind w:left="-61" w:leftChars="-29" w:right="0" w:rightChars="0" w:firstLine="420" w:firstLineChars="200"/>
        <w:rPr>
          <w:rStyle w:val="41"/>
          <w:rFonts w:hint="eastAsia" w:ascii="宋体" w:hAnsi="宋体" w:eastAsia="宋体" w:cs="宋体"/>
          <w:color w:val="auto"/>
          <w:szCs w:val="22"/>
          <w:highlight w:val="none"/>
        </w:rPr>
      </w:pPr>
      <w:r>
        <w:rPr>
          <w:rFonts w:hint="eastAsia" w:ascii="宋体" w:hAnsi="宋体" w:eastAsia="宋体" w:cs="宋体"/>
          <w:color w:val="auto"/>
          <w:szCs w:val="22"/>
          <w:highlight w:val="none"/>
          <w:lang w:val="en-US" w:eastAsia="zh-CN"/>
        </w:rPr>
        <w:t>7.</w:t>
      </w:r>
      <w:r>
        <w:rPr>
          <w:rFonts w:hint="eastAsia" w:ascii="宋体" w:hAnsi="宋体" w:eastAsia="宋体" w:cs="宋体"/>
          <w:color w:val="auto"/>
          <w:szCs w:val="22"/>
          <w:highlight w:val="none"/>
        </w:rPr>
        <w:t>法律、法规、规章规定应当回避以及其他可能影响公正评审的。</w:t>
      </w:r>
      <w:bookmarkEnd w:id="66"/>
      <w:bookmarkEnd w:id="67"/>
      <w:bookmarkEnd w:id="68"/>
      <w:bookmarkEnd w:id="69"/>
      <w:bookmarkEnd w:id="70"/>
      <w:bookmarkEnd w:id="71"/>
      <w:bookmarkEnd w:id="72"/>
      <w:bookmarkEnd w:id="73"/>
      <w:bookmarkEnd w:id="74"/>
      <w:bookmarkEnd w:id="75"/>
      <w:bookmarkEnd w:id="76"/>
    </w:p>
    <w:p>
      <w:pPr>
        <w:spacing w:before="120" w:after="120" w:line="360" w:lineRule="auto"/>
        <w:ind w:right="678" w:rightChars="323"/>
        <w:rPr>
          <w:rFonts w:hint="eastAsia" w:ascii="宋体" w:hAnsi="宋体" w:eastAsia="宋体" w:cs="宋体"/>
          <w:color w:val="auto"/>
          <w:highlight w:val="none"/>
        </w:rPr>
      </w:pPr>
      <w:bookmarkStart w:id="78" w:name="_Toc231028406"/>
      <w:bookmarkStart w:id="79" w:name="_Toc453695580"/>
      <w:bookmarkStart w:id="80" w:name="_Toc237683957"/>
      <w:bookmarkStart w:id="81" w:name="_Toc338083284"/>
      <w:bookmarkStart w:id="82" w:name="_Toc453695707"/>
      <w:bookmarkStart w:id="83" w:name="_Toc461991239"/>
      <w:bookmarkStart w:id="84" w:name="_Toc234746295"/>
      <w:bookmarkStart w:id="85" w:name="_Toc183338095"/>
      <w:bookmarkStart w:id="86" w:name="_Toc238275019"/>
      <w:bookmarkStart w:id="87" w:name="_Toc237684318"/>
      <w:bookmarkStart w:id="88" w:name="_Toc238274901"/>
    </w:p>
    <w:p>
      <w:pPr>
        <w:spacing w:line="360" w:lineRule="auto"/>
        <w:ind w:left="0" w:firstLine="0" w:firstLineChars="0"/>
        <w:rPr>
          <w:rFonts w:hint="eastAsia" w:ascii="宋体" w:hAnsi="宋体" w:eastAsia="宋体" w:cs="宋体"/>
          <w:b w:val="0"/>
          <w:color w:val="auto"/>
          <w:sz w:val="21"/>
          <w:szCs w:val="21"/>
          <w:highlight w:val="none"/>
          <w:lang w:val="en-US"/>
        </w:rPr>
      </w:pPr>
      <w:bookmarkStart w:id="89" w:name="_Toc395083524"/>
      <w:bookmarkStart w:id="90" w:name="_Toc199815437"/>
      <w:bookmarkStart w:id="91" w:name="_Toc176844890"/>
      <w:bookmarkStart w:id="92" w:name="_Toc199735926"/>
      <w:bookmarkStart w:id="93" w:name="_Toc411005326"/>
      <w:bookmarkStart w:id="94" w:name="_Toc401232231"/>
      <w:bookmarkStart w:id="95" w:name="_Toc199736956"/>
      <w:bookmarkStart w:id="96" w:name="_Toc199736010"/>
      <w:r>
        <w:rPr>
          <w:rFonts w:hint="eastAsia" w:ascii="宋体" w:hAnsi="宋体" w:eastAsia="宋体" w:cs="宋体"/>
          <w:b w:val="0"/>
          <w:color w:val="auto"/>
          <w:sz w:val="21"/>
          <w:szCs w:val="21"/>
          <w:highlight w:val="none"/>
          <w:lang w:val="en-US" w:eastAsia="zh-CN"/>
        </w:rPr>
        <w:t>二、</w:t>
      </w:r>
      <w:bookmarkEnd w:id="89"/>
      <w:bookmarkEnd w:id="90"/>
      <w:bookmarkEnd w:id="91"/>
      <w:bookmarkEnd w:id="92"/>
      <w:bookmarkEnd w:id="93"/>
      <w:bookmarkEnd w:id="94"/>
      <w:bookmarkEnd w:id="95"/>
      <w:bookmarkEnd w:id="96"/>
      <w:r>
        <w:rPr>
          <w:rFonts w:hint="eastAsia" w:ascii="宋体" w:hAnsi="宋体" w:eastAsia="宋体" w:cs="宋体"/>
          <w:b w:val="0"/>
          <w:color w:val="auto"/>
          <w:sz w:val="21"/>
          <w:szCs w:val="21"/>
          <w:highlight w:val="none"/>
          <w:lang w:val="en-US" w:eastAsia="zh-CN"/>
        </w:rPr>
        <w:t>磋商流程</w:t>
      </w:r>
    </w:p>
    <w:p>
      <w:pPr>
        <w:widowControl/>
        <w:numPr>
          <w:ilvl w:val="0"/>
          <w:numId w:val="0"/>
        </w:numPr>
        <w:tabs>
          <w:tab w:val="left" w:pos="0"/>
          <w:tab w:val="left" w:pos="840"/>
        </w:tabs>
        <w:spacing w:before="120" w:after="120"/>
        <w:ind w:firstLine="0" w:firstLineChars="0"/>
        <w:rPr>
          <w:rFonts w:hint="eastAsia" w:ascii="宋体" w:hAnsi="宋体" w:eastAsia="宋体" w:cs="宋体"/>
          <w:color w:val="auto"/>
          <w:sz w:val="21"/>
          <w:szCs w:val="21"/>
          <w:highlight w:val="none"/>
          <w:lang w:eastAsia="zh-CN"/>
        </w:rPr>
      </w:pPr>
      <w:bookmarkStart w:id="97" w:name="_Hlt36943663"/>
      <w:bookmarkEnd w:id="97"/>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接收</w:t>
      </w:r>
      <w:r>
        <w:rPr>
          <w:rFonts w:hint="eastAsia" w:ascii="宋体" w:hAnsi="宋体" w:eastAsia="宋体" w:cs="宋体"/>
          <w:color w:val="auto"/>
          <w:sz w:val="21"/>
          <w:szCs w:val="21"/>
          <w:highlight w:val="none"/>
          <w:lang w:eastAsia="zh-CN"/>
        </w:rPr>
        <w:t>响应文件</w:t>
      </w:r>
    </w:p>
    <w:p>
      <w:pPr>
        <w:spacing w:line="360" w:lineRule="auto"/>
        <w:ind w:firstLine="539"/>
        <w:rPr>
          <w:rFonts w:hint="eastAsia" w:ascii="宋体" w:hAnsi="宋体" w:eastAsia="宋体" w:cs="宋体"/>
          <w:color w:val="auto"/>
          <w:highlight w:val="none"/>
        </w:rPr>
      </w:pPr>
      <w:r>
        <w:rPr>
          <w:rFonts w:hint="eastAsia" w:ascii="宋体" w:hAnsi="宋体" w:eastAsia="宋体" w:cs="宋体"/>
          <w:color w:val="auto"/>
          <w:highlight w:val="none"/>
        </w:rPr>
        <w:t>采购代理机构按《</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文件》规定的时间和地点接收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和组织</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会。</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派</w:t>
      </w:r>
      <w:r>
        <w:rPr>
          <w:rFonts w:hint="eastAsia" w:ascii="宋体" w:hAnsi="宋体" w:eastAsia="宋体" w:cs="宋体"/>
          <w:color w:val="auto"/>
          <w:highlight w:val="none"/>
          <w:lang w:val="en-US" w:eastAsia="zh-CN"/>
        </w:rPr>
        <w:t>出</w:t>
      </w:r>
      <w:r>
        <w:rPr>
          <w:rFonts w:hint="eastAsia" w:ascii="宋体" w:hAnsi="宋体" w:eastAsia="宋体" w:cs="宋体"/>
          <w:color w:val="auto"/>
          <w:highlight w:val="none"/>
        </w:rPr>
        <w:t>法定代表人或其授权代表人参加并签到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采购代理机构负责做好有关记录。</w:t>
      </w:r>
    </w:p>
    <w:p>
      <w:pPr>
        <w:widowControl/>
        <w:numPr>
          <w:ilvl w:val="0"/>
          <w:numId w:val="0"/>
        </w:numPr>
        <w:tabs>
          <w:tab w:val="left" w:pos="0"/>
          <w:tab w:val="left" w:pos="840"/>
        </w:tabs>
        <w:spacing w:before="120" w:after="12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磋商</w:t>
      </w:r>
    </w:p>
    <w:p>
      <w:pPr>
        <w:spacing w:line="360" w:lineRule="auto"/>
        <w:ind w:left="210" w:leftChars="100"/>
        <w:rPr>
          <w:rFonts w:hint="eastAsia" w:ascii="宋体" w:hAnsi="宋体" w:eastAsia="宋体" w:cs="宋体"/>
          <w:color w:val="auto"/>
          <w:szCs w:val="22"/>
          <w:highlight w:val="none"/>
          <w:lang w:val="en-US"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磋商小组首先对供应商进行初审，初审内容包括资格性、符合性</w:t>
      </w:r>
      <w:r>
        <w:rPr>
          <w:rFonts w:hint="eastAsia" w:ascii="宋体" w:hAnsi="宋体" w:eastAsia="宋体" w:cs="宋体"/>
          <w:color w:val="auto"/>
          <w:szCs w:val="22"/>
          <w:highlight w:val="none"/>
          <w:lang w:val="en-US" w:eastAsia="zh-CN"/>
        </w:rPr>
        <w:t>审查（内容详见附表1），</w:t>
      </w:r>
      <w:r>
        <w:rPr>
          <w:rFonts w:hint="eastAsia" w:ascii="宋体" w:hAnsi="宋体" w:eastAsia="宋体" w:cs="宋体"/>
          <w:color w:val="auto"/>
          <w:sz w:val="21"/>
          <w:szCs w:val="22"/>
          <w:highlight w:val="none"/>
        </w:rPr>
        <w:t>出现不符合</w:t>
      </w:r>
      <w:r>
        <w:rPr>
          <w:rFonts w:hint="eastAsia" w:ascii="宋体" w:hAnsi="宋体" w:eastAsia="宋体" w:cs="宋体"/>
          <w:color w:val="auto"/>
          <w:sz w:val="21"/>
          <w:szCs w:val="22"/>
          <w:highlight w:val="none"/>
          <w:lang w:val="en-US" w:eastAsia="zh-CN"/>
        </w:rPr>
        <w:t>资格性、符合性初审表</w:t>
      </w:r>
      <w:r>
        <w:rPr>
          <w:rFonts w:hint="eastAsia" w:ascii="宋体" w:hAnsi="宋体" w:eastAsia="宋体" w:cs="宋体"/>
          <w:color w:val="auto"/>
          <w:sz w:val="21"/>
          <w:szCs w:val="22"/>
          <w:highlight w:val="none"/>
        </w:rPr>
        <w:t>所列情形之一时，不得参与</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小组</w:t>
      </w:r>
      <w:r>
        <w:rPr>
          <w:rFonts w:hint="eastAsia" w:ascii="宋体" w:hAnsi="宋体" w:eastAsia="宋体" w:cs="宋体"/>
          <w:color w:val="auto"/>
          <w:sz w:val="21"/>
          <w:szCs w:val="22"/>
          <w:highlight w:val="none"/>
          <w:lang w:val="en-US" w:eastAsia="zh-CN"/>
        </w:rPr>
        <w:t>将告知供应商并</w:t>
      </w:r>
      <w:r>
        <w:rPr>
          <w:rFonts w:hint="eastAsia" w:ascii="宋体" w:hAnsi="宋体" w:eastAsia="宋体" w:cs="宋体"/>
          <w:color w:val="auto"/>
          <w:sz w:val="21"/>
          <w:szCs w:val="22"/>
          <w:highlight w:val="none"/>
        </w:rPr>
        <w:t>说明理由</w:t>
      </w:r>
      <w:r>
        <w:rPr>
          <w:rFonts w:hint="eastAsia" w:ascii="宋体" w:hAnsi="宋体" w:eastAsia="宋体" w:cs="宋体"/>
          <w:color w:val="auto"/>
          <w:sz w:val="21"/>
          <w:szCs w:val="22"/>
          <w:highlight w:val="none"/>
          <w:lang w:eastAsia="zh-CN"/>
        </w:rPr>
        <w:t>。</w:t>
      </w:r>
    </w:p>
    <w:p>
      <w:pPr>
        <w:spacing w:line="360" w:lineRule="auto"/>
        <w:ind w:left="210" w:leftChars="100"/>
        <w:rPr>
          <w:rFonts w:hint="eastAsia" w:ascii="宋体" w:hAnsi="宋体" w:eastAsia="宋体" w:cs="宋体"/>
          <w:color w:val="auto"/>
          <w:highlight w:val="none"/>
          <w:lang w:val="en-US" w:eastAsia="zh-CN"/>
        </w:rPr>
      </w:pP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2</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磋商</w:t>
      </w:r>
      <w:r>
        <w:rPr>
          <w:rFonts w:hint="eastAsia" w:ascii="宋体" w:hAnsi="宋体" w:eastAsia="宋体" w:cs="宋体"/>
          <w:color w:val="auto"/>
          <w:szCs w:val="22"/>
          <w:highlight w:val="none"/>
        </w:rPr>
        <w:t>小组与</w:t>
      </w:r>
      <w:r>
        <w:rPr>
          <w:rFonts w:hint="eastAsia" w:ascii="宋体" w:hAnsi="宋体" w:eastAsia="宋体" w:cs="宋体"/>
          <w:color w:val="auto"/>
          <w:szCs w:val="22"/>
          <w:highlight w:val="none"/>
          <w:lang w:val="en-US" w:eastAsia="zh-CN"/>
        </w:rPr>
        <w:t>通过初审的</w:t>
      </w:r>
      <w:r>
        <w:rPr>
          <w:rFonts w:hint="eastAsia" w:ascii="宋体" w:hAnsi="宋体" w:eastAsia="宋体" w:cs="宋体"/>
          <w:color w:val="auto"/>
          <w:szCs w:val="22"/>
          <w:highlight w:val="none"/>
        </w:rPr>
        <w:t>每一</w:t>
      </w:r>
      <w:r>
        <w:rPr>
          <w:rFonts w:hint="eastAsia" w:ascii="宋体" w:hAnsi="宋体" w:eastAsia="宋体" w:cs="宋体"/>
          <w:color w:val="auto"/>
          <w:szCs w:val="22"/>
          <w:highlight w:val="none"/>
          <w:lang w:eastAsia="zh-CN"/>
        </w:rPr>
        <w:t>供应商</w:t>
      </w:r>
      <w:r>
        <w:rPr>
          <w:rFonts w:hint="eastAsia" w:ascii="宋体" w:hAnsi="宋体" w:eastAsia="宋体" w:cs="宋体"/>
          <w:color w:val="auto"/>
          <w:szCs w:val="22"/>
          <w:highlight w:val="none"/>
        </w:rPr>
        <w:t>分别进行</w:t>
      </w:r>
      <w:r>
        <w:rPr>
          <w:rFonts w:hint="eastAsia" w:ascii="宋体" w:hAnsi="宋体" w:eastAsia="宋体" w:cs="宋体"/>
          <w:color w:val="auto"/>
          <w:szCs w:val="22"/>
          <w:highlight w:val="none"/>
          <w:lang w:val="en-US" w:eastAsia="zh-CN"/>
        </w:rPr>
        <w:t>磋商</w:t>
      </w: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供应商派出法定代表人或其授权代表</w:t>
      </w:r>
      <w:r>
        <w:rPr>
          <w:rFonts w:hint="eastAsia" w:ascii="宋体" w:hAnsi="宋体" w:eastAsia="宋体" w:cs="宋体"/>
          <w:color w:val="auto"/>
          <w:highlight w:val="none"/>
          <w:lang w:val="en-US" w:eastAsia="zh-CN"/>
        </w:rPr>
        <w:t>参加，如不参加，视为报价及磋商承诺按响应文件内容不变。</w:t>
      </w:r>
    </w:p>
    <w:p>
      <w:pPr>
        <w:spacing w:line="360" w:lineRule="auto"/>
        <w:ind w:left="210" w:leftChars="100"/>
        <w:rPr>
          <w:rFonts w:hint="eastAsia" w:ascii="宋体" w:hAnsi="宋体" w:eastAsia="宋体" w:cs="宋体"/>
          <w:color w:val="auto"/>
          <w:sz w:val="21"/>
          <w:szCs w:val="22"/>
          <w:highlight w:val="none"/>
        </w:rPr>
      </w:pP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3</w:t>
      </w:r>
      <w:r>
        <w:rPr>
          <w:rFonts w:hint="eastAsia" w:ascii="宋体" w:hAnsi="宋体" w:eastAsia="宋体" w:cs="宋体"/>
          <w:color w:val="auto"/>
          <w:szCs w:val="22"/>
          <w:highlight w:val="none"/>
          <w:lang w:eastAsia="zh-CN"/>
        </w:rPr>
        <w:t>）</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小组</w:t>
      </w:r>
      <w:r>
        <w:rPr>
          <w:rFonts w:hint="eastAsia" w:ascii="宋体" w:hAnsi="宋体" w:eastAsia="宋体" w:cs="宋体"/>
          <w:color w:val="auto"/>
          <w:sz w:val="21"/>
          <w:szCs w:val="22"/>
          <w:highlight w:val="none"/>
          <w:lang w:val="en-US" w:eastAsia="zh-CN"/>
        </w:rPr>
        <w:t>与供应商进行磋商后</w:t>
      </w:r>
      <w:r>
        <w:rPr>
          <w:rFonts w:hint="eastAsia" w:ascii="宋体" w:hAnsi="宋体" w:eastAsia="宋体" w:cs="宋体"/>
          <w:color w:val="auto"/>
          <w:sz w:val="21"/>
          <w:szCs w:val="22"/>
          <w:highlight w:val="none"/>
        </w:rPr>
        <w:t>形成《</w:t>
      </w:r>
      <w:r>
        <w:rPr>
          <w:rFonts w:hint="eastAsia" w:ascii="宋体" w:hAnsi="宋体" w:eastAsia="宋体" w:cs="宋体"/>
          <w:color w:val="auto"/>
          <w:sz w:val="21"/>
          <w:szCs w:val="22"/>
          <w:highlight w:val="none"/>
          <w:lang w:val="en-US" w:eastAsia="zh-CN"/>
        </w:rPr>
        <w:t>磋商承诺</w:t>
      </w:r>
      <w:r>
        <w:rPr>
          <w:rFonts w:hint="eastAsia" w:ascii="宋体" w:hAnsi="宋体" w:eastAsia="宋体" w:cs="宋体"/>
          <w:color w:val="auto"/>
          <w:sz w:val="21"/>
          <w:szCs w:val="22"/>
          <w:highlight w:val="none"/>
        </w:rPr>
        <w:t>》。《</w:t>
      </w:r>
      <w:r>
        <w:rPr>
          <w:rFonts w:hint="eastAsia" w:ascii="宋体" w:hAnsi="宋体" w:eastAsia="宋体" w:cs="宋体"/>
          <w:color w:val="auto"/>
          <w:sz w:val="21"/>
          <w:szCs w:val="22"/>
          <w:highlight w:val="none"/>
          <w:lang w:val="en-US" w:eastAsia="zh-CN"/>
        </w:rPr>
        <w:t>磋商承诺</w:t>
      </w:r>
      <w:r>
        <w:rPr>
          <w:rFonts w:hint="eastAsia" w:ascii="宋体" w:hAnsi="宋体" w:eastAsia="宋体" w:cs="宋体"/>
          <w:color w:val="auto"/>
          <w:sz w:val="21"/>
          <w:szCs w:val="22"/>
          <w:highlight w:val="none"/>
        </w:rPr>
        <w:t>》是</w:t>
      </w:r>
      <w:r>
        <w:rPr>
          <w:rFonts w:hint="eastAsia" w:ascii="宋体" w:hAnsi="宋体" w:eastAsia="宋体" w:cs="宋体"/>
          <w:color w:val="auto"/>
          <w:sz w:val="21"/>
          <w:szCs w:val="22"/>
          <w:highlight w:val="none"/>
          <w:lang w:val="en-US" w:eastAsia="zh-CN"/>
        </w:rPr>
        <w:t>响应文件</w:t>
      </w:r>
      <w:r>
        <w:rPr>
          <w:rFonts w:hint="eastAsia" w:ascii="宋体" w:hAnsi="宋体" w:eastAsia="宋体" w:cs="宋体"/>
          <w:color w:val="auto"/>
          <w:sz w:val="21"/>
          <w:szCs w:val="22"/>
          <w:highlight w:val="none"/>
        </w:rPr>
        <w:t>的有效组成部分。</w:t>
      </w:r>
    </w:p>
    <w:p>
      <w:pPr>
        <w:spacing w:line="360" w:lineRule="auto"/>
        <w:ind w:left="210" w:leftChars="1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eastAsia="zh-CN"/>
        </w:rPr>
        <w:t>（</w:t>
      </w:r>
      <w:r>
        <w:rPr>
          <w:rFonts w:hint="eastAsia" w:ascii="宋体" w:hAnsi="宋体" w:eastAsia="宋体" w:cs="宋体"/>
          <w:color w:val="auto"/>
          <w:sz w:val="21"/>
          <w:szCs w:val="22"/>
          <w:highlight w:val="none"/>
          <w:lang w:val="en-US" w:eastAsia="zh-CN"/>
        </w:rPr>
        <w:t>4</w:t>
      </w:r>
      <w:r>
        <w:rPr>
          <w:rFonts w:hint="eastAsia" w:ascii="宋体" w:hAnsi="宋体" w:eastAsia="宋体" w:cs="宋体"/>
          <w:color w:val="auto"/>
          <w:sz w:val="21"/>
          <w:szCs w:val="22"/>
          <w:highlight w:val="none"/>
          <w:lang w:eastAsia="zh-CN"/>
        </w:rPr>
        <w:t>）</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小组可以根据</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文件和</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情况实质性变动采购需求中的技术、服务要求以及合同草案条款，但不得变动</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文件中的其他内容。</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文件的变动内容须经采购人代表确认，并记载在《</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纪要》中以通知所有</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供应商。</w:t>
      </w:r>
    </w:p>
    <w:p>
      <w:pPr>
        <w:spacing w:line="360" w:lineRule="auto"/>
        <w:ind w:left="210" w:leftChars="100"/>
        <w:rPr>
          <w:rFonts w:hint="eastAsia" w:ascii="宋体" w:hAnsi="宋体" w:eastAsia="宋体" w:cs="宋体"/>
          <w:color w:val="auto"/>
          <w:szCs w:val="22"/>
          <w:highlight w:val="none"/>
          <w:lang w:eastAsia="zh-CN"/>
        </w:rPr>
      </w:pPr>
      <w:r>
        <w:rPr>
          <w:rFonts w:hint="eastAsia" w:ascii="宋体" w:hAnsi="宋体" w:eastAsia="宋体" w:cs="宋体"/>
          <w:color w:val="auto"/>
          <w:sz w:val="21"/>
          <w:szCs w:val="22"/>
          <w:highlight w:val="none"/>
          <w:lang w:eastAsia="zh-CN"/>
        </w:rPr>
        <w:t>（</w:t>
      </w:r>
      <w:r>
        <w:rPr>
          <w:rFonts w:hint="eastAsia" w:ascii="宋体" w:hAnsi="宋体" w:eastAsia="宋体" w:cs="宋体"/>
          <w:color w:val="auto"/>
          <w:sz w:val="21"/>
          <w:szCs w:val="22"/>
          <w:highlight w:val="none"/>
          <w:lang w:val="en-US" w:eastAsia="zh-CN"/>
        </w:rPr>
        <w:t>5</w:t>
      </w:r>
      <w:r>
        <w:rPr>
          <w:rFonts w:hint="eastAsia" w:ascii="宋体" w:hAnsi="宋体" w:eastAsia="宋体" w:cs="宋体"/>
          <w:color w:val="auto"/>
          <w:sz w:val="21"/>
          <w:szCs w:val="22"/>
          <w:highlight w:val="none"/>
          <w:lang w:eastAsia="zh-CN"/>
        </w:rPr>
        <w:t>）</w:t>
      </w:r>
      <w:r>
        <w:rPr>
          <w:rFonts w:hint="eastAsia" w:ascii="宋体" w:hAnsi="宋体" w:eastAsia="宋体" w:cs="宋体"/>
          <w:color w:val="auto"/>
          <w:sz w:val="21"/>
          <w:szCs w:val="22"/>
          <w:highlight w:val="none"/>
        </w:rPr>
        <w:t>如</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小组没有对</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文件作实质性变动增加新的需求，最后报价</w:t>
      </w:r>
      <w:r>
        <w:rPr>
          <w:rFonts w:hint="eastAsia" w:ascii="宋体" w:hAnsi="宋体" w:eastAsia="宋体" w:cs="宋体"/>
          <w:b w:val="0"/>
          <w:color w:val="auto"/>
          <w:sz w:val="21"/>
          <w:szCs w:val="22"/>
          <w:highlight w:val="none"/>
        </w:rPr>
        <w:t>不得高于</w:t>
      </w:r>
      <w:r>
        <w:rPr>
          <w:rFonts w:hint="eastAsia" w:ascii="宋体" w:hAnsi="宋体" w:eastAsia="宋体" w:cs="宋体"/>
          <w:color w:val="auto"/>
          <w:sz w:val="21"/>
          <w:szCs w:val="22"/>
          <w:highlight w:val="none"/>
        </w:rPr>
        <w:t>首次报价。</w:t>
      </w:r>
    </w:p>
    <w:p>
      <w:pPr>
        <w:spacing w:line="360" w:lineRule="auto"/>
        <w:ind w:left="210" w:leftChars="1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）在</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中，</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的任何一方，不得透露与</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有关的其他</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的技术资料、价格和其他信息；</w:t>
      </w:r>
    </w:p>
    <w:p>
      <w:pPr>
        <w:spacing w:line="360" w:lineRule="auto"/>
        <w:ind w:left="210" w:left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小组要求</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在规定的时间内进行最终报价。除非</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另有说明，最终报价总价与第一次报价总价下浮的比例，其报价明细项按相同比例下浮。</w:t>
      </w:r>
    </w:p>
    <w:p>
      <w:pPr>
        <w:spacing w:line="360" w:lineRule="auto"/>
        <w:ind w:left="210" w:leftChars="100"/>
        <w:rPr>
          <w:rFonts w:hint="eastAsia" w:ascii="宋体" w:hAnsi="宋体" w:eastAsia="宋体" w:cs="宋体"/>
          <w:color w:val="auto"/>
          <w:szCs w:val="22"/>
          <w:highlight w:val="none"/>
          <w:lang w:eastAsia="zh-CN"/>
        </w:rPr>
      </w:pPr>
      <w:r>
        <w:rPr>
          <w:rFonts w:hint="eastAsia" w:ascii="宋体" w:hAnsi="宋体" w:eastAsia="宋体" w:cs="宋体"/>
          <w:color w:val="auto"/>
          <w:szCs w:val="22"/>
          <w:highlight w:val="none"/>
          <w:lang w:eastAsia="zh-CN"/>
        </w:rPr>
        <w:t>（</w:t>
      </w:r>
      <w:r>
        <w:rPr>
          <w:rFonts w:hint="eastAsia" w:ascii="宋体" w:hAnsi="宋体" w:eastAsia="宋体" w:cs="宋体"/>
          <w:color w:val="auto"/>
          <w:szCs w:val="22"/>
          <w:highlight w:val="none"/>
          <w:lang w:val="en-US" w:eastAsia="zh-CN"/>
        </w:rPr>
        <w:t>8</w:t>
      </w:r>
      <w:r>
        <w:rPr>
          <w:rFonts w:hint="eastAsia" w:ascii="宋体" w:hAnsi="宋体" w:eastAsia="宋体" w:cs="宋体"/>
          <w:color w:val="auto"/>
          <w:szCs w:val="22"/>
          <w:highlight w:val="none"/>
          <w:lang w:eastAsia="zh-CN"/>
        </w:rPr>
        <w:t>）</w:t>
      </w:r>
      <w:r>
        <w:rPr>
          <w:rFonts w:hint="eastAsia" w:ascii="宋体" w:hAnsi="宋体" w:eastAsia="宋体" w:cs="宋体"/>
          <w:color w:val="auto"/>
          <w:sz w:val="21"/>
          <w:szCs w:val="22"/>
          <w:highlight w:val="none"/>
        </w:rPr>
        <w:t>没有在规定时间内提交最后报价</w:t>
      </w:r>
      <w:r>
        <w:rPr>
          <w:rFonts w:hint="eastAsia" w:ascii="宋体" w:hAnsi="宋体" w:eastAsia="宋体" w:cs="宋体"/>
          <w:color w:val="auto"/>
          <w:sz w:val="21"/>
          <w:szCs w:val="22"/>
          <w:highlight w:val="none"/>
          <w:lang w:val="en-US" w:eastAsia="zh-CN"/>
        </w:rPr>
        <w:t>视为报价及磋商承诺按响应文件内容不变</w:t>
      </w:r>
      <w:r>
        <w:rPr>
          <w:rFonts w:hint="eastAsia" w:ascii="宋体" w:hAnsi="宋体" w:eastAsia="宋体" w:cs="宋体"/>
          <w:color w:val="auto"/>
          <w:sz w:val="21"/>
          <w:szCs w:val="22"/>
          <w:highlight w:val="none"/>
        </w:rPr>
        <w:t>。</w:t>
      </w:r>
    </w:p>
    <w:p>
      <w:pPr>
        <w:spacing w:line="360" w:lineRule="auto"/>
        <w:ind w:left="210" w:left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磋商纪要》及最终报价均提交给磋商小组后，磋商小组将进行最终符合性审查</w:t>
      </w:r>
      <w:r>
        <w:rPr>
          <w:rFonts w:hint="eastAsia" w:ascii="宋体" w:hAnsi="宋体" w:eastAsia="宋体" w:cs="宋体"/>
          <w:color w:val="auto"/>
          <w:szCs w:val="22"/>
          <w:highlight w:val="none"/>
          <w:lang w:val="en-US" w:eastAsia="zh-CN"/>
        </w:rPr>
        <w:t>（内容详见附表2），</w:t>
      </w:r>
      <w:r>
        <w:rPr>
          <w:rFonts w:hint="eastAsia" w:ascii="宋体" w:hAnsi="宋体" w:eastAsia="宋体" w:cs="宋体"/>
          <w:color w:val="auto"/>
          <w:sz w:val="21"/>
          <w:szCs w:val="22"/>
          <w:highlight w:val="none"/>
        </w:rPr>
        <w:t>出现不符合</w:t>
      </w:r>
      <w:r>
        <w:rPr>
          <w:rFonts w:hint="eastAsia" w:ascii="宋体" w:hAnsi="宋体" w:eastAsia="宋体" w:cs="宋体"/>
          <w:color w:val="auto"/>
          <w:sz w:val="21"/>
          <w:szCs w:val="22"/>
          <w:highlight w:val="none"/>
          <w:lang w:val="en-US" w:eastAsia="zh-CN"/>
        </w:rPr>
        <w:t>最终符合性审查</w:t>
      </w:r>
      <w:r>
        <w:rPr>
          <w:rFonts w:hint="eastAsia" w:ascii="宋体" w:hAnsi="宋体" w:eastAsia="宋体" w:cs="宋体"/>
          <w:color w:val="auto"/>
          <w:sz w:val="21"/>
          <w:szCs w:val="22"/>
          <w:highlight w:val="none"/>
        </w:rPr>
        <w:t>所列情形之一时，不得</w:t>
      </w:r>
      <w:r>
        <w:rPr>
          <w:rFonts w:hint="eastAsia" w:ascii="宋体" w:hAnsi="宋体" w:eastAsia="宋体" w:cs="宋体"/>
          <w:color w:val="auto"/>
          <w:sz w:val="21"/>
          <w:szCs w:val="22"/>
          <w:highlight w:val="none"/>
          <w:lang w:val="en-US" w:eastAsia="zh-CN"/>
        </w:rPr>
        <w:t>进入后续评审，</w:t>
      </w:r>
      <w:r>
        <w:rPr>
          <w:rFonts w:hint="eastAsia" w:ascii="宋体" w:hAnsi="宋体" w:eastAsia="宋体" w:cs="宋体"/>
          <w:color w:val="auto"/>
          <w:highlight w:val="none"/>
          <w:lang w:val="en-US" w:eastAsia="zh-CN"/>
        </w:rPr>
        <w:t>磋商</w:t>
      </w:r>
      <w:r>
        <w:rPr>
          <w:rFonts w:hint="eastAsia" w:ascii="宋体" w:hAnsi="宋体" w:eastAsia="宋体" w:cs="宋体"/>
          <w:color w:val="auto"/>
          <w:sz w:val="21"/>
          <w:szCs w:val="22"/>
          <w:highlight w:val="none"/>
        </w:rPr>
        <w:t>小组</w:t>
      </w:r>
      <w:r>
        <w:rPr>
          <w:rFonts w:hint="eastAsia" w:ascii="宋体" w:hAnsi="宋体" w:eastAsia="宋体" w:cs="宋体"/>
          <w:color w:val="auto"/>
          <w:sz w:val="21"/>
          <w:szCs w:val="22"/>
          <w:highlight w:val="none"/>
          <w:lang w:val="en-US" w:eastAsia="zh-CN"/>
        </w:rPr>
        <w:t>将告知供应商并</w:t>
      </w:r>
      <w:r>
        <w:rPr>
          <w:rFonts w:hint="eastAsia" w:ascii="宋体" w:hAnsi="宋体" w:eastAsia="宋体" w:cs="宋体"/>
          <w:color w:val="auto"/>
          <w:sz w:val="21"/>
          <w:szCs w:val="22"/>
          <w:highlight w:val="none"/>
        </w:rPr>
        <w:t>说明理由</w:t>
      </w:r>
      <w:r>
        <w:rPr>
          <w:rFonts w:hint="eastAsia" w:ascii="宋体" w:hAnsi="宋体" w:eastAsia="宋体" w:cs="宋体"/>
          <w:color w:val="auto"/>
          <w:sz w:val="21"/>
          <w:szCs w:val="22"/>
          <w:highlight w:val="none"/>
          <w:lang w:eastAsia="zh-CN"/>
        </w:rPr>
        <w:t>。</w:t>
      </w:r>
    </w:p>
    <w:p>
      <w:pPr>
        <w:tabs>
          <w:tab w:val="left" w:pos="720"/>
        </w:tabs>
        <w:spacing w:line="360" w:lineRule="auto"/>
        <w:ind w:left="210" w:leftChars="100"/>
        <w:rPr>
          <w:rFonts w:hint="eastAsia" w:ascii="宋体" w:hAnsi="宋体" w:eastAsia="宋体" w:cs="宋体"/>
          <w:color w:val="auto"/>
          <w:sz w:val="21"/>
          <w:szCs w:val="21"/>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磋商完成后，磋商</w:t>
      </w:r>
      <w:r>
        <w:rPr>
          <w:rFonts w:hint="eastAsia" w:ascii="宋体" w:hAnsi="宋体" w:eastAsia="宋体" w:cs="宋体"/>
          <w:color w:val="auto"/>
          <w:highlight w:val="none"/>
        </w:rPr>
        <w:t>小组</w:t>
      </w:r>
      <w:r>
        <w:rPr>
          <w:rFonts w:hint="eastAsia" w:ascii="宋体" w:hAnsi="宋体" w:eastAsia="宋体" w:cs="宋体"/>
          <w:color w:val="auto"/>
          <w:highlight w:val="none"/>
          <w:lang w:val="en-US" w:eastAsia="zh-CN"/>
        </w:rPr>
        <w:t>将进入评审流程</w:t>
      </w:r>
      <w:r>
        <w:rPr>
          <w:rFonts w:hint="eastAsia" w:ascii="宋体" w:hAnsi="宋体" w:eastAsia="宋体" w:cs="宋体"/>
          <w:color w:val="auto"/>
          <w:highlight w:val="none"/>
        </w:rPr>
        <w:t>。</w:t>
      </w:r>
    </w:p>
    <w:bookmarkEnd w:id="78"/>
    <w:bookmarkEnd w:id="79"/>
    <w:bookmarkEnd w:id="80"/>
    <w:bookmarkEnd w:id="81"/>
    <w:bookmarkEnd w:id="82"/>
    <w:bookmarkEnd w:id="83"/>
    <w:bookmarkEnd w:id="84"/>
    <w:bookmarkEnd w:id="85"/>
    <w:bookmarkEnd w:id="86"/>
    <w:bookmarkEnd w:id="87"/>
    <w:bookmarkEnd w:id="88"/>
    <w:p>
      <w:pPr>
        <w:widowControl/>
        <w:spacing w:before="120" w:after="120" w:line="360" w:lineRule="auto"/>
        <w:rPr>
          <w:rFonts w:hint="eastAsia" w:ascii="宋体" w:hAnsi="宋体" w:eastAsia="宋体" w:cs="宋体"/>
          <w:color w:val="auto"/>
          <w:sz w:val="21"/>
          <w:szCs w:val="22"/>
          <w:highlight w:val="none"/>
          <w:lang w:val="en-US" w:eastAsia="zh-CN"/>
        </w:rPr>
      </w:pPr>
      <w:bookmarkStart w:id="98" w:name="_Toc237684325"/>
      <w:bookmarkStart w:id="99" w:name="_Toc234746302"/>
      <w:bookmarkStart w:id="100" w:name="_Toc453695714"/>
      <w:bookmarkStart w:id="101" w:name="_Toc183338102"/>
      <w:bookmarkStart w:id="102" w:name="_Toc238274908"/>
      <w:bookmarkStart w:id="103" w:name="_Toc453695587"/>
      <w:bookmarkStart w:id="104" w:name="_Toc231028413"/>
      <w:bookmarkStart w:id="105" w:name="_Toc461991246"/>
      <w:bookmarkStart w:id="106" w:name="_Toc238275026"/>
      <w:bookmarkStart w:id="107" w:name="_Toc237683964"/>
      <w:bookmarkStart w:id="108" w:name="_Toc338083291"/>
      <w:r>
        <w:rPr>
          <w:rFonts w:hint="eastAsia" w:ascii="宋体" w:hAnsi="宋体" w:eastAsia="宋体" w:cs="宋体"/>
          <w:color w:val="auto"/>
          <w:sz w:val="21"/>
          <w:szCs w:val="22"/>
          <w:highlight w:val="none"/>
          <w:lang w:val="en-US" w:eastAsia="zh-CN"/>
        </w:rPr>
        <w:t>三</w:t>
      </w:r>
      <w:r>
        <w:rPr>
          <w:rFonts w:hint="eastAsia" w:ascii="宋体" w:hAnsi="宋体" w:eastAsia="宋体" w:cs="宋体"/>
          <w:color w:val="auto"/>
          <w:sz w:val="21"/>
          <w:szCs w:val="22"/>
          <w:highlight w:val="none"/>
          <w:lang w:eastAsia="zh-CN"/>
        </w:rPr>
        <w:t>、</w:t>
      </w:r>
      <w:r>
        <w:rPr>
          <w:rFonts w:hint="eastAsia" w:ascii="宋体" w:hAnsi="宋体" w:eastAsia="宋体" w:cs="宋体"/>
          <w:color w:val="auto"/>
          <w:sz w:val="21"/>
          <w:szCs w:val="22"/>
          <w:highlight w:val="none"/>
          <w:lang w:val="en-US" w:eastAsia="zh-CN"/>
        </w:rPr>
        <w:t>评审流程</w:t>
      </w:r>
    </w:p>
    <w:p>
      <w:pPr>
        <w:numPr>
          <w:ilvl w:val="0"/>
          <w:numId w:val="0"/>
        </w:numPr>
        <w:bidi w:val="0"/>
        <w:spacing w:line="360" w:lineRule="auto"/>
        <w:ind w:left="0" w:leftChars="0" w:firstLine="0" w:firstLineChars="0"/>
        <w:outlineLvl w:val="9"/>
        <w:rPr>
          <w:rFonts w:hint="eastAsia" w:ascii="宋体" w:hAnsi="宋体" w:eastAsia="宋体" w:cs="宋体"/>
          <w:b w:val="0"/>
          <w:color w:val="auto"/>
          <w:sz w:val="21"/>
          <w:szCs w:val="22"/>
          <w:highlight w:val="none"/>
          <w:lang w:val="en-US" w:eastAsia="zh-CN"/>
        </w:rPr>
      </w:pPr>
      <w:bookmarkStart w:id="109" w:name="_Toc401231934"/>
      <w:bookmarkStart w:id="110" w:name="_Toc401231876"/>
      <w:bookmarkStart w:id="111" w:name="_Toc351989409"/>
      <w:bookmarkStart w:id="112" w:name="_Toc411005323"/>
      <w:r>
        <w:rPr>
          <w:rFonts w:hint="eastAsia" w:ascii="宋体" w:hAnsi="宋体" w:eastAsia="宋体" w:cs="宋体"/>
          <w:b w:val="0"/>
          <w:color w:val="auto"/>
          <w:sz w:val="21"/>
          <w:szCs w:val="22"/>
          <w:highlight w:val="none"/>
          <w:lang w:eastAsia="zh-CN"/>
        </w:rPr>
        <w:t>（</w:t>
      </w:r>
      <w:r>
        <w:rPr>
          <w:rFonts w:hint="eastAsia" w:ascii="宋体" w:hAnsi="宋体" w:eastAsia="宋体" w:cs="宋体"/>
          <w:b w:val="0"/>
          <w:color w:val="auto"/>
          <w:sz w:val="21"/>
          <w:szCs w:val="22"/>
          <w:highlight w:val="none"/>
          <w:lang w:val="en-US" w:eastAsia="zh-CN"/>
        </w:rPr>
        <w:t>一</w:t>
      </w:r>
      <w:r>
        <w:rPr>
          <w:rFonts w:hint="eastAsia" w:ascii="宋体" w:hAnsi="宋体" w:eastAsia="宋体" w:cs="宋体"/>
          <w:b w:val="0"/>
          <w:color w:val="auto"/>
          <w:sz w:val="21"/>
          <w:szCs w:val="22"/>
          <w:highlight w:val="none"/>
          <w:lang w:eastAsia="zh-CN"/>
        </w:rPr>
        <w:t>）</w:t>
      </w:r>
      <w:bookmarkEnd w:id="109"/>
      <w:bookmarkEnd w:id="110"/>
      <w:bookmarkEnd w:id="111"/>
      <w:bookmarkEnd w:id="112"/>
      <w:r>
        <w:rPr>
          <w:rFonts w:hint="eastAsia" w:ascii="宋体" w:hAnsi="宋体" w:eastAsia="宋体" w:cs="宋体"/>
          <w:b w:val="0"/>
          <w:color w:val="auto"/>
          <w:sz w:val="21"/>
          <w:szCs w:val="22"/>
          <w:highlight w:val="none"/>
          <w:lang w:val="en-US" w:eastAsia="zh-CN"/>
        </w:rPr>
        <w:t>评审形式</w:t>
      </w:r>
    </w:p>
    <w:p>
      <w:pPr>
        <w:bidi w:val="0"/>
        <w:spacing w:line="360" w:lineRule="auto"/>
        <w:ind w:left="0" w:leftChars="0" w:firstLine="630" w:firstLineChars="3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val="zh-CN"/>
        </w:rPr>
        <w:t>本次</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lang w:val="zh-CN"/>
        </w:rPr>
        <w:t>采用一</w:t>
      </w:r>
      <w:r>
        <w:rPr>
          <w:rFonts w:hint="eastAsia" w:ascii="宋体" w:hAnsi="宋体" w:eastAsia="宋体" w:cs="宋体"/>
          <w:color w:val="auto"/>
          <w:sz w:val="21"/>
          <w:szCs w:val="22"/>
          <w:highlight w:val="none"/>
          <w:lang w:val="en-US" w:eastAsia="zh-CN"/>
        </w:rPr>
        <w:t>次评审</w:t>
      </w:r>
      <w:r>
        <w:rPr>
          <w:rFonts w:hint="eastAsia" w:ascii="宋体" w:hAnsi="宋体" w:eastAsia="宋体" w:cs="宋体"/>
          <w:color w:val="auto"/>
          <w:sz w:val="21"/>
          <w:szCs w:val="22"/>
          <w:highlight w:val="none"/>
          <w:lang w:val="zh-CN"/>
        </w:rPr>
        <w:t>，两</w:t>
      </w:r>
      <w:r>
        <w:rPr>
          <w:rFonts w:hint="eastAsia" w:ascii="宋体" w:hAnsi="宋体" w:eastAsia="宋体" w:cs="宋体"/>
          <w:color w:val="auto"/>
          <w:sz w:val="21"/>
          <w:szCs w:val="22"/>
          <w:highlight w:val="none"/>
          <w:lang w:val="en-US" w:eastAsia="zh-CN"/>
        </w:rPr>
        <w:t>轮或多轮磋商</w:t>
      </w:r>
      <w:r>
        <w:rPr>
          <w:rFonts w:hint="eastAsia" w:ascii="宋体" w:hAnsi="宋体" w:eastAsia="宋体" w:cs="宋体"/>
          <w:color w:val="auto"/>
          <w:sz w:val="21"/>
          <w:szCs w:val="22"/>
          <w:highlight w:val="none"/>
          <w:lang w:val="zh-CN"/>
        </w:rPr>
        <w:t>报价形式进行。</w:t>
      </w:r>
      <w:r>
        <w:rPr>
          <w:rFonts w:hint="eastAsia" w:ascii="宋体" w:hAnsi="宋体" w:eastAsia="宋体" w:cs="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0"/>
        </w:numPr>
        <w:bidi w:val="0"/>
        <w:spacing w:line="360" w:lineRule="auto"/>
        <w:ind w:firstLine="0" w:firstLineChars="0"/>
        <w:outlineLvl w:val="9"/>
        <w:rPr>
          <w:rFonts w:hint="eastAsia" w:ascii="宋体" w:hAnsi="宋体" w:eastAsia="宋体" w:cs="宋体"/>
          <w:b w:val="0"/>
          <w:color w:val="auto"/>
          <w:sz w:val="21"/>
          <w:szCs w:val="22"/>
          <w:highlight w:val="none"/>
          <w:lang w:val="zh-CN"/>
        </w:rPr>
      </w:pPr>
      <w:r>
        <w:rPr>
          <w:rFonts w:hint="eastAsia" w:ascii="宋体" w:hAnsi="宋体" w:eastAsia="宋体" w:cs="宋体"/>
          <w:b w:val="0"/>
          <w:color w:val="auto"/>
          <w:sz w:val="21"/>
          <w:szCs w:val="22"/>
          <w:highlight w:val="none"/>
          <w:lang w:val="zh-CN"/>
        </w:rPr>
        <w:t>（</w:t>
      </w:r>
      <w:r>
        <w:rPr>
          <w:rFonts w:hint="eastAsia" w:ascii="宋体" w:hAnsi="宋体" w:eastAsia="宋体" w:cs="宋体"/>
          <w:b w:val="0"/>
          <w:color w:val="auto"/>
          <w:sz w:val="21"/>
          <w:szCs w:val="22"/>
          <w:highlight w:val="none"/>
          <w:lang w:val="en-US" w:eastAsia="zh-CN"/>
        </w:rPr>
        <w:t>二</w:t>
      </w:r>
      <w:r>
        <w:rPr>
          <w:rFonts w:hint="eastAsia" w:ascii="宋体" w:hAnsi="宋体" w:eastAsia="宋体" w:cs="宋体"/>
          <w:b w:val="0"/>
          <w:color w:val="auto"/>
          <w:sz w:val="21"/>
          <w:szCs w:val="22"/>
          <w:highlight w:val="none"/>
          <w:lang w:val="zh-CN"/>
        </w:rPr>
        <w:t>）</w:t>
      </w:r>
      <w:r>
        <w:rPr>
          <w:rFonts w:hint="eastAsia" w:ascii="宋体" w:hAnsi="宋体" w:eastAsia="宋体" w:cs="宋体"/>
          <w:b w:val="0"/>
          <w:color w:val="auto"/>
          <w:sz w:val="21"/>
          <w:szCs w:val="22"/>
          <w:highlight w:val="none"/>
          <w:lang w:val="en-US" w:eastAsia="zh-CN"/>
        </w:rPr>
        <w:t>响应文件</w:t>
      </w:r>
      <w:r>
        <w:rPr>
          <w:rFonts w:hint="eastAsia" w:ascii="宋体" w:hAnsi="宋体" w:eastAsia="宋体" w:cs="宋体"/>
          <w:b w:val="0"/>
          <w:color w:val="auto"/>
          <w:sz w:val="21"/>
          <w:szCs w:val="22"/>
          <w:highlight w:val="none"/>
          <w:lang w:val="zh-CN"/>
        </w:rPr>
        <w:t>差异修正准则</w:t>
      </w:r>
    </w:p>
    <w:p>
      <w:pPr>
        <w:tabs>
          <w:tab w:val="left" w:pos="0"/>
        </w:tabs>
        <w:bidi w:val="0"/>
        <w:spacing w:line="360" w:lineRule="auto"/>
        <w:ind w:left="0"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rPr>
        <w:t>出现差异时，修正原则及优先修正顺序如下：</w:t>
      </w:r>
    </w:p>
    <w:p>
      <w:pPr>
        <w:tabs>
          <w:tab w:val="left" w:pos="0"/>
        </w:tabs>
        <w:spacing w:before="0" w:after="0" w:line="360" w:lineRule="auto"/>
        <w:ind w:firstLine="630" w:firstLineChars="3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2"/>
          <w:highlight w:val="none"/>
          <w:lang w:val="en-US" w:eastAsia="zh-CN"/>
        </w:rPr>
        <w:t>1</w:t>
      </w:r>
      <w:r>
        <w:rPr>
          <w:rFonts w:hint="eastAsia" w:ascii="宋体" w:hAnsi="宋体" w:eastAsia="宋体" w:cs="宋体"/>
          <w:color w:val="auto"/>
          <w:sz w:val="21"/>
          <w:szCs w:val="22"/>
          <w:highlight w:val="none"/>
          <w:lang w:val="en-US" w:eastAsia="zh-CN"/>
        </w:rPr>
        <w:t>.开标</w:t>
      </w:r>
      <w:r>
        <w:rPr>
          <w:rFonts w:hint="eastAsia" w:ascii="宋体" w:hAnsi="宋体" w:eastAsia="宋体" w:cs="宋体"/>
          <w:b w:val="0"/>
          <w:color w:val="auto"/>
          <w:sz w:val="21"/>
          <w:szCs w:val="21"/>
          <w:highlight w:val="none"/>
        </w:rPr>
        <w:t>内容与</w:t>
      </w:r>
      <w:r>
        <w:rPr>
          <w:rFonts w:hint="eastAsia" w:ascii="宋体" w:hAnsi="宋体" w:eastAsia="宋体" w:cs="宋体"/>
          <w:b w:val="0"/>
          <w:color w:val="auto"/>
          <w:sz w:val="21"/>
          <w:szCs w:val="21"/>
          <w:highlight w:val="none"/>
          <w:lang w:val="en-US" w:eastAsia="zh-CN"/>
        </w:rPr>
        <w:t>响应文件</w:t>
      </w:r>
      <w:r>
        <w:rPr>
          <w:rFonts w:hint="eastAsia" w:ascii="宋体" w:hAnsi="宋体" w:eastAsia="宋体" w:cs="宋体"/>
          <w:b w:val="0"/>
          <w:color w:val="auto"/>
          <w:sz w:val="21"/>
          <w:szCs w:val="21"/>
          <w:highlight w:val="none"/>
        </w:rPr>
        <w:t>对应内容不一致的，均以开标内容为准；</w:t>
      </w:r>
    </w:p>
    <w:p>
      <w:pPr>
        <w:tabs>
          <w:tab w:val="left" w:pos="0"/>
        </w:tabs>
        <w:spacing w:before="0" w:after="0" w:line="360" w:lineRule="auto"/>
        <w:ind w:firstLine="630" w:firstLineChars="3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2"/>
          <w:highlight w:val="none"/>
          <w:lang w:val="en-US" w:eastAsia="zh-CN"/>
        </w:rPr>
        <w:t>2.</w:t>
      </w:r>
      <w:r>
        <w:rPr>
          <w:rFonts w:hint="eastAsia" w:ascii="宋体" w:hAnsi="宋体" w:eastAsia="宋体" w:cs="宋体"/>
          <w:b w:val="0"/>
          <w:color w:val="auto"/>
          <w:sz w:val="21"/>
          <w:szCs w:val="21"/>
          <w:highlight w:val="none"/>
        </w:rPr>
        <w:t>开标一览表与分项明细表或其它相关报价表报价不一致的，均以开标一览表为准；</w:t>
      </w:r>
    </w:p>
    <w:p>
      <w:pPr>
        <w:tabs>
          <w:tab w:val="left" w:pos="0"/>
        </w:tabs>
        <w:spacing w:before="0" w:after="0" w:line="360" w:lineRule="auto"/>
        <w:ind w:firstLine="630" w:firstLineChars="3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2"/>
          <w:highlight w:val="none"/>
          <w:lang w:val="en-US" w:eastAsia="zh-CN"/>
        </w:rPr>
        <w:t>3</w:t>
      </w:r>
      <w:r>
        <w:rPr>
          <w:rFonts w:hint="eastAsia" w:ascii="宋体" w:hAnsi="宋体" w:eastAsia="宋体" w:cs="宋体"/>
          <w:b w:val="0"/>
          <w:color w:val="auto"/>
          <w:sz w:val="21"/>
          <w:szCs w:val="21"/>
          <w:highlight w:val="none"/>
        </w:rPr>
        <w:t>分项报价表中的单价与对应的合计价不相符的，以单价为准，修正对应的该项合计价；</w:t>
      </w:r>
    </w:p>
    <w:p>
      <w:pPr>
        <w:tabs>
          <w:tab w:val="left" w:pos="0"/>
        </w:tabs>
        <w:spacing w:before="0" w:after="0" w:line="360" w:lineRule="auto"/>
        <w:ind w:firstLine="630" w:firstLineChars="3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2"/>
          <w:highlight w:val="none"/>
          <w:lang w:val="en-US" w:eastAsia="zh-CN"/>
        </w:rPr>
        <w:t>4.</w:t>
      </w:r>
      <w:r>
        <w:rPr>
          <w:rFonts w:hint="eastAsia" w:ascii="宋体" w:hAnsi="宋体" w:eastAsia="宋体" w:cs="宋体"/>
          <w:b w:val="0"/>
          <w:color w:val="auto"/>
          <w:sz w:val="21"/>
          <w:szCs w:val="21"/>
          <w:highlight w:val="none"/>
        </w:rPr>
        <w:t>大写金额和小写金额不一致的，以大写金额为准；</w:t>
      </w:r>
    </w:p>
    <w:p>
      <w:pPr>
        <w:tabs>
          <w:tab w:val="left" w:pos="0"/>
        </w:tabs>
        <w:spacing w:before="0" w:after="0" w:line="360" w:lineRule="auto"/>
        <w:ind w:firstLine="630" w:firstLineChars="3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2"/>
          <w:highlight w:val="none"/>
          <w:lang w:val="en-US" w:eastAsia="zh-CN"/>
        </w:rPr>
        <w:t>5.</w:t>
      </w:r>
      <w:r>
        <w:rPr>
          <w:rFonts w:hint="eastAsia" w:ascii="宋体" w:hAnsi="宋体" w:eastAsia="宋体" w:cs="宋体"/>
          <w:b w:val="0"/>
          <w:color w:val="auto"/>
          <w:sz w:val="21"/>
          <w:szCs w:val="21"/>
          <w:highlight w:val="none"/>
        </w:rPr>
        <w:t>单价金额小数点有明显错位的，应以总价为准，并修改单价；</w:t>
      </w:r>
    </w:p>
    <w:p>
      <w:pPr>
        <w:tabs>
          <w:tab w:val="left" w:pos="0"/>
        </w:tabs>
        <w:spacing w:before="0" w:after="0" w:line="360" w:lineRule="auto"/>
        <w:ind w:firstLine="630" w:firstLineChars="3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2"/>
          <w:highlight w:val="none"/>
          <w:lang w:val="en-US" w:eastAsia="zh-CN"/>
        </w:rPr>
        <w:t>6.</w:t>
      </w:r>
      <w:r>
        <w:rPr>
          <w:rFonts w:hint="eastAsia" w:ascii="宋体" w:hAnsi="宋体" w:eastAsia="宋体" w:cs="宋体"/>
          <w:b w:val="0"/>
          <w:color w:val="auto"/>
          <w:sz w:val="21"/>
          <w:szCs w:val="21"/>
          <w:highlight w:val="none"/>
        </w:rPr>
        <w:t>对不同文字文本</w:t>
      </w:r>
      <w:r>
        <w:rPr>
          <w:rFonts w:hint="eastAsia" w:ascii="宋体" w:hAnsi="宋体" w:eastAsia="宋体" w:cs="宋体"/>
          <w:b w:val="0"/>
          <w:color w:val="auto"/>
          <w:sz w:val="21"/>
          <w:szCs w:val="21"/>
          <w:highlight w:val="none"/>
          <w:lang w:val="en-US" w:eastAsia="zh-CN"/>
        </w:rPr>
        <w:t>响应文件</w:t>
      </w:r>
      <w:r>
        <w:rPr>
          <w:rFonts w:hint="eastAsia" w:ascii="宋体" w:hAnsi="宋体" w:eastAsia="宋体" w:cs="宋体"/>
          <w:b w:val="0"/>
          <w:color w:val="auto"/>
          <w:sz w:val="21"/>
          <w:szCs w:val="21"/>
          <w:highlight w:val="none"/>
        </w:rPr>
        <w:t>的解释发生异议的，以中文文本为准；</w:t>
      </w:r>
    </w:p>
    <w:p>
      <w:pPr>
        <w:tabs>
          <w:tab w:val="left" w:pos="0"/>
        </w:tabs>
        <w:spacing w:before="0" w:after="0" w:line="360" w:lineRule="auto"/>
        <w:ind w:firstLine="630" w:firstLineChars="3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2"/>
          <w:highlight w:val="none"/>
          <w:lang w:val="en-US" w:eastAsia="zh-CN"/>
        </w:rPr>
        <w:t>7.</w:t>
      </w:r>
      <w:r>
        <w:rPr>
          <w:rFonts w:hint="eastAsia" w:ascii="宋体" w:hAnsi="宋体" w:eastAsia="宋体" w:cs="宋体"/>
          <w:b w:val="0"/>
          <w:color w:val="auto"/>
          <w:sz w:val="21"/>
          <w:szCs w:val="22"/>
          <w:highlight w:val="none"/>
        </w:rPr>
        <w:t>对</w:t>
      </w:r>
      <w:r>
        <w:rPr>
          <w:rFonts w:hint="eastAsia" w:ascii="宋体" w:hAnsi="宋体" w:eastAsia="宋体" w:cs="宋体"/>
          <w:b w:val="0"/>
          <w:color w:val="auto"/>
          <w:sz w:val="21"/>
          <w:szCs w:val="21"/>
          <w:highlight w:val="none"/>
        </w:rPr>
        <w:t>出现以上情况或因明显笔误而需修正任何内容时，均以</w:t>
      </w:r>
      <w:r>
        <w:rPr>
          <w:rFonts w:hint="eastAsia" w:ascii="宋体" w:hAnsi="宋体" w:eastAsia="宋体" w:cs="宋体"/>
          <w:b w:val="0"/>
          <w:color w:val="auto"/>
          <w:sz w:val="21"/>
          <w:szCs w:val="21"/>
          <w:highlight w:val="none"/>
          <w:lang w:val="en-US" w:eastAsia="zh-CN"/>
        </w:rPr>
        <w:t>磋商</w:t>
      </w:r>
      <w:r>
        <w:rPr>
          <w:rFonts w:hint="eastAsia" w:ascii="宋体" w:hAnsi="宋体" w:eastAsia="宋体" w:cs="宋体"/>
          <w:b w:val="0"/>
          <w:color w:val="auto"/>
          <w:sz w:val="21"/>
          <w:szCs w:val="21"/>
          <w:highlight w:val="none"/>
        </w:rPr>
        <w:t>小组审定通过方为有效；</w:t>
      </w:r>
    </w:p>
    <w:p>
      <w:pPr>
        <w:tabs>
          <w:tab w:val="left" w:pos="0"/>
        </w:tabs>
        <w:spacing w:before="0" w:after="0" w:line="360" w:lineRule="auto"/>
        <w:ind w:firstLine="630" w:firstLineChars="3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2"/>
          <w:highlight w:val="none"/>
          <w:lang w:val="en-US" w:eastAsia="zh-CN"/>
        </w:rPr>
        <w:t>8.</w:t>
      </w:r>
      <w:r>
        <w:rPr>
          <w:rFonts w:hint="eastAsia" w:ascii="宋体" w:hAnsi="宋体" w:eastAsia="宋体" w:cs="宋体"/>
          <w:b w:val="0"/>
          <w:color w:val="auto"/>
          <w:sz w:val="21"/>
          <w:szCs w:val="22"/>
          <w:highlight w:val="none"/>
        </w:rPr>
        <w:t>对</w:t>
      </w:r>
      <w:r>
        <w:rPr>
          <w:rFonts w:hint="eastAsia" w:ascii="宋体" w:hAnsi="宋体" w:eastAsia="宋体" w:cs="宋体"/>
          <w:b w:val="0"/>
          <w:color w:val="auto"/>
          <w:sz w:val="21"/>
          <w:szCs w:val="21"/>
          <w:highlight w:val="none"/>
        </w:rPr>
        <w:t>采购项目的关键、主要内容，</w:t>
      </w:r>
      <w:r>
        <w:rPr>
          <w:rFonts w:hint="eastAsia" w:ascii="宋体" w:hAnsi="宋体" w:eastAsia="宋体" w:cs="宋体"/>
          <w:b w:val="0"/>
          <w:color w:val="auto"/>
          <w:sz w:val="21"/>
          <w:szCs w:val="21"/>
          <w:highlight w:val="none"/>
          <w:lang w:val="en-US" w:eastAsia="zh-CN"/>
        </w:rPr>
        <w:t>供应商</w:t>
      </w:r>
      <w:r>
        <w:rPr>
          <w:rFonts w:hint="eastAsia" w:ascii="宋体" w:hAnsi="宋体" w:eastAsia="宋体" w:cs="宋体"/>
          <w:b w:val="0"/>
          <w:color w:val="auto"/>
          <w:sz w:val="21"/>
          <w:szCs w:val="21"/>
          <w:highlight w:val="none"/>
        </w:rPr>
        <w:t>报价漏项的，作非实质性响应处理；</w:t>
      </w:r>
    </w:p>
    <w:p>
      <w:pPr>
        <w:tabs>
          <w:tab w:val="left" w:pos="0"/>
        </w:tabs>
        <w:spacing w:before="0" w:after="0" w:line="360" w:lineRule="auto"/>
        <w:ind w:firstLine="630" w:firstLineChars="3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2"/>
          <w:highlight w:val="none"/>
          <w:lang w:val="en-US" w:eastAsia="zh-CN"/>
        </w:rPr>
        <w:t>9.</w:t>
      </w:r>
      <w:r>
        <w:rPr>
          <w:rFonts w:hint="eastAsia" w:ascii="宋体" w:hAnsi="宋体" w:eastAsia="宋体" w:cs="宋体"/>
          <w:b w:val="0"/>
          <w:color w:val="auto"/>
          <w:sz w:val="21"/>
          <w:szCs w:val="21"/>
          <w:highlight w:val="none"/>
          <w:lang w:val="en-US" w:eastAsia="zh-CN"/>
        </w:rPr>
        <w:t>磋商</w:t>
      </w:r>
      <w:r>
        <w:rPr>
          <w:rFonts w:hint="eastAsia" w:ascii="宋体" w:hAnsi="宋体" w:eastAsia="宋体" w:cs="宋体"/>
          <w:b w:val="0"/>
          <w:color w:val="auto"/>
          <w:sz w:val="21"/>
          <w:szCs w:val="21"/>
          <w:highlight w:val="none"/>
        </w:rPr>
        <w:t>小组认定为表述不清晰或无法确定的报价均不予修正。</w:t>
      </w:r>
    </w:p>
    <w:p>
      <w:pPr>
        <w:numPr>
          <w:ilvl w:val="0"/>
          <w:numId w:val="0"/>
        </w:numPr>
        <w:bidi w:val="0"/>
        <w:spacing w:line="360" w:lineRule="auto"/>
        <w:outlineLvl w:val="9"/>
        <w:rPr>
          <w:rFonts w:hint="eastAsia" w:ascii="宋体" w:hAnsi="宋体" w:eastAsia="宋体" w:cs="宋体"/>
          <w:b w:val="0"/>
          <w:color w:val="auto"/>
          <w:sz w:val="21"/>
          <w:szCs w:val="22"/>
          <w:highlight w:val="none"/>
          <w:lang w:val="zh-CN"/>
        </w:rPr>
      </w:pPr>
      <w:r>
        <w:rPr>
          <w:rFonts w:hint="eastAsia" w:ascii="宋体" w:hAnsi="宋体" w:eastAsia="宋体" w:cs="宋体"/>
          <w:b w:val="0"/>
          <w:color w:val="auto"/>
          <w:sz w:val="21"/>
          <w:szCs w:val="22"/>
          <w:highlight w:val="none"/>
          <w:lang w:val="zh-CN"/>
        </w:rPr>
        <w:t>（</w:t>
      </w:r>
      <w:r>
        <w:rPr>
          <w:rFonts w:hint="eastAsia" w:ascii="宋体" w:hAnsi="宋体" w:eastAsia="宋体" w:cs="宋体"/>
          <w:b w:val="0"/>
          <w:color w:val="auto"/>
          <w:sz w:val="21"/>
          <w:szCs w:val="22"/>
          <w:highlight w:val="none"/>
          <w:lang w:val="en-US" w:eastAsia="zh-CN"/>
        </w:rPr>
        <w:t>三</w:t>
      </w:r>
      <w:r>
        <w:rPr>
          <w:rFonts w:hint="eastAsia" w:ascii="宋体" w:hAnsi="宋体" w:eastAsia="宋体" w:cs="宋体"/>
          <w:b w:val="0"/>
          <w:color w:val="auto"/>
          <w:sz w:val="21"/>
          <w:szCs w:val="22"/>
          <w:highlight w:val="none"/>
          <w:lang w:val="zh-CN"/>
        </w:rPr>
        <w:t>）</w:t>
      </w:r>
      <w:r>
        <w:rPr>
          <w:rFonts w:hint="eastAsia" w:ascii="宋体" w:hAnsi="宋体" w:eastAsia="宋体" w:cs="宋体"/>
          <w:b w:val="0"/>
          <w:color w:val="auto"/>
          <w:sz w:val="21"/>
          <w:szCs w:val="22"/>
          <w:highlight w:val="none"/>
          <w:lang w:val="en-US" w:eastAsia="zh-CN"/>
        </w:rPr>
        <w:t>响应文件</w:t>
      </w:r>
      <w:r>
        <w:rPr>
          <w:rFonts w:hint="eastAsia" w:ascii="宋体" w:hAnsi="宋体" w:eastAsia="宋体" w:cs="宋体"/>
          <w:b w:val="0"/>
          <w:color w:val="auto"/>
          <w:sz w:val="21"/>
          <w:szCs w:val="22"/>
          <w:highlight w:val="none"/>
          <w:lang w:val="zh-CN"/>
        </w:rPr>
        <w:t>的澄清、说明或更正</w:t>
      </w:r>
    </w:p>
    <w:p>
      <w:pPr>
        <w:widowControl/>
        <w:numPr>
          <w:ilvl w:val="0"/>
          <w:numId w:val="0"/>
        </w:numPr>
        <w:tabs>
          <w:tab w:val="left" w:pos="0"/>
          <w:tab w:val="left" w:pos="840"/>
        </w:tabs>
        <w:bidi w:val="0"/>
        <w:spacing w:line="360" w:lineRule="auto"/>
        <w:ind w:left="0" w:firstLine="630" w:firstLineChars="300"/>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2"/>
          <w:highlight w:val="none"/>
          <w:lang w:val="en-US" w:eastAsia="zh-CN"/>
        </w:rPr>
        <w:t>1.</w:t>
      </w:r>
      <w:r>
        <w:rPr>
          <w:rFonts w:hint="eastAsia" w:ascii="宋体" w:hAnsi="宋体" w:eastAsia="宋体" w:cs="宋体"/>
          <w:bCs w:val="0"/>
          <w:color w:val="auto"/>
          <w:sz w:val="21"/>
          <w:szCs w:val="21"/>
          <w:highlight w:val="none"/>
          <w:lang w:val="en-US" w:eastAsia="zh-CN"/>
        </w:rPr>
        <w:t>磋商</w:t>
      </w:r>
      <w:r>
        <w:rPr>
          <w:rFonts w:hint="eastAsia" w:ascii="宋体" w:hAnsi="宋体" w:eastAsia="宋体" w:cs="宋体"/>
          <w:bCs w:val="0"/>
          <w:color w:val="auto"/>
          <w:sz w:val="21"/>
          <w:szCs w:val="21"/>
          <w:highlight w:val="none"/>
        </w:rPr>
        <w:t>小组在对</w:t>
      </w:r>
      <w:r>
        <w:rPr>
          <w:rFonts w:hint="eastAsia" w:ascii="宋体" w:hAnsi="宋体" w:eastAsia="宋体" w:cs="宋体"/>
          <w:bCs w:val="0"/>
          <w:color w:val="auto"/>
          <w:sz w:val="21"/>
          <w:szCs w:val="21"/>
          <w:highlight w:val="none"/>
          <w:lang w:val="en-US" w:eastAsia="zh-CN"/>
        </w:rPr>
        <w:t>响应文件</w:t>
      </w:r>
      <w:r>
        <w:rPr>
          <w:rFonts w:hint="eastAsia" w:ascii="宋体" w:hAnsi="宋体" w:eastAsia="宋体" w:cs="宋体"/>
          <w:bCs w:val="0"/>
          <w:color w:val="auto"/>
          <w:sz w:val="21"/>
          <w:szCs w:val="21"/>
          <w:highlight w:val="none"/>
        </w:rPr>
        <w:t>的有效性、完整性和响应程度进行审查时，可以要求</w:t>
      </w:r>
      <w:r>
        <w:rPr>
          <w:rFonts w:hint="eastAsia" w:ascii="宋体" w:hAnsi="宋体" w:eastAsia="宋体" w:cs="宋体"/>
          <w:bCs w:val="0"/>
          <w:color w:val="auto"/>
          <w:sz w:val="21"/>
          <w:szCs w:val="21"/>
          <w:highlight w:val="none"/>
          <w:lang w:val="en-US" w:eastAsia="zh-CN"/>
        </w:rPr>
        <w:t>供应商</w:t>
      </w:r>
      <w:r>
        <w:rPr>
          <w:rFonts w:hint="eastAsia" w:ascii="宋体" w:hAnsi="宋体" w:eastAsia="宋体" w:cs="宋体"/>
          <w:bCs w:val="0"/>
          <w:color w:val="auto"/>
          <w:sz w:val="21"/>
          <w:szCs w:val="21"/>
          <w:highlight w:val="none"/>
        </w:rPr>
        <w:t>对</w:t>
      </w:r>
      <w:r>
        <w:rPr>
          <w:rFonts w:hint="eastAsia" w:ascii="宋体" w:hAnsi="宋体" w:eastAsia="宋体" w:cs="宋体"/>
          <w:bCs w:val="0"/>
          <w:color w:val="auto"/>
          <w:sz w:val="21"/>
          <w:szCs w:val="21"/>
          <w:highlight w:val="none"/>
          <w:lang w:val="en-US" w:eastAsia="zh-CN"/>
        </w:rPr>
        <w:t>响应文件</w:t>
      </w:r>
      <w:r>
        <w:rPr>
          <w:rFonts w:hint="eastAsia" w:ascii="宋体" w:hAnsi="宋体" w:eastAsia="宋体" w:cs="宋体"/>
          <w:bCs w:val="0"/>
          <w:color w:val="auto"/>
          <w:sz w:val="21"/>
          <w:szCs w:val="21"/>
          <w:highlight w:val="none"/>
        </w:rPr>
        <w:t>中含义不明确、同类问题表述不一致或者有明显文字和计算错误的内容等作出必要的澄清、说明或者更正。供应商的澄清、说明或者更正不得超出</w:t>
      </w:r>
      <w:r>
        <w:rPr>
          <w:rFonts w:hint="eastAsia" w:ascii="宋体" w:hAnsi="宋体" w:eastAsia="宋体" w:cs="宋体"/>
          <w:bCs w:val="0"/>
          <w:color w:val="auto"/>
          <w:sz w:val="21"/>
          <w:szCs w:val="21"/>
          <w:highlight w:val="none"/>
          <w:lang w:val="en-US" w:eastAsia="zh-CN"/>
        </w:rPr>
        <w:t>响应文件</w:t>
      </w:r>
      <w:r>
        <w:rPr>
          <w:rFonts w:hint="eastAsia" w:ascii="宋体" w:hAnsi="宋体" w:eastAsia="宋体" w:cs="宋体"/>
          <w:bCs w:val="0"/>
          <w:color w:val="auto"/>
          <w:sz w:val="21"/>
          <w:szCs w:val="21"/>
          <w:highlight w:val="none"/>
        </w:rPr>
        <w:t>的范围或者改变</w:t>
      </w:r>
      <w:r>
        <w:rPr>
          <w:rFonts w:hint="eastAsia" w:ascii="宋体" w:hAnsi="宋体" w:eastAsia="宋体" w:cs="宋体"/>
          <w:bCs w:val="0"/>
          <w:color w:val="auto"/>
          <w:sz w:val="21"/>
          <w:szCs w:val="21"/>
          <w:highlight w:val="none"/>
          <w:lang w:val="en-US" w:eastAsia="zh-CN"/>
        </w:rPr>
        <w:t>响应文件</w:t>
      </w:r>
      <w:r>
        <w:rPr>
          <w:rFonts w:hint="eastAsia" w:ascii="宋体" w:hAnsi="宋体" w:eastAsia="宋体" w:cs="宋体"/>
          <w:bCs w:val="0"/>
          <w:color w:val="auto"/>
          <w:sz w:val="21"/>
          <w:szCs w:val="21"/>
          <w:highlight w:val="none"/>
        </w:rPr>
        <w:t>的实质性内容。</w:t>
      </w:r>
    </w:p>
    <w:p>
      <w:pPr>
        <w:widowControl/>
        <w:numPr>
          <w:ilvl w:val="0"/>
          <w:numId w:val="0"/>
        </w:numPr>
        <w:tabs>
          <w:tab w:val="left" w:pos="0"/>
          <w:tab w:val="left" w:pos="840"/>
        </w:tabs>
        <w:bidi w:val="0"/>
        <w:spacing w:line="360" w:lineRule="auto"/>
        <w:ind w:left="0" w:firstLine="630" w:firstLineChars="300"/>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2"/>
          <w:highlight w:val="none"/>
          <w:lang w:val="en-US" w:eastAsia="zh-CN"/>
        </w:rPr>
        <w:t>2.</w:t>
      </w:r>
      <w:r>
        <w:rPr>
          <w:rFonts w:hint="eastAsia" w:ascii="宋体" w:hAnsi="宋体" w:eastAsia="宋体" w:cs="宋体"/>
          <w:bCs w:val="0"/>
          <w:color w:val="auto"/>
          <w:sz w:val="21"/>
          <w:szCs w:val="21"/>
          <w:highlight w:val="none"/>
          <w:lang w:val="en-US" w:eastAsia="zh-CN"/>
        </w:rPr>
        <w:t>磋商</w:t>
      </w:r>
      <w:r>
        <w:rPr>
          <w:rFonts w:hint="eastAsia" w:ascii="宋体" w:hAnsi="宋体" w:eastAsia="宋体" w:cs="宋体"/>
          <w:bCs w:val="0"/>
          <w:color w:val="auto"/>
          <w:sz w:val="21"/>
          <w:szCs w:val="21"/>
          <w:highlight w:val="none"/>
        </w:rPr>
        <w:t>小组要求供应商澄清、说明或者更正</w:t>
      </w:r>
      <w:r>
        <w:rPr>
          <w:rFonts w:hint="eastAsia" w:ascii="宋体" w:hAnsi="宋体" w:eastAsia="宋体" w:cs="宋体"/>
          <w:bCs w:val="0"/>
          <w:color w:val="auto"/>
          <w:sz w:val="21"/>
          <w:szCs w:val="21"/>
          <w:highlight w:val="none"/>
          <w:lang w:val="en-US" w:eastAsia="zh-CN"/>
        </w:rPr>
        <w:t>响应文件</w:t>
      </w:r>
      <w:r>
        <w:rPr>
          <w:rFonts w:hint="eastAsia" w:ascii="宋体" w:hAnsi="宋体" w:eastAsia="宋体" w:cs="宋体"/>
          <w:b w:val="0"/>
          <w:bCs w:val="0"/>
          <w:color w:val="auto"/>
          <w:sz w:val="21"/>
          <w:szCs w:val="21"/>
          <w:highlight w:val="none"/>
        </w:rPr>
        <w:t>应当以书面形式作出</w:t>
      </w:r>
      <w:r>
        <w:rPr>
          <w:rFonts w:hint="eastAsia" w:ascii="宋体" w:hAnsi="宋体" w:eastAsia="宋体" w:cs="宋体"/>
          <w:bCs w:val="0"/>
          <w:color w:val="auto"/>
          <w:sz w:val="21"/>
          <w:szCs w:val="21"/>
          <w:highlight w:val="none"/>
        </w:rPr>
        <w:t>。供应商的澄清、说明或者更正应当由法定代表人或其授权代表签字或者加盖公章。</w:t>
      </w:r>
    </w:p>
    <w:p>
      <w:pPr>
        <w:widowControl/>
        <w:numPr>
          <w:ilvl w:val="0"/>
          <w:numId w:val="0"/>
        </w:numPr>
        <w:tabs>
          <w:tab w:val="left" w:pos="0"/>
          <w:tab w:val="left" w:pos="840"/>
        </w:tabs>
        <w:bidi w:val="0"/>
        <w:spacing w:line="360" w:lineRule="auto"/>
        <w:ind w:left="0" w:firstLine="630" w:firstLineChars="300"/>
        <w:rPr>
          <w:rFonts w:hint="eastAsia" w:ascii="宋体" w:hAnsi="宋体" w:eastAsia="宋体" w:cs="宋体"/>
          <w:color w:val="auto"/>
          <w:sz w:val="21"/>
          <w:szCs w:val="21"/>
          <w:highlight w:val="none"/>
        </w:rPr>
      </w:pPr>
      <w:r>
        <w:rPr>
          <w:rFonts w:hint="eastAsia" w:ascii="宋体" w:hAnsi="宋体" w:eastAsia="宋体" w:cs="宋体"/>
          <w:bCs w:val="0"/>
          <w:color w:val="auto"/>
          <w:sz w:val="21"/>
          <w:szCs w:val="22"/>
          <w:highlight w:val="none"/>
          <w:lang w:val="en-US" w:eastAsia="zh-CN"/>
        </w:rPr>
        <w:t>3.磋商</w:t>
      </w:r>
      <w:r>
        <w:rPr>
          <w:rFonts w:hint="eastAsia" w:ascii="宋体" w:hAnsi="宋体" w:eastAsia="宋体" w:cs="宋体"/>
          <w:bCs w:val="0"/>
          <w:color w:val="auto"/>
          <w:sz w:val="21"/>
          <w:szCs w:val="21"/>
          <w:highlight w:val="none"/>
        </w:rPr>
        <w:t>小组均应当阅读供应商的澄清、说明或者更正，但应独立参考澄清、说明或者更正对</w:t>
      </w:r>
      <w:r>
        <w:rPr>
          <w:rFonts w:hint="eastAsia" w:ascii="宋体" w:hAnsi="宋体" w:eastAsia="宋体" w:cs="宋体"/>
          <w:bCs w:val="0"/>
          <w:color w:val="auto"/>
          <w:sz w:val="21"/>
          <w:szCs w:val="21"/>
          <w:highlight w:val="none"/>
          <w:lang w:eastAsia="zh-CN"/>
        </w:rPr>
        <w:t>响应文件</w:t>
      </w:r>
      <w:r>
        <w:rPr>
          <w:rFonts w:hint="eastAsia" w:ascii="宋体" w:hAnsi="宋体" w:eastAsia="宋体" w:cs="宋体"/>
          <w:bCs w:val="0"/>
          <w:color w:val="auto"/>
          <w:sz w:val="21"/>
          <w:szCs w:val="21"/>
          <w:highlight w:val="none"/>
        </w:rPr>
        <w:t>进行评审，整个澄清、说明或者更正的过程不得存在排斥潜在供应商的现象。</w:t>
      </w:r>
    </w:p>
    <w:p>
      <w:pPr>
        <w:widowControl/>
        <w:numPr>
          <w:ilvl w:val="0"/>
          <w:numId w:val="0"/>
        </w:numPr>
        <w:tabs>
          <w:tab w:val="left" w:pos="0"/>
          <w:tab w:val="left" w:pos="840"/>
        </w:tabs>
        <w:bidi w:val="0"/>
        <w:spacing w:line="360" w:lineRule="auto"/>
        <w:ind w:left="0"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2"/>
          <w:highlight w:val="none"/>
          <w:lang w:val="en-US" w:eastAsia="zh-CN"/>
        </w:rPr>
        <w:t>4.</w:t>
      </w:r>
      <w:r>
        <w:rPr>
          <w:rFonts w:hint="eastAsia" w:ascii="宋体" w:hAnsi="宋体" w:eastAsia="宋体" w:cs="宋体"/>
          <w:color w:val="auto"/>
          <w:sz w:val="21"/>
          <w:szCs w:val="21"/>
          <w:highlight w:val="none"/>
        </w:rPr>
        <w:t>除上述规定的</w:t>
      </w:r>
      <w:r>
        <w:rPr>
          <w:rFonts w:hint="eastAsia" w:ascii="宋体" w:hAnsi="宋体" w:eastAsia="宋体" w:cs="宋体"/>
          <w:color w:val="auto"/>
          <w:kern w:val="2"/>
          <w:sz w:val="21"/>
          <w:szCs w:val="21"/>
          <w:highlight w:val="none"/>
        </w:rPr>
        <w:t>情形</w:t>
      </w:r>
      <w:r>
        <w:rPr>
          <w:rFonts w:hint="eastAsia" w:ascii="宋体" w:hAnsi="宋体" w:eastAsia="宋体" w:cs="宋体"/>
          <w:color w:val="auto"/>
          <w:sz w:val="21"/>
          <w:szCs w:val="21"/>
          <w:highlight w:val="none"/>
        </w:rPr>
        <w:t>之外，</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小组在评审过程中，不得接收来自评审现场以外的任何形式的文件资料。</w:t>
      </w:r>
    </w:p>
    <w:p>
      <w:pPr>
        <w:widowControl/>
        <w:numPr>
          <w:ilvl w:val="0"/>
          <w:numId w:val="0"/>
        </w:numPr>
        <w:bidi w:val="0"/>
        <w:spacing w:line="360" w:lineRule="auto"/>
        <w:ind w:left="0" w:firstLine="0" w:firstLineChars="0"/>
        <w:outlineLvl w:val="9"/>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lang w:eastAsia="zh-CN"/>
        </w:rPr>
        <w:t>（</w:t>
      </w:r>
      <w:r>
        <w:rPr>
          <w:rFonts w:hint="eastAsia" w:ascii="宋体" w:hAnsi="宋体" w:eastAsia="宋体" w:cs="宋体"/>
          <w:color w:val="auto"/>
          <w:sz w:val="21"/>
          <w:szCs w:val="22"/>
          <w:highlight w:val="none"/>
          <w:lang w:val="en-US" w:eastAsia="zh-CN"/>
        </w:rPr>
        <w:t>四</w:t>
      </w:r>
      <w:r>
        <w:rPr>
          <w:rFonts w:hint="eastAsia" w:ascii="宋体" w:hAnsi="宋体" w:eastAsia="宋体" w:cs="宋体"/>
          <w:color w:val="auto"/>
          <w:sz w:val="21"/>
          <w:szCs w:val="22"/>
          <w:highlight w:val="none"/>
          <w:lang w:eastAsia="zh-CN"/>
        </w:rPr>
        <w:t>）</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小组认为，供应商的报价明显不合理或者明显低于其他供应商报价，有可能影响商品质量和不能诚信履约的，应当要求该供应商作出书面说明并提供相关证明材料。供应商不能合理说明或者不能提供相关证明材料的，由</w:t>
      </w:r>
      <w:r>
        <w:rPr>
          <w:rFonts w:hint="eastAsia" w:ascii="宋体" w:hAnsi="宋体" w:eastAsia="宋体" w:cs="宋体"/>
          <w:color w:val="auto"/>
          <w:sz w:val="21"/>
          <w:szCs w:val="22"/>
          <w:highlight w:val="none"/>
          <w:lang w:val="en-US" w:eastAsia="zh-CN"/>
        </w:rPr>
        <w:t>磋商</w:t>
      </w:r>
      <w:r>
        <w:rPr>
          <w:rFonts w:hint="eastAsia" w:ascii="宋体" w:hAnsi="宋体" w:eastAsia="宋体" w:cs="宋体"/>
          <w:color w:val="auto"/>
          <w:sz w:val="21"/>
          <w:szCs w:val="22"/>
          <w:highlight w:val="none"/>
        </w:rPr>
        <w:t>小组认定该供应商为低于成本报价，报价无效。</w:t>
      </w:r>
    </w:p>
    <w:p>
      <w:pPr>
        <w:autoSpaceDE w:val="0"/>
        <w:autoSpaceDN w:val="0"/>
        <w:adjustRightInd w:val="0"/>
        <w:spacing w:line="360" w:lineRule="auto"/>
        <w:ind w:right="678" w:rightChars="323"/>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评审细则</w:t>
      </w:r>
    </w:p>
    <w:p>
      <w:pPr>
        <w:widowControl/>
        <w:autoSpaceDE w:val="0"/>
        <w:autoSpaceDN w:val="0"/>
        <w:adjustRightInd w:val="0"/>
        <w:spacing w:line="360" w:lineRule="auto"/>
        <w:ind w:right="678" w:rightChars="323" w:firstLine="420" w:firstLineChars="200"/>
        <w:jc w:val="left"/>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lang w:val="en-US" w:eastAsia="zh-CN"/>
        </w:rPr>
        <w:t>1.</w:t>
      </w:r>
      <w:r>
        <w:rPr>
          <w:rFonts w:hint="eastAsia" w:ascii="宋体" w:hAnsi="宋体" w:eastAsia="宋体" w:cs="宋体"/>
          <w:b w:val="0"/>
          <w:color w:val="auto"/>
          <w:szCs w:val="21"/>
          <w:highlight w:val="none"/>
        </w:rPr>
        <w:t>商务评定</w:t>
      </w:r>
    </w:p>
    <w:p>
      <w:pPr>
        <w:widowControl/>
        <w:autoSpaceDE w:val="0"/>
        <w:autoSpaceDN w:val="0"/>
        <w:adjustRightInd w:val="0"/>
        <w:spacing w:line="360" w:lineRule="auto"/>
        <w:ind w:right="678" w:rightChars="32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由评委对所有有效</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rPr>
        <w:t>的商务条件进行审核和评价，填写《商务评审表》，评审内容见附表</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p>
    <w:p>
      <w:pPr>
        <w:autoSpaceDE w:val="0"/>
        <w:autoSpaceDN w:val="0"/>
        <w:adjustRightInd w:val="0"/>
        <w:spacing w:line="360" w:lineRule="auto"/>
        <w:ind w:right="678" w:rightChars="323"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将每一个评委的评分汇总进行算术平均，</w:t>
      </w:r>
      <w:r>
        <w:rPr>
          <w:rFonts w:hint="eastAsia" w:ascii="宋体" w:hAnsi="宋体" w:eastAsia="宋体" w:cs="宋体"/>
          <w:color w:val="auto"/>
          <w:szCs w:val="21"/>
          <w:highlight w:val="none"/>
          <w:lang w:val="en-US"/>
        </w:rPr>
        <w:t>得出该</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lang w:val="en-US"/>
        </w:rPr>
        <w:t>的商务评分。</w:t>
      </w:r>
    </w:p>
    <w:p>
      <w:pPr>
        <w:widowControl/>
        <w:autoSpaceDE w:val="0"/>
        <w:autoSpaceDN w:val="0"/>
        <w:adjustRightInd w:val="0"/>
        <w:spacing w:line="360" w:lineRule="auto"/>
        <w:ind w:right="678" w:rightChars="323" w:firstLine="420" w:firstLineChars="200"/>
        <w:jc w:val="left"/>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lang w:val="en-US" w:eastAsia="zh-CN"/>
        </w:rPr>
        <w:t>2.服务</w:t>
      </w:r>
      <w:r>
        <w:rPr>
          <w:rFonts w:hint="eastAsia" w:ascii="宋体" w:hAnsi="宋体" w:eastAsia="宋体" w:cs="宋体"/>
          <w:b w:val="0"/>
          <w:color w:val="auto"/>
          <w:szCs w:val="21"/>
          <w:highlight w:val="none"/>
        </w:rPr>
        <w:t>评定</w:t>
      </w:r>
    </w:p>
    <w:p>
      <w:pPr>
        <w:widowControl/>
        <w:tabs>
          <w:tab w:val="left" w:pos="720"/>
          <w:tab w:val="left" w:pos="10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由评委对所有有效</w:t>
      </w: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响应方案进行审核和分析，填写《</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评审表》。评审内容见附表</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p>
    <w:p>
      <w:pPr>
        <w:widowControl/>
        <w:tabs>
          <w:tab w:val="left" w:pos="720"/>
          <w:tab w:val="left" w:pos="10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将每一个评委的评分汇总进行算术平均，得出该</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lang w:val="zh-CN"/>
        </w:rPr>
        <w:t>的技术评分。</w:t>
      </w:r>
    </w:p>
    <w:p>
      <w:pPr>
        <w:widowControl/>
        <w:autoSpaceDE w:val="0"/>
        <w:autoSpaceDN w:val="0"/>
        <w:adjustRightInd w:val="0"/>
        <w:spacing w:line="360" w:lineRule="auto"/>
        <w:ind w:right="678" w:rightChars="323" w:firstLine="420" w:firstLineChars="200"/>
        <w:jc w:val="left"/>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lang w:val="en-US" w:eastAsia="zh-CN"/>
        </w:rPr>
        <w:t>3.</w:t>
      </w:r>
      <w:r>
        <w:rPr>
          <w:rFonts w:hint="eastAsia" w:ascii="宋体" w:hAnsi="宋体" w:eastAsia="宋体" w:cs="宋体"/>
          <w:b w:val="0"/>
          <w:color w:val="auto"/>
          <w:szCs w:val="21"/>
          <w:highlight w:val="none"/>
        </w:rPr>
        <w:t>价格评定</w:t>
      </w:r>
    </w:p>
    <w:p>
      <w:pPr>
        <w:widowControl/>
        <w:tabs>
          <w:tab w:val="left" w:pos="720"/>
        </w:tabs>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本项目</w:t>
      </w:r>
      <w:r>
        <w:rPr>
          <w:rFonts w:hint="eastAsia" w:ascii="宋体" w:hAnsi="宋体" w:eastAsia="宋体" w:cs="宋体"/>
          <w:bCs w:val="0"/>
          <w:i w:val="0"/>
          <w:caps w:val="0"/>
          <w:color w:val="auto"/>
          <w:spacing w:val="0"/>
          <w:sz w:val="21"/>
          <w:szCs w:val="21"/>
          <w:highlight w:val="none"/>
          <w:shd w:val="clear" w:color="auto" w:fill="auto"/>
        </w:rPr>
        <w:t>属于专门面向中小企业采购的项目，不再执行价格评审优惠的扶持政策。</w:t>
      </w:r>
    </w:p>
    <w:p>
      <w:pPr>
        <w:widowControl/>
        <w:tabs>
          <w:tab w:val="left" w:pos="720"/>
        </w:tabs>
        <w:spacing w:line="360" w:lineRule="auto"/>
        <w:ind w:firstLine="630" w:firstLineChars="300"/>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highlight w:val="none"/>
        </w:rPr>
        <w:t>《中小企业声明函》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格式详见“响应文件格式”</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、《残疾人福利性单位声明函》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格式可在</w:t>
      </w:r>
      <w:r>
        <w:rPr>
          <w:rFonts w:hint="eastAsia" w:ascii="宋体" w:hAnsi="宋体" w:eastAsia="宋体" w:cs="宋体"/>
          <w:color w:val="auto"/>
          <w:szCs w:val="21"/>
          <w:highlight w:val="none"/>
        </w:rPr>
        <w:t>http://www.gzqunsheng.com/常用文件一栏</w:t>
      </w:r>
      <w:r>
        <w:rPr>
          <w:rFonts w:hint="eastAsia" w:ascii="宋体" w:hAnsi="宋体" w:eastAsia="宋体" w:cs="宋体"/>
          <w:bCs/>
          <w:color w:val="auto"/>
          <w:szCs w:val="21"/>
          <w:highlight w:val="none"/>
        </w:rPr>
        <w:t>下载</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w:t>
      </w:r>
    </w:p>
    <w:p>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本次评标采用综合评分法。</w:t>
      </w:r>
    </w:p>
    <w:p>
      <w:pPr>
        <w:widowControl/>
        <w:autoSpaceDE w:val="0"/>
        <w:autoSpaceDN w:val="0"/>
        <w:adjustRightInd w:val="0"/>
        <w:spacing w:line="360" w:lineRule="auto"/>
        <w:ind w:right="678" w:rightChars="323"/>
        <w:jc w:val="left"/>
        <w:rPr>
          <w:rFonts w:hint="eastAsia" w:ascii="宋体" w:hAnsi="宋体" w:eastAsia="宋体" w:cs="宋体"/>
          <w:b w:val="0"/>
          <w:color w:val="auto"/>
          <w:szCs w:val="21"/>
          <w:highlight w:val="none"/>
        </w:rPr>
      </w:pPr>
      <w:r>
        <w:rPr>
          <w:rFonts w:hint="eastAsia" w:ascii="宋体" w:hAnsi="宋体" w:eastAsia="宋体" w:cs="宋体"/>
          <w:b w:val="0"/>
          <w:color w:val="auto"/>
          <w:szCs w:val="21"/>
          <w:highlight w:val="none"/>
        </w:rPr>
        <w:t>（</w:t>
      </w:r>
      <w:r>
        <w:rPr>
          <w:rFonts w:hint="eastAsia" w:ascii="宋体" w:hAnsi="宋体" w:eastAsia="宋体" w:cs="宋体"/>
          <w:b w:val="0"/>
          <w:color w:val="auto"/>
          <w:szCs w:val="21"/>
          <w:highlight w:val="none"/>
          <w:lang w:val="en-US" w:eastAsia="zh-CN"/>
        </w:rPr>
        <w:t>六</w:t>
      </w:r>
      <w:r>
        <w:rPr>
          <w:rFonts w:hint="eastAsia" w:ascii="宋体" w:hAnsi="宋体" w:eastAsia="宋体" w:cs="宋体"/>
          <w:b w:val="0"/>
          <w:color w:val="auto"/>
          <w:szCs w:val="21"/>
          <w:highlight w:val="none"/>
        </w:rPr>
        <w:t>）综合评分的计算</w:t>
      </w:r>
    </w:p>
    <w:p>
      <w:pPr>
        <w:widowControl/>
        <w:tabs>
          <w:tab w:val="left" w:pos="72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1.综合评分=</w:t>
      </w:r>
      <w:r>
        <w:rPr>
          <w:rFonts w:hint="eastAsia" w:ascii="宋体" w:hAnsi="宋体" w:eastAsia="宋体" w:cs="宋体"/>
          <w:bCs/>
          <w:color w:val="auto"/>
          <w:szCs w:val="21"/>
          <w:highlight w:val="none"/>
        </w:rPr>
        <w:t>商务得分+</w:t>
      </w:r>
      <w:r>
        <w:rPr>
          <w:rFonts w:hint="eastAsia" w:ascii="宋体" w:hAnsi="宋体" w:eastAsia="宋体" w:cs="宋体"/>
          <w:bCs/>
          <w:color w:val="auto"/>
          <w:szCs w:val="21"/>
          <w:highlight w:val="none"/>
          <w:lang w:val="en-US" w:eastAsia="zh-CN"/>
        </w:rPr>
        <w:t>服务</w:t>
      </w:r>
      <w:r>
        <w:rPr>
          <w:rFonts w:hint="eastAsia" w:ascii="宋体" w:hAnsi="宋体" w:eastAsia="宋体" w:cs="宋体"/>
          <w:bCs/>
          <w:color w:val="auto"/>
          <w:szCs w:val="21"/>
          <w:highlight w:val="none"/>
        </w:rPr>
        <w:t>得分+价格得分。</w:t>
      </w:r>
    </w:p>
    <w:p>
      <w:pPr>
        <w:widowControl/>
        <w:tabs>
          <w:tab w:val="left" w:pos="72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2.各项得分按四舍五入原则精确到小数点后两位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如因计算软件四舍五入导致后两位小数相同的，则计算至后三位，依次类推，直接得出排序</w:t>
      </w:r>
      <w:r>
        <w:rPr>
          <w:rFonts w:hint="eastAsia" w:ascii="宋体" w:hAnsi="宋体" w:eastAsia="宋体" w:cs="宋体"/>
          <w:color w:val="auto"/>
          <w:szCs w:val="21"/>
          <w:highlight w:val="none"/>
        </w:rPr>
        <w:t>。将综合评分由高到低顺序排列。</w:t>
      </w:r>
    </w:p>
    <w:p>
      <w:pPr>
        <w:widowControl/>
        <w:autoSpaceDE w:val="0"/>
        <w:autoSpaceDN w:val="0"/>
        <w:adjustRightInd w:val="0"/>
        <w:spacing w:line="360" w:lineRule="auto"/>
        <w:ind w:right="678" w:rightChars="323"/>
        <w:jc w:val="left"/>
        <w:rPr>
          <w:rFonts w:hint="eastAsia" w:ascii="宋体" w:hAnsi="宋体" w:eastAsia="宋体" w:cs="宋体"/>
          <w:b w:val="0"/>
          <w:color w:val="auto"/>
          <w:szCs w:val="21"/>
          <w:highlight w:val="none"/>
          <w:lang w:val="en-US" w:eastAsia="zh-CN"/>
        </w:rPr>
      </w:pPr>
      <w:r>
        <w:rPr>
          <w:rFonts w:hint="eastAsia" w:ascii="宋体" w:hAnsi="宋体" w:eastAsia="宋体" w:cs="宋体"/>
          <w:b w:val="0"/>
          <w:color w:val="auto"/>
          <w:szCs w:val="21"/>
          <w:highlight w:val="none"/>
          <w:lang w:eastAsia="zh-CN"/>
        </w:rPr>
        <w:t>（</w:t>
      </w:r>
      <w:r>
        <w:rPr>
          <w:rFonts w:hint="eastAsia" w:ascii="宋体" w:hAnsi="宋体" w:eastAsia="宋体" w:cs="宋体"/>
          <w:b w:val="0"/>
          <w:color w:val="auto"/>
          <w:szCs w:val="21"/>
          <w:highlight w:val="none"/>
          <w:lang w:val="en-US" w:eastAsia="zh-CN"/>
        </w:rPr>
        <w:t>七</w:t>
      </w:r>
      <w:r>
        <w:rPr>
          <w:rFonts w:hint="eastAsia" w:ascii="宋体" w:hAnsi="宋体" w:eastAsia="宋体" w:cs="宋体"/>
          <w:b w:val="0"/>
          <w:color w:val="auto"/>
          <w:szCs w:val="21"/>
          <w:highlight w:val="none"/>
          <w:lang w:eastAsia="zh-CN"/>
        </w:rPr>
        <w:t>）</w:t>
      </w:r>
      <w:r>
        <w:rPr>
          <w:rFonts w:hint="eastAsia" w:ascii="宋体" w:hAnsi="宋体" w:eastAsia="宋体" w:cs="宋体"/>
          <w:b w:val="0"/>
          <w:color w:val="auto"/>
          <w:szCs w:val="21"/>
          <w:highlight w:val="none"/>
          <w:lang w:val="en-US" w:eastAsia="zh-CN"/>
        </w:rPr>
        <w:t>推荐成交供应商候选人</w:t>
      </w:r>
    </w:p>
    <w:p>
      <w:pPr>
        <w:widowControl/>
        <w:tabs>
          <w:tab w:val="left" w:pos="720"/>
        </w:tabs>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1.本项目磋商小组按综合总得分由高至低排序推荐得分前三名分别为第一、第二、第三成交供应商候选人。</w:t>
      </w:r>
    </w:p>
    <w:p>
      <w:pPr>
        <w:widowControl/>
        <w:tabs>
          <w:tab w:val="left" w:pos="720"/>
        </w:tabs>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lang w:val="en-US" w:eastAsia="zh-CN"/>
        </w:rPr>
        <w:t>2.总</w:t>
      </w:r>
      <w:r>
        <w:rPr>
          <w:rFonts w:hint="eastAsia" w:ascii="宋体" w:hAnsi="宋体" w:eastAsia="宋体" w:cs="宋体"/>
          <w:bCs/>
          <w:color w:val="auto"/>
          <w:sz w:val="21"/>
          <w:szCs w:val="21"/>
          <w:highlight w:val="none"/>
        </w:rPr>
        <w:t>得分相同的，按</w:t>
      </w:r>
      <w:r>
        <w:rPr>
          <w:rFonts w:hint="eastAsia" w:ascii="宋体" w:hAnsi="宋体" w:eastAsia="宋体" w:cs="宋体"/>
          <w:bCs/>
          <w:color w:val="auto"/>
          <w:sz w:val="21"/>
          <w:szCs w:val="21"/>
          <w:highlight w:val="none"/>
          <w:lang w:val="en-US" w:eastAsia="zh-CN"/>
        </w:rPr>
        <w:t>最终</w:t>
      </w:r>
      <w:r>
        <w:rPr>
          <w:rFonts w:hint="eastAsia" w:ascii="宋体" w:hAnsi="宋体" w:eastAsia="宋体" w:cs="宋体"/>
          <w:bCs/>
          <w:color w:val="auto"/>
          <w:sz w:val="21"/>
          <w:szCs w:val="21"/>
          <w:highlight w:val="none"/>
        </w:rPr>
        <w:t>报价由低到高顺序排列。</w:t>
      </w:r>
      <w:r>
        <w:rPr>
          <w:rFonts w:hint="eastAsia" w:ascii="宋体" w:hAnsi="宋体" w:eastAsia="宋体" w:cs="宋体"/>
          <w:bCs/>
          <w:color w:val="auto"/>
          <w:sz w:val="21"/>
          <w:szCs w:val="21"/>
          <w:highlight w:val="none"/>
          <w:lang w:val="en-US" w:eastAsia="zh-CN"/>
        </w:rPr>
        <w:t>总</w:t>
      </w:r>
      <w:r>
        <w:rPr>
          <w:rFonts w:hint="eastAsia" w:ascii="宋体" w:hAnsi="宋体" w:eastAsia="宋体" w:cs="宋体"/>
          <w:bCs/>
          <w:color w:val="auto"/>
          <w:sz w:val="21"/>
          <w:szCs w:val="21"/>
          <w:highlight w:val="none"/>
        </w:rPr>
        <w:t>得分且</w:t>
      </w:r>
      <w:r>
        <w:rPr>
          <w:rFonts w:hint="eastAsia" w:ascii="宋体" w:hAnsi="宋体" w:eastAsia="宋体" w:cs="宋体"/>
          <w:bCs/>
          <w:color w:val="auto"/>
          <w:sz w:val="21"/>
          <w:szCs w:val="21"/>
          <w:highlight w:val="none"/>
          <w:lang w:val="en-US" w:eastAsia="zh-CN"/>
        </w:rPr>
        <w:t>最终</w:t>
      </w:r>
      <w:r>
        <w:rPr>
          <w:rFonts w:hint="eastAsia" w:ascii="宋体" w:hAnsi="宋体" w:eastAsia="宋体" w:cs="宋体"/>
          <w:bCs/>
          <w:color w:val="auto"/>
          <w:sz w:val="21"/>
          <w:szCs w:val="21"/>
          <w:highlight w:val="none"/>
        </w:rPr>
        <w:t>报价相同的</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按技术得分由高至低排列</w:t>
      </w:r>
      <w:r>
        <w:rPr>
          <w:rFonts w:hint="eastAsia" w:ascii="宋体" w:hAnsi="宋体" w:eastAsia="宋体" w:cs="宋体"/>
          <w:bCs/>
          <w:color w:val="auto"/>
          <w:sz w:val="21"/>
          <w:szCs w:val="21"/>
          <w:highlight w:val="none"/>
        </w:rPr>
        <w:t>。</w:t>
      </w:r>
    </w:p>
    <w:p>
      <w:pPr>
        <w:widowControl/>
        <w:tabs>
          <w:tab w:val="left" w:pos="720"/>
        </w:tabs>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3.第一成交供应商候选人无正当理由不得随意放弃成交资格。</w:t>
      </w:r>
    </w:p>
    <w:p>
      <w:pPr>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四</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确定成交供应商</w:t>
      </w:r>
    </w:p>
    <w:p>
      <w:pPr>
        <w:widowControl/>
        <w:numPr>
          <w:ilvl w:val="0"/>
          <w:numId w:val="0"/>
        </w:numPr>
        <w:spacing w:line="360" w:lineRule="auto"/>
        <w:ind w:firstLine="420" w:firstLineChars="200"/>
        <w:rPr>
          <w:rFonts w:hint="eastAsia" w:ascii="宋体" w:hAnsi="宋体" w:eastAsia="宋体" w:cs="宋体"/>
          <w:b w:val="0"/>
          <w:bCs w:val="0"/>
          <w:color w:val="auto"/>
          <w:sz w:val="21"/>
          <w:szCs w:val="22"/>
          <w:highlight w:val="none"/>
        </w:rPr>
      </w:pPr>
      <w:bookmarkStart w:id="113" w:name="_Toc6830"/>
      <w:r>
        <w:rPr>
          <w:rFonts w:hint="eastAsia" w:ascii="宋体" w:hAnsi="宋体" w:eastAsia="宋体" w:cs="宋体"/>
          <w:b w:val="0"/>
          <w:bCs w:val="0"/>
          <w:color w:val="auto"/>
          <w:sz w:val="21"/>
          <w:szCs w:val="22"/>
          <w:highlight w:val="none"/>
        </w:rPr>
        <w:t>（一）</w:t>
      </w:r>
      <w:r>
        <w:rPr>
          <w:rFonts w:hint="eastAsia" w:ascii="宋体" w:hAnsi="宋体" w:eastAsia="宋体" w:cs="宋体"/>
          <w:b w:val="0"/>
          <w:bCs w:val="0"/>
          <w:color w:val="auto"/>
          <w:sz w:val="21"/>
          <w:szCs w:val="22"/>
          <w:highlight w:val="none"/>
          <w:lang w:val="en-US" w:eastAsia="zh-CN"/>
        </w:rPr>
        <w:t>采购人</w:t>
      </w:r>
      <w:r>
        <w:rPr>
          <w:rFonts w:hint="eastAsia" w:ascii="宋体" w:hAnsi="宋体" w:eastAsia="宋体" w:cs="宋体"/>
          <w:b w:val="0"/>
          <w:bCs w:val="0"/>
          <w:color w:val="auto"/>
          <w:sz w:val="21"/>
          <w:szCs w:val="22"/>
          <w:highlight w:val="none"/>
        </w:rPr>
        <w:t>在评标报告确定的</w:t>
      </w:r>
      <w:r>
        <w:rPr>
          <w:rFonts w:hint="eastAsia" w:ascii="宋体" w:hAnsi="宋体" w:eastAsia="宋体" w:cs="宋体"/>
          <w:b w:val="0"/>
          <w:bCs w:val="0"/>
          <w:color w:val="auto"/>
          <w:sz w:val="21"/>
          <w:szCs w:val="22"/>
          <w:highlight w:val="none"/>
          <w:lang w:val="en-US" w:eastAsia="zh-CN"/>
        </w:rPr>
        <w:t>成交供应商</w:t>
      </w:r>
      <w:r>
        <w:rPr>
          <w:rFonts w:hint="eastAsia" w:ascii="宋体" w:hAnsi="宋体" w:eastAsia="宋体" w:cs="宋体"/>
          <w:b w:val="0"/>
          <w:bCs w:val="0"/>
          <w:color w:val="auto"/>
          <w:sz w:val="21"/>
          <w:szCs w:val="22"/>
          <w:highlight w:val="none"/>
        </w:rPr>
        <w:t>候选人名单中按顺序确定</w:t>
      </w:r>
      <w:r>
        <w:rPr>
          <w:rFonts w:hint="eastAsia" w:ascii="宋体" w:hAnsi="宋体" w:eastAsia="宋体" w:cs="宋体"/>
          <w:b w:val="0"/>
          <w:bCs w:val="0"/>
          <w:color w:val="auto"/>
          <w:sz w:val="21"/>
          <w:szCs w:val="22"/>
          <w:highlight w:val="none"/>
          <w:lang w:val="en-US" w:eastAsia="zh-CN"/>
        </w:rPr>
        <w:t>成交供应商</w:t>
      </w:r>
      <w:r>
        <w:rPr>
          <w:rFonts w:hint="eastAsia" w:ascii="宋体" w:hAnsi="宋体" w:eastAsia="宋体" w:cs="宋体"/>
          <w:b w:val="0"/>
          <w:bCs w:val="0"/>
          <w:color w:val="auto"/>
          <w:sz w:val="21"/>
          <w:szCs w:val="22"/>
          <w:highlight w:val="none"/>
        </w:rPr>
        <w:t>。</w:t>
      </w:r>
      <w:bookmarkEnd w:id="113"/>
    </w:p>
    <w:p>
      <w:pPr>
        <w:widowControl/>
        <w:numPr>
          <w:ilvl w:val="0"/>
          <w:numId w:val="0"/>
        </w:numPr>
        <w:spacing w:line="360" w:lineRule="auto"/>
        <w:ind w:firstLine="420" w:firstLineChars="200"/>
        <w:rPr>
          <w:rFonts w:hint="eastAsia" w:ascii="宋体" w:hAnsi="宋体" w:eastAsia="宋体" w:cs="宋体"/>
          <w:b w:val="0"/>
          <w:bCs w:val="0"/>
          <w:color w:val="auto"/>
          <w:sz w:val="21"/>
          <w:szCs w:val="22"/>
          <w:highlight w:val="none"/>
        </w:rPr>
      </w:pPr>
      <w:bookmarkStart w:id="114" w:name="_Toc10979"/>
      <w:r>
        <w:rPr>
          <w:rFonts w:hint="eastAsia" w:ascii="宋体" w:hAnsi="宋体" w:eastAsia="宋体" w:cs="宋体"/>
          <w:b w:val="0"/>
          <w:bCs w:val="0"/>
          <w:color w:val="auto"/>
          <w:sz w:val="21"/>
          <w:szCs w:val="22"/>
          <w:highlight w:val="none"/>
        </w:rPr>
        <w:t>（二）采购人确认结果后，采购代理机构将</w:t>
      </w:r>
      <w:r>
        <w:rPr>
          <w:rFonts w:hint="eastAsia" w:ascii="宋体" w:hAnsi="宋体" w:eastAsia="宋体" w:cs="宋体"/>
          <w:b w:val="0"/>
          <w:bCs w:val="0"/>
          <w:color w:val="auto"/>
          <w:sz w:val="21"/>
          <w:szCs w:val="22"/>
          <w:highlight w:val="none"/>
          <w:lang w:val="en-US" w:eastAsia="zh-CN"/>
        </w:rPr>
        <w:t>成交</w:t>
      </w:r>
      <w:r>
        <w:rPr>
          <w:rFonts w:hint="eastAsia" w:ascii="宋体" w:hAnsi="宋体" w:eastAsia="宋体" w:cs="宋体"/>
          <w:b w:val="0"/>
          <w:bCs w:val="0"/>
          <w:color w:val="auto"/>
          <w:sz w:val="21"/>
          <w:szCs w:val="22"/>
          <w:highlight w:val="none"/>
        </w:rPr>
        <w:t>结果以网上公告的方式通知所有未</w:t>
      </w:r>
      <w:r>
        <w:rPr>
          <w:rFonts w:hint="eastAsia" w:ascii="宋体" w:hAnsi="宋体" w:eastAsia="宋体" w:cs="宋体"/>
          <w:b w:val="0"/>
          <w:bCs w:val="0"/>
          <w:color w:val="auto"/>
          <w:sz w:val="21"/>
          <w:szCs w:val="22"/>
          <w:highlight w:val="none"/>
          <w:lang w:val="en-US" w:eastAsia="zh-CN"/>
        </w:rPr>
        <w:t>成交</w:t>
      </w:r>
      <w:r>
        <w:rPr>
          <w:rFonts w:hint="eastAsia" w:ascii="宋体" w:hAnsi="宋体" w:eastAsia="宋体" w:cs="宋体"/>
          <w:b w:val="0"/>
          <w:bCs w:val="0"/>
          <w:color w:val="auto"/>
          <w:sz w:val="21"/>
          <w:szCs w:val="22"/>
          <w:highlight w:val="none"/>
        </w:rPr>
        <w:t>的</w:t>
      </w:r>
      <w:r>
        <w:rPr>
          <w:rFonts w:hint="eastAsia" w:ascii="宋体" w:hAnsi="宋体" w:eastAsia="宋体" w:cs="宋体"/>
          <w:b w:val="0"/>
          <w:bCs w:val="0"/>
          <w:color w:val="auto"/>
          <w:sz w:val="21"/>
          <w:szCs w:val="22"/>
          <w:highlight w:val="none"/>
          <w:lang w:val="en-US" w:eastAsia="zh-CN"/>
        </w:rPr>
        <w:t>成交供应商</w:t>
      </w:r>
      <w:r>
        <w:rPr>
          <w:rFonts w:hint="eastAsia" w:ascii="宋体" w:hAnsi="宋体" w:eastAsia="宋体" w:cs="宋体"/>
          <w:b w:val="0"/>
          <w:bCs w:val="0"/>
          <w:color w:val="auto"/>
          <w:sz w:val="21"/>
          <w:szCs w:val="22"/>
          <w:highlight w:val="none"/>
        </w:rPr>
        <w:t>。</w:t>
      </w:r>
      <w:bookmarkEnd w:id="114"/>
    </w:p>
    <w:p>
      <w:pPr>
        <w:widowControl/>
        <w:numPr>
          <w:ilvl w:val="0"/>
          <w:numId w:val="0"/>
        </w:numPr>
        <w:spacing w:line="360" w:lineRule="auto"/>
        <w:ind w:firstLine="420" w:firstLineChars="200"/>
        <w:rPr>
          <w:rFonts w:hint="eastAsia" w:ascii="宋体" w:hAnsi="宋体" w:eastAsia="宋体" w:cs="宋体"/>
          <w:b w:val="0"/>
          <w:bCs w:val="0"/>
          <w:color w:val="auto"/>
          <w:sz w:val="21"/>
          <w:szCs w:val="22"/>
          <w:highlight w:val="none"/>
        </w:rPr>
      </w:pPr>
      <w:bookmarkStart w:id="115" w:name="_Toc29238"/>
      <w:r>
        <w:rPr>
          <w:rFonts w:hint="eastAsia" w:ascii="宋体" w:hAnsi="宋体" w:eastAsia="宋体" w:cs="宋体"/>
          <w:b w:val="0"/>
          <w:bCs w:val="0"/>
          <w:color w:val="auto"/>
          <w:sz w:val="21"/>
          <w:szCs w:val="22"/>
          <w:highlight w:val="none"/>
        </w:rPr>
        <w:t>（三）</w:t>
      </w:r>
      <w:r>
        <w:rPr>
          <w:rFonts w:hint="eastAsia" w:ascii="宋体" w:hAnsi="宋体" w:eastAsia="宋体" w:cs="宋体"/>
          <w:b w:val="0"/>
          <w:bCs w:val="0"/>
          <w:color w:val="auto"/>
          <w:sz w:val="21"/>
          <w:szCs w:val="22"/>
          <w:highlight w:val="none"/>
          <w:lang w:val="en-US" w:eastAsia="zh-CN"/>
        </w:rPr>
        <w:t>成交</w:t>
      </w:r>
      <w:r>
        <w:rPr>
          <w:rFonts w:hint="eastAsia" w:ascii="宋体" w:hAnsi="宋体" w:eastAsia="宋体" w:cs="宋体"/>
          <w:b w:val="0"/>
          <w:bCs w:val="0"/>
          <w:color w:val="auto"/>
          <w:sz w:val="21"/>
          <w:szCs w:val="22"/>
          <w:highlight w:val="none"/>
        </w:rPr>
        <w:t>结果公告后，采购代理机构以书面形式向</w:t>
      </w:r>
      <w:r>
        <w:rPr>
          <w:rFonts w:hint="eastAsia" w:ascii="宋体" w:hAnsi="宋体" w:eastAsia="宋体" w:cs="宋体"/>
          <w:b w:val="0"/>
          <w:bCs w:val="0"/>
          <w:color w:val="auto"/>
          <w:sz w:val="21"/>
          <w:szCs w:val="22"/>
          <w:highlight w:val="none"/>
          <w:lang w:val="en-US" w:eastAsia="zh-CN"/>
        </w:rPr>
        <w:t>成交</w:t>
      </w:r>
      <w:r>
        <w:rPr>
          <w:rFonts w:hint="eastAsia" w:ascii="宋体" w:hAnsi="宋体" w:eastAsia="宋体" w:cs="宋体"/>
          <w:b w:val="0"/>
          <w:bCs w:val="0"/>
          <w:color w:val="auto"/>
          <w:sz w:val="21"/>
          <w:szCs w:val="22"/>
          <w:highlight w:val="none"/>
        </w:rPr>
        <w:t>供应商发出《招标代理服务费缴费通知书》。</w:t>
      </w:r>
      <w:bookmarkEnd w:id="115"/>
    </w:p>
    <w:p>
      <w:pPr>
        <w:widowControl/>
        <w:numPr>
          <w:ilvl w:val="0"/>
          <w:numId w:val="0"/>
        </w:numPr>
        <w:spacing w:line="360" w:lineRule="auto"/>
        <w:ind w:firstLine="420" w:firstLineChars="200"/>
        <w:rPr>
          <w:rFonts w:hint="eastAsia" w:ascii="宋体" w:hAnsi="宋体" w:eastAsia="宋体" w:cs="宋体"/>
          <w:b w:val="0"/>
          <w:bCs w:val="0"/>
          <w:color w:val="auto"/>
          <w:sz w:val="21"/>
          <w:szCs w:val="22"/>
          <w:highlight w:val="none"/>
        </w:rPr>
      </w:pPr>
      <w:bookmarkStart w:id="116" w:name="_Toc3095"/>
      <w:r>
        <w:rPr>
          <w:rFonts w:hint="eastAsia" w:ascii="宋体" w:hAnsi="宋体" w:eastAsia="宋体" w:cs="宋体"/>
          <w:b w:val="0"/>
          <w:bCs w:val="0"/>
          <w:color w:val="auto"/>
          <w:sz w:val="21"/>
          <w:szCs w:val="22"/>
          <w:highlight w:val="none"/>
        </w:rPr>
        <w:t>（四）</w:t>
      </w:r>
      <w:r>
        <w:rPr>
          <w:rFonts w:hint="eastAsia" w:ascii="宋体" w:hAnsi="宋体" w:eastAsia="宋体" w:cs="宋体"/>
          <w:b w:val="0"/>
          <w:bCs w:val="0"/>
          <w:color w:val="auto"/>
          <w:sz w:val="21"/>
          <w:szCs w:val="22"/>
          <w:highlight w:val="none"/>
          <w:lang w:val="en-US" w:eastAsia="zh-CN"/>
        </w:rPr>
        <w:t>成交</w:t>
      </w:r>
      <w:r>
        <w:rPr>
          <w:rFonts w:hint="eastAsia" w:ascii="宋体" w:hAnsi="宋体" w:eastAsia="宋体" w:cs="宋体"/>
          <w:b w:val="0"/>
          <w:bCs w:val="0"/>
          <w:color w:val="auto"/>
          <w:sz w:val="21"/>
          <w:szCs w:val="22"/>
          <w:highlight w:val="none"/>
        </w:rPr>
        <w:t>供应商凭采购代理机构开具的《招标代理服务费缴费通知书》到银行办理缴费手续，凭银行回单原件到采购代理机构开发票，领取《</w:t>
      </w:r>
      <w:r>
        <w:rPr>
          <w:rFonts w:hint="eastAsia" w:ascii="宋体" w:hAnsi="宋体" w:eastAsia="宋体" w:cs="宋体"/>
          <w:b w:val="0"/>
          <w:bCs w:val="0"/>
          <w:color w:val="auto"/>
          <w:sz w:val="21"/>
          <w:szCs w:val="22"/>
          <w:highlight w:val="none"/>
          <w:lang w:val="en-US" w:eastAsia="zh-CN"/>
        </w:rPr>
        <w:t>成交</w:t>
      </w:r>
      <w:r>
        <w:rPr>
          <w:rFonts w:hint="eastAsia" w:ascii="宋体" w:hAnsi="宋体" w:eastAsia="宋体" w:cs="宋体"/>
          <w:b w:val="0"/>
          <w:bCs w:val="0"/>
          <w:color w:val="auto"/>
          <w:sz w:val="21"/>
          <w:szCs w:val="22"/>
          <w:highlight w:val="none"/>
        </w:rPr>
        <w:t>通知书》。《</w:t>
      </w:r>
      <w:r>
        <w:rPr>
          <w:rFonts w:hint="eastAsia" w:ascii="宋体" w:hAnsi="宋体" w:eastAsia="宋体" w:cs="宋体"/>
          <w:b w:val="0"/>
          <w:bCs w:val="0"/>
          <w:color w:val="auto"/>
          <w:sz w:val="21"/>
          <w:szCs w:val="22"/>
          <w:highlight w:val="none"/>
          <w:lang w:val="en-US" w:eastAsia="zh-CN"/>
        </w:rPr>
        <w:t>成交</w:t>
      </w:r>
      <w:r>
        <w:rPr>
          <w:rFonts w:hint="eastAsia" w:ascii="宋体" w:hAnsi="宋体" w:eastAsia="宋体" w:cs="宋体"/>
          <w:b w:val="0"/>
          <w:bCs w:val="0"/>
          <w:color w:val="auto"/>
          <w:sz w:val="21"/>
          <w:szCs w:val="22"/>
          <w:highlight w:val="none"/>
        </w:rPr>
        <w:t>通知书》将作为授予合同资格的唯一合法依据。</w:t>
      </w:r>
      <w:bookmarkEnd w:id="116"/>
    </w:p>
    <w:p>
      <w:pPr>
        <w:widowControl/>
        <w:numPr>
          <w:ilvl w:val="0"/>
          <w:numId w:val="0"/>
        </w:numPr>
        <w:spacing w:line="360" w:lineRule="auto"/>
        <w:ind w:firstLine="420" w:firstLineChars="200"/>
        <w:jc w:val="left"/>
        <w:outlineLvl w:val="9"/>
        <w:rPr>
          <w:rFonts w:hint="eastAsia" w:ascii="宋体" w:hAnsi="宋体" w:eastAsia="宋体" w:cs="宋体"/>
          <w:bCs w:val="0"/>
          <w:color w:val="auto"/>
          <w:sz w:val="21"/>
          <w:szCs w:val="22"/>
          <w:highlight w:val="none"/>
          <w:lang w:val="en-US" w:eastAsia="zh-CN"/>
        </w:rPr>
      </w:pPr>
      <w:r>
        <w:rPr>
          <w:rFonts w:hint="eastAsia" w:ascii="宋体" w:hAnsi="宋体" w:eastAsia="宋体" w:cs="宋体"/>
          <w:b w:val="0"/>
          <w:bCs w:val="0"/>
          <w:color w:val="auto"/>
          <w:sz w:val="21"/>
          <w:szCs w:val="22"/>
          <w:highlight w:val="none"/>
        </w:rPr>
        <w:t>（五）</w:t>
      </w:r>
      <w:r>
        <w:rPr>
          <w:rFonts w:hint="eastAsia" w:ascii="宋体" w:hAnsi="宋体" w:eastAsia="宋体" w:cs="宋体"/>
          <w:b w:val="0"/>
          <w:bCs w:val="0"/>
          <w:color w:val="auto"/>
          <w:sz w:val="21"/>
          <w:szCs w:val="22"/>
          <w:highlight w:val="none"/>
          <w:lang w:val="en-US" w:eastAsia="zh-CN"/>
        </w:rPr>
        <w:t>成交</w:t>
      </w:r>
      <w:r>
        <w:rPr>
          <w:rFonts w:hint="eastAsia" w:ascii="宋体" w:hAnsi="宋体" w:eastAsia="宋体" w:cs="宋体"/>
          <w:b w:val="0"/>
          <w:bCs w:val="0"/>
          <w:color w:val="auto"/>
          <w:sz w:val="21"/>
          <w:szCs w:val="22"/>
          <w:highlight w:val="none"/>
        </w:rPr>
        <w:t>供应商放弃</w:t>
      </w:r>
      <w:r>
        <w:rPr>
          <w:rFonts w:hint="eastAsia" w:ascii="宋体" w:hAnsi="宋体" w:eastAsia="宋体" w:cs="宋体"/>
          <w:b w:val="0"/>
          <w:bCs w:val="0"/>
          <w:color w:val="auto"/>
          <w:sz w:val="21"/>
          <w:szCs w:val="22"/>
          <w:highlight w:val="none"/>
          <w:lang w:val="en-US" w:eastAsia="zh-CN"/>
        </w:rPr>
        <w:t>成交或被确定成交无效的</w:t>
      </w:r>
      <w:r>
        <w:rPr>
          <w:rFonts w:hint="eastAsia" w:ascii="宋体" w:hAnsi="宋体" w:eastAsia="宋体" w:cs="宋体"/>
          <w:b w:val="0"/>
          <w:bCs w:val="0"/>
          <w:color w:val="auto"/>
          <w:sz w:val="21"/>
          <w:szCs w:val="22"/>
          <w:highlight w:val="none"/>
        </w:rPr>
        <w:t>，应当依法承担法律责任</w:t>
      </w:r>
      <w:r>
        <w:rPr>
          <w:rFonts w:hint="eastAsia" w:ascii="宋体" w:hAnsi="宋体" w:eastAsia="宋体" w:cs="宋体"/>
          <w:bCs w:val="0"/>
          <w:color w:val="auto"/>
          <w:sz w:val="21"/>
          <w:szCs w:val="22"/>
          <w:highlight w:val="none"/>
          <w:lang w:val="en-US" w:eastAsia="zh-CN"/>
        </w:rPr>
        <w:t>，同时，采购人可以按照评审报告推荐的</w:t>
      </w:r>
      <w:r>
        <w:rPr>
          <w:rFonts w:hint="eastAsia" w:ascii="宋体" w:hAnsi="宋体" w:eastAsia="宋体" w:cs="宋体"/>
          <w:b w:val="0"/>
          <w:bCs w:val="0"/>
          <w:color w:val="auto"/>
          <w:sz w:val="21"/>
          <w:szCs w:val="22"/>
          <w:highlight w:val="none"/>
          <w:lang w:val="en-US" w:eastAsia="zh-CN"/>
        </w:rPr>
        <w:t>成交供应商</w:t>
      </w:r>
      <w:r>
        <w:rPr>
          <w:rFonts w:hint="eastAsia" w:ascii="宋体" w:hAnsi="宋体" w:eastAsia="宋体" w:cs="宋体"/>
          <w:bCs w:val="0"/>
          <w:color w:val="auto"/>
          <w:sz w:val="21"/>
          <w:szCs w:val="22"/>
          <w:highlight w:val="none"/>
          <w:lang w:val="en-US" w:eastAsia="zh-CN"/>
        </w:rPr>
        <w:t>候选人名单排序，确定下一候选人为成交供应商，也可以重新开展政府采购活动。</w:t>
      </w:r>
    </w:p>
    <w:p>
      <w:pPr>
        <w:widowControl/>
        <w:tabs>
          <w:tab w:val="left" w:pos="720"/>
        </w:tabs>
        <w:spacing w:line="360" w:lineRule="auto"/>
        <w:ind w:firstLine="420" w:firstLineChars="200"/>
        <w:jc w:val="left"/>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六</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供应商</w:t>
      </w:r>
      <w:r>
        <w:rPr>
          <w:rFonts w:hint="eastAsia" w:ascii="宋体" w:hAnsi="宋体" w:eastAsia="宋体" w:cs="宋体"/>
          <w:bCs/>
          <w:color w:val="auto"/>
          <w:szCs w:val="21"/>
          <w:highlight w:val="none"/>
        </w:rPr>
        <w:t>必须对</w:t>
      </w:r>
      <w:r>
        <w:rPr>
          <w:rFonts w:hint="eastAsia" w:ascii="宋体" w:hAnsi="宋体" w:eastAsia="宋体" w:cs="宋体"/>
          <w:bCs/>
          <w:color w:val="auto"/>
          <w:szCs w:val="21"/>
          <w:highlight w:val="none"/>
          <w:lang w:val="en-US" w:eastAsia="zh-CN"/>
        </w:rPr>
        <w:t>响应文件</w:t>
      </w:r>
      <w:r>
        <w:rPr>
          <w:rFonts w:hint="eastAsia" w:ascii="宋体" w:hAnsi="宋体" w:eastAsia="宋体" w:cs="宋体"/>
          <w:bCs/>
          <w:color w:val="auto"/>
          <w:szCs w:val="21"/>
          <w:highlight w:val="none"/>
        </w:rPr>
        <w:t>所提供的全部资料的真实性承担法律责任，并无条件接受采购人和政府采购监督管理部门对其中任何资料进行核实（核对原件）的要求。</w:t>
      </w:r>
      <w:r>
        <w:rPr>
          <w:rFonts w:hint="eastAsia" w:ascii="宋体" w:hAnsi="宋体" w:eastAsia="宋体" w:cs="宋体"/>
          <w:bCs/>
          <w:color w:val="auto"/>
          <w:szCs w:val="21"/>
          <w:highlight w:val="none"/>
          <w:lang w:val="en-US" w:eastAsia="zh-CN"/>
        </w:rPr>
        <w:t>如有必要，</w:t>
      </w:r>
      <w:r>
        <w:rPr>
          <w:rFonts w:hint="eastAsia" w:ascii="宋体" w:hAnsi="宋体" w:eastAsia="宋体" w:cs="宋体"/>
          <w:bCs/>
          <w:color w:val="auto"/>
          <w:szCs w:val="21"/>
          <w:highlight w:val="none"/>
        </w:rPr>
        <w:t>采购人</w:t>
      </w:r>
      <w:r>
        <w:rPr>
          <w:rFonts w:hint="eastAsia" w:ascii="宋体" w:hAnsi="宋体" w:eastAsia="宋体" w:cs="宋体"/>
          <w:bCs/>
          <w:color w:val="auto"/>
          <w:szCs w:val="21"/>
          <w:highlight w:val="none"/>
          <w:lang w:val="en-US" w:eastAsia="zh-CN"/>
        </w:rPr>
        <w:t>将</w:t>
      </w:r>
      <w:r>
        <w:rPr>
          <w:rFonts w:hint="eastAsia" w:ascii="宋体" w:hAnsi="宋体" w:eastAsia="宋体" w:cs="宋体"/>
          <w:bCs/>
          <w:color w:val="auto"/>
          <w:szCs w:val="21"/>
          <w:highlight w:val="none"/>
        </w:rPr>
        <w:t>核对</w:t>
      </w:r>
      <w:r>
        <w:rPr>
          <w:rFonts w:hint="eastAsia" w:ascii="宋体" w:hAnsi="宋体" w:eastAsia="宋体" w:cs="宋体"/>
          <w:bCs/>
          <w:color w:val="auto"/>
          <w:szCs w:val="21"/>
          <w:highlight w:val="none"/>
          <w:lang w:val="en-US" w:eastAsia="zh-CN"/>
        </w:rPr>
        <w:t>响应文件资料，</w:t>
      </w:r>
      <w:r>
        <w:rPr>
          <w:rFonts w:hint="eastAsia" w:ascii="宋体" w:hAnsi="宋体" w:eastAsia="宋体" w:cs="宋体"/>
          <w:bCs/>
          <w:color w:val="auto"/>
          <w:szCs w:val="21"/>
          <w:highlight w:val="none"/>
        </w:rPr>
        <w:t>发现有不一致或供应商无正当理由不按时提供原件的，书面知会采购代理机构，并报同级财政部门核实后按</w:t>
      </w:r>
      <w:r>
        <w:rPr>
          <w:rFonts w:hint="eastAsia" w:ascii="宋体" w:hAnsi="宋体" w:eastAsia="宋体" w:cs="宋体"/>
          <w:bCs/>
          <w:color w:val="auto"/>
          <w:szCs w:val="21"/>
          <w:highlight w:val="none"/>
          <w:lang w:val="en-US" w:eastAsia="zh-CN"/>
        </w:rPr>
        <w:t>成交</w:t>
      </w:r>
      <w:r>
        <w:rPr>
          <w:rFonts w:hint="eastAsia" w:ascii="宋体" w:hAnsi="宋体" w:eastAsia="宋体" w:cs="宋体"/>
          <w:bCs/>
          <w:color w:val="auto"/>
          <w:szCs w:val="21"/>
          <w:highlight w:val="none"/>
        </w:rPr>
        <w:t>无效处理。</w:t>
      </w:r>
    </w:p>
    <w:p>
      <w:pPr>
        <w:widowControl/>
        <w:numPr>
          <w:ilvl w:val="-1"/>
          <w:numId w:val="0"/>
        </w:numPr>
        <w:bidi w:val="0"/>
        <w:spacing w:line="360" w:lineRule="auto"/>
        <w:ind w:left="0" w:firstLine="0" w:firstLineChars="0"/>
        <w:outlineLvl w:val="9"/>
        <w:rPr>
          <w:rFonts w:hint="eastAsia" w:ascii="宋体" w:hAnsi="宋体" w:eastAsia="宋体" w:cs="宋体"/>
          <w:b/>
          <w:color w:val="auto"/>
          <w:sz w:val="21"/>
          <w:szCs w:val="21"/>
          <w:highlight w:val="none"/>
          <w:lang w:val="en-US"/>
        </w:rPr>
      </w:pPr>
      <w:bookmarkStart w:id="117" w:name="_Toc401232236"/>
      <w:bookmarkStart w:id="118" w:name="_Toc199817949"/>
      <w:bookmarkStart w:id="119" w:name="_Toc176852371"/>
      <w:bookmarkStart w:id="120" w:name="_Toc411005330"/>
      <w:bookmarkStart w:id="121" w:name="_Toc199817982"/>
      <w:bookmarkStart w:id="122" w:name="_Toc395083529"/>
      <w:bookmarkStart w:id="123" w:name="_Toc199817899"/>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签订合同</w:t>
      </w:r>
      <w:bookmarkEnd w:id="117"/>
      <w:bookmarkEnd w:id="118"/>
      <w:bookmarkEnd w:id="119"/>
      <w:bookmarkEnd w:id="120"/>
      <w:bookmarkEnd w:id="121"/>
      <w:bookmarkEnd w:id="122"/>
      <w:bookmarkEnd w:id="123"/>
    </w:p>
    <w:p>
      <w:pPr>
        <w:widowControl/>
        <w:numPr>
          <w:ilvl w:val="0"/>
          <w:numId w:val="0"/>
        </w:numPr>
        <w:bidi w:val="0"/>
        <w:spacing w:line="360" w:lineRule="auto"/>
        <w:ind w:firstLine="420" w:firstLineChars="200"/>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rPr>
        <w:t>采购人与成交供应商应当在《成交通知书》发出之日起三十日内（如第二章采购需求有相应约定的从其约定），按照</w:t>
      </w:r>
      <w:r>
        <w:rPr>
          <w:rFonts w:hint="eastAsia" w:ascii="宋体" w:hAnsi="宋体" w:eastAsia="宋体" w:cs="宋体"/>
          <w:color w:val="auto"/>
          <w:kern w:val="2"/>
          <w:sz w:val="21"/>
          <w:szCs w:val="22"/>
          <w:highlight w:val="none"/>
          <w:lang w:val="en-US" w:eastAsia="zh-CN"/>
        </w:rPr>
        <w:t>磋商</w:t>
      </w:r>
      <w:r>
        <w:rPr>
          <w:rFonts w:hint="eastAsia" w:ascii="宋体" w:hAnsi="宋体" w:eastAsia="宋体" w:cs="宋体"/>
          <w:color w:val="auto"/>
          <w:kern w:val="2"/>
          <w:sz w:val="21"/>
          <w:szCs w:val="22"/>
          <w:highlight w:val="none"/>
        </w:rPr>
        <w:t>文件确定的事项签订政府采购合同，合同条款不得与</w:t>
      </w:r>
      <w:r>
        <w:rPr>
          <w:rFonts w:hint="eastAsia" w:ascii="宋体" w:hAnsi="宋体" w:eastAsia="宋体" w:cs="宋体"/>
          <w:color w:val="auto"/>
          <w:kern w:val="2"/>
          <w:sz w:val="21"/>
          <w:szCs w:val="22"/>
          <w:highlight w:val="none"/>
          <w:lang w:val="en-US" w:eastAsia="zh-CN"/>
        </w:rPr>
        <w:t>磋商</w:t>
      </w:r>
      <w:r>
        <w:rPr>
          <w:rFonts w:hint="eastAsia" w:ascii="宋体" w:hAnsi="宋体" w:eastAsia="宋体" w:cs="宋体"/>
          <w:color w:val="auto"/>
          <w:kern w:val="2"/>
          <w:sz w:val="21"/>
          <w:szCs w:val="22"/>
          <w:highlight w:val="none"/>
        </w:rPr>
        <w:t>文件和</w:t>
      </w:r>
      <w:r>
        <w:rPr>
          <w:rFonts w:hint="eastAsia" w:ascii="宋体" w:hAnsi="宋体" w:eastAsia="宋体" w:cs="宋体"/>
          <w:color w:val="auto"/>
          <w:kern w:val="2"/>
          <w:sz w:val="21"/>
          <w:szCs w:val="22"/>
          <w:highlight w:val="none"/>
          <w:lang w:eastAsia="zh-CN"/>
        </w:rPr>
        <w:t>响应文件</w:t>
      </w:r>
      <w:r>
        <w:rPr>
          <w:rFonts w:hint="eastAsia" w:ascii="宋体" w:hAnsi="宋体" w:eastAsia="宋体" w:cs="宋体"/>
          <w:color w:val="auto"/>
          <w:kern w:val="2"/>
          <w:sz w:val="21"/>
          <w:szCs w:val="22"/>
          <w:highlight w:val="none"/>
        </w:rPr>
        <w:t>内容有实质性偏离。</w:t>
      </w:r>
    </w:p>
    <w:p>
      <w:pPr>
        <w:widowControl/>
        <w:numPr>
          <w:ilvl w:val="0"/>
          <w:numId w:val="0"/>
        </w:numPr>
        <w:spacing w:line="360" w:lineRule="auto"/>
        <w:ind w:left="0" w:leftChars="0" w:firstLine="0" w:firstLineChars="0"/>
        <w:rPr>
          <w:rFonts w:hint="eastAsia" w:ascii="宋体" w:hAnsi="宋体" w:eastAsia="宋体" w:cs="宋体"/>
          <w:color w:val="auto"/>
          <w:szCs w:val="22"/>
          <w:highlight w:val="none"/>
        </w:rPr>
      </w:pP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凡发现成交供应商有下列行为之一的，其成交无效，并移交政府采购监督管理部门依法处理。</w:t>
      </w:r>
    </w:p>
    <w:p>
      <w:pPr>
        <w:widowControl/>
        <w:numPr>
          <w:ilvl w:val="0"/>
          <w:numId w:val="0"/>
        </w:numPr>
        <w:spacing w:line="360" w:lineRule="auto"/>
        <w:ind w:left="0" w:leftChars="0"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1）提供虚假材料谋取成交的；</w:t>
      </w:r>
    </w:p>
    <w:p>
      <w:pPr>
        <w:widowControl/>
        <w:numPr>
          <w:ilvl w:val="0"/>
          <w:numId w:val="0"/>
        </w:numPr>
        <w:spacing w:line="360" w:lineRule="auto"/>
        <w:ind w:left="0" w:leftChars="0"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2）采取不正当手段诋毁、排挤其他供应商的；</w:t>
      </w:r>
    </w:p>
    <w:p>
      <w:pPr>
        <w:widowControl/>
        <w:numPr>
          <w:ilvl w:val="0"/>
          <w:numId w:val="0"/>
        </w:numPr>
        <w:spacing w:line="360" w:lineRule="auto"/>
        <w:ind w:left="0" w:leftChars="0"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3）与采购人、其他供应商或者采购代理机构工作人员恶意串通的；</w:t>
      </w:r>
    </w:p>
    <w:p>
      <w:pPr>
        <w:widowControl/>
        <w:numPr>
          <w:ilvl w:val="0"/>
          <w:numId w:val="0"/>
        </w:numPr>
        <w:spacing w:line="360" w:lineRule="auto"/>
        <w:ind w:left="0" w:leftChars="0"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4）向采购人、采购代理机构工作人员行贿或者提供其他不正当利益的；</w:t>
      </w:r>
    </w:p>
    <w:p>
      <w:pPr>
        <w:widowControl/>
        <w:numPr>
          <w:ilvl w:val="0"/>
          <w:numId w:val="0"/>
        </w:numPr>
        <w:spacing w:line="360" w:lineRule="auto"/>
        <w:ind w:left="0" w:leftChars="0"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5）在采购过程中与采购人进行协商谈判的；</w:t>
      </w:r>
    </w:p>
    <w:p>
      <w:pPr>
        <w:widowControl/>
        <w:numPr>
          <w:ilvl w:val="0"/>
          <w:numId w:val="0"/>
        </w:numPr>
        <w:spacing w:line="360" w:lineRule="auto"/>
        <w:ind w:left="0" w:leftChars="0"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6）拒绝有关部门监督检查或者提供虚假情况的；</w:t>
      </w:r>
    </w:p>
    <w:p>
      <w:pPr>
        <w:widowControl/>
        <w:numPr>
          <w:ilvl w:val="0"/>
          <w:numId w:val="0"/>
        </w:numPr>
        <w:spacing w:line="360" w:lineRule="auto"/>
        <w:ind w:left="0" w:leftChars="0" w:firstLine="420" w:firstLineChars="200"/>
        <w:rPr>
          <w:rFonts w:hint="eastAsia" w:ascii="宋体" w:hAnsi="宋体" w:eastAsia="宋体" w:cs="宋体"/>
          <w:color w:val="auto"/>
          <w:szCs w:val="22"/>
          <w:highlight w:val="none"/>
        </w:rPr>
      </w:pPr>
      <w:r>
        <w:rPr>
          <w:rFonts w:hint="eastAsia" w:ascii="宋体" w:hAnsi="宋体" w:eastAsia="宋体" w:cs="宋体"/>
          <w:color w:val="auto"/>
          <w:szCs w:val="22"/>
          <w:highlight w:val="none"/>
        </w:rPr>
        <w:t>7）有法律、法规规定的其他损害采购人利益和社会公共利益情形的。</w:t>
      </w:r>
    </w:p>
    <w:p>
      <w:pPr>
        <w:widowControl/>
        <w:numPr>
          <w:ilvl w:val="0"/>
          <w:numId w:val="0"/>
        </w:numPr>
        <w:bidi w:val="0"/>
        <w:spacing w:line="360" w:lineRule="auto"/>
        <w:ind w:left="0" w:firstLine="0"/>
        <w:outlineLvl w:val="9"/>
        <w:rPr>
          <w:rFonts w:hint="eastAsia" w:ascii="宋体" w:hAnsi="宋体" w:eastAsia="宋体" w:cs="宋体"/>
          <w:b w:val="0"/>
          <w:color w:val="auto"/>
          <w:sz w:val="21"/>
          <w:szCs w:val="22"/>
          <w:highlight w:val="none"/>
          <w:lang w:val="zh-CN"/>
        </w:rPr>
      </w:pPr>
      <w:bookmarkStart w:id="124" w:name="_Toc199736011"/>
      <w:bookmarkStart w:id="125" w:name="_Toc401232233"/>
      <w:bookmarkStart w:id="126" w:name="_Toc395083526"/>
      <w:bookmarkStart w:id="127" w:name="_Toc411005328"/>
      <w:bookmarkStart w:id="128" w:name="_Toc199735927"/>
      <w:bookmarkStart w:id="129" w:name="_Toc199736957"/>
      <w:bookmarkStart w:id="130" w:name="_Toc199815439"/>
      <w:r>
        <w:rPr>
          <w:rFonts w:hint="eastAsia" w:ascii="宋体" w:hAnsi="宋体" w:eastAsia="宋体" w:cs="宋体"/>
          <w:b/>
          <w:color w:val="auto"/>
          <w:sz w:val="21"/>
          <w:szCs w:val="21"/>
          <w:highlight w:val="none"/>
          <w:lang w:val="en-US" w:eastAsia="zh-CN"/>
        </w:rPr>
        <w:t>七、</w:t>
      </w:r>
      <w:r>
        <w:rPr>
          <w:rFonts w:hint="eastAsia" w:ascii="宋体" w:hAnsi="宋体" w:eastAsia="宋体" w:cs="宋体"/>
          <w:b/>
          <w:color w:val="auto"/>
          <w:sz w:val="21"/>
          <w:szCs w:val="21"/>
          <w:highlight w:val="none"/>
          <w:lang w:val="en-US"/>
        </w:rPr>
        <w:t>项目采购失败</w:t>
      </w:r>
      <w:bookmarkEnd w:id="124"/>
      <w:bookmarkEnd w:id="125"/>
      <w:bookmarkEnd w:id="126"/>
      <w:bookmarkEnd w:id="127"/>
      <w:bookmarkEnd w:id="128"/>
      <w:bookmarkEnd w:id="129"/>
      <w:bookmarkEnd w:id="130"/>
      <w:r>
        <w:rPr>
          <w:rFonts w:hint="eastAsia" w:ascii="宋体" w:hAnsi="宋体" w:eastAsia="宋体" w:cs="宋体"/>
          <w:b/>
          <w:color w:val="auto"/>
          <w:sz w:val="21"/>
          <w:szCs w:val="21"/>
          <w:highlight w:val="none"/>
          <w:lang w:val="en-US" w:eastAsia="zh-CN"/>
        </w:rPr>
        <w:t>情形</w:t>
      </w:r>
    </w:p>
    <w:p>
      <w:pPr>
        <w:autoSpaceDE w:val="0"/>
        <w:autoSpaceDN w:val="0"/>
        <w:adjustRightInd w:val="0"/>
        <w:spacing w:line="360" w:lineRule="auto"/>
        <w:ind w:right="678" w:rightChars="32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出现下列情形之一的，采购人或者采购代理机构应当终止竞争性磋商采购活动，发布项目终止公告并说明原因，重新开展采购活动：</w:t>
      </w:r>
    </w:p>
    <w:p>
      <w:pPr>
        <w:autoSpaceDE w:val="0"/>
        <w:autoSpaceDN w:val="0"/>
        <w:adjustRightInd w:val="0"/>
        <w:spacing w:line="360" w:lineRule="auto"/>
        <w:ind w:right="678" w:rightChars="32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pPr>
        <w:widowControl/>
        <w:numPr>
          <w:ilvl w:val="0"/>
          <w:numId w:val="0"/>
        </w:numPr>
        <w:tabs>
          <w:tab w:val="left" w:pos="0"/>
        </w:tabs>
        <w:bidi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Cs w:val="21"/>
          <w:highlight w:val="none"/>
        </w:rPr>
        <w:t>（2）出现影响采购公正的违法、违规行为的。</w:t>
      </w:r>
    </w:p>
    <w:bookmarkEnd w:id="98"/>
    <w:bookmarkEnd w:id="99"/>
    <w:bookmarkEnd w:id="100"/>
    <w:bookmarkEnd w:id="101"/>
    <w:bookmarkEnd w:id="102"/>
    <w:bookmarkEnd w:id="103"/>
    <w:bookmarkEnd w:id="104"/>
    <w:bookmarkEnd w:id="105"/>
    <w:bookmarkEnd w:id="106"/>
    <w:bookmarkEnd w:id="107"/>
    <w:bookmarkEnd w:id="108"/>
    <w:p>
      <w:pPr>
        <w:autoSpaceDE w:val="0"/>
        <w:autoSpaceDN w:val="0"/>
        <w:adjustRightInd w:val="0"/>
        <w:spacing w:line="360" w:lineRule="auto"/>
        <w:ind w:right="678" w:rightChars="323"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（3）除本办法第二十一条第三款规定的情形外，在采购过程中符合要求的供应商或者报价未超过采购预算的供应商不足3家的。</w:t>
      </w:r>
    </w:p>
    <w:p>
      <w:pPr>
        <w:autoSpaceDE w:val="0"/>
        <w:autoSpaceDN w:val="0"/>
        <w:adjustRightInd w:val="0"/>
        <w:spacing w:line="360" w:lineRule="auto"/>
        <w:ind w:right="678" w:rightChars="323"/>
        <w:jc w:val="left"/>
        <w:rPr>
          <w:rFonts w:hint="eastAsia" w:ascii="宋体" w:hAnsi="宋体" w:eastAsia="宋体" w:cs="宋体"/>
          <w:color w:val="auto"/>
          <w:szCs w:val="21"/>
          <w:highlight w:val="none"/>
        </w:rPr>
      </w:pPr>
    </w:p>
    <w:p>
      <w:pPr>
        <w:autoSpaceDE w:val="0"/>
        <w:autoSpaceDN w:val="0"/>
        <w:adjustRightInd w:val="0"/>
        <w:spacing w:line="360" w:lineRule="auto"/>
        <w:ind w:right="678" w:rightChars="323"/>
        <w:jc w:val="left"/>
        <w:rPr>
          <w:rFonts w:hint="eastAsia" w:ascii="宋体" w:hAnsi="宋体" w:eastAsia="宋体" w:cs="宋体"/>
          <w:color w:val="auto"/>
          <w:szCs w:val="21"/>
          <w:highlight w:val="none"/>
        </w:rPr>
      </w:pPr>
    </w:p>
    <w:p>
      <w:pPr>
        <w:autoSpaceDE/>
        <w:autoSpaceDN/>
        <w:adjustRightInd/>
        <w:spacing w:line="240" w:lineRule="auto"/>
        <w:ind w:right="0" w:right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autoSpaceDE w:val="0"/>
        <w:autoSpaceDN w:val="0"/>
        <w:adjustRightInd w:val="0"/>
        <w:spacing w:line="360" w:lineRule="auto"/>
        <w:ind w:right="678" w:rightChars="323"/>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附表1：</w:t>
      </w:r>
      <w:r>
        <w:rPr>
          <w:rFonts w:hint="eastAsia" w:ascii="宋体" w:hAnsi="宋体" w:eastAsia="宋体" w:cs="宋体"/>
          <w:color w:val="auto"/>
          <w:szCs w:val="21"/>
          <w:highlight w:val="none"/>
          <w:lang w:eastAsia="zh-CN"/>
        </w:rPr>
        <w:t>资格</w:t>
      </w:r>
      <w:r>
        <w:rPr>
          <w:rFonts w:hint="eastAsia" w:ascii="宋体" w:hAnsi="宋体" w:eastAsia="宋体" w:cs="宋体"/>
          <w:color w:val="auto"/>
          <w:szCs w:val="21"/>
          <w:highlight w:val="none"/>
        </w:rPr>
        <w:t>及符合性审查表</w:t>
      </w:r>
    </w:p>
    <w:tbl>
      <w:tblPr>
        <w:tblStyle w:val="39"/>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152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8" w:type="dxa"/>
            <w:vMerge w:val="restar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4923" w:type="dxa"/>
            <w:gridSpan w:val="3"/>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8" w:type="dxa"/>
            <w:vMerge w:val="continue"/>
            <w:vAlign w:val="center"/>
          </w:tcPr>
          <w:p>
            <w:pPr>
              <w:rPr>
                <w:rFonts w:hint="eastAsia" w:ascii="宋体" w:hAnsi="宋体" w:eastAsia="宋体" w:cs="宋体"/>
                <w:color w:val="auto"/>
                <w:szCs w:val="21"/>
                <w:highlight w:val="none"/>
              </w:rPr>
            </w:pPr>
          </w:p>
        </w:tc>
        <w:tc>
          <w:tcPr>
            <w:tcW w:w="152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A</w:t>
            </w:r>
          </w:p>
        </w:tc>
        <w:tc>
          <w:tcPr>
            <w:tcW w:w="17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B</w:t>
            </w:r>
          </w:p>
        </w:tc>
        <w:tc>
          <w:tcPr>
            <w:tcW w:w="17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608"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文件中规定</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资格要求</w:t>
            </w:r>
          </w:p>
        </w:tc>
        <w:tc>
          <w:tcPr>
            <w:tcW w:w="152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608"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报价唯一，不高于采购人需求规定的最高限价</w:t>
            </w:r>
          </w:p>
        </w:tc>
        <w:tc>
          <w:tcPr>
            <w:tcW w:w="152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608"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符合</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的签署、盖章要求</w:t>
            </w:r>
          </w:p>
        </w:tc>
        <w:tc>
          <w:tcPr>
            <w:tcW w:w="152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4608"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文件要求提供法定代表人证明及授权书的</w:t>
            </w:r>
          </w:p>
        </w:tc>
        <w:tc>
          <w:tcPr>
            <w:tcW w:w="152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608"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符合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文件报价有效期要求的</w:t>
            </w:r>
          </w:p>
        </w:tc>
        <w:tc>
          <w:tcPr>
            <w:tcW w:w="152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08"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文件中带★号的条款和指标的</w:t>
            </w:r>
          </w:p>
        </w:tc>
        <w:tc>
          <w:tcPr>
            <w:tcW w:w="152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08" w:type="dxa"/>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未发现无效报价的其他情形的（见注</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p>
        </w:tc>
        <w:tc>
          <w:tcPr>
            <w:tcW w:w="152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60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结论</w:t>
            </w:r>
          </w:p>
        </w:tc>
        <w:tc>
          <w:tcPr>
            <w:tcW w:w="152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分栏中填写“○”表示该项符合</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文件要求，“×”表示该项不符合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2、结论栏中填写“通过”表示该</w:t>
      </w:r>
      <w:r>
        <w:rPr>
          <w:rFonts w:hint="eastAsia" w:ascii="宋体" w:hAnsi="宋体" w:eastAsia="宋体" w:cs="宋体"/>
          <w:color w:val="auto"/>
          <w:szCs w:val="21"/>
          <w:highlight w:val="none"/>
          <w:lang w:eastAsia="zh-CN"/>
        </w:rPr>
        <w:t>供应商响应文件</w:t>
      </w:r>
      <w:r>
        <w:rPr>
          <w:rFonts w:hint="eastAsia" w:ascii="宋体" w:hAnsi="宋体" w:eastAsia="宋体" w:cs="宋体"/>
          <w:color w:val="auto"/>
          <w:szCs w:val="21"/>
          <w:highlight w:val="none"/>
        </w:rPr>
        <w:t>符合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文件要求，“不通过”表示该</w:t>
      </w:r>
      <w:r>
        <w:rPr>
          <w:rFonts w:hint="eastAsia" w:ascii="宋体" w:hAnsi="宋体" w:eastAsia="宋体" w:cs="宋体"/>
          <w:color w:val="auto"/>
          <w:szCs w:val="21"/>
          <w:highlight w:val="none"/>
          <w:lang w:eastAsia="zh-CN"/>
        </w:rPr>
        <w:t>供应商响应文件</w:t>
      </w:r>
      <w:r>
        <w:rPr>
          <w:rFonts w:hint="eastAsia" w:ascii="宋体" w:hAnsi="宋体" w:eastAsia="宋体" w:cs="宋体"/>
          <w:color w:val="auto"/>
          <w:szCs w:val="21"/>
          <w:highlight w:val="none"/>
        </w:rPr>
        <w:t>不符合文件要求；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3、结论汇总意见采取少数服从多数原则，即超过半数</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小组成员的结论为“通过”则该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通过资格审查及符合性检查，否则不通过。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4、无效报价的其他情形</w:t>
      </w:r>
    </w:p>
    <w:p>
      <w:pPr>
        <w:widowControl/>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rPr>
        <w:t>除联合体外，法定代表人或单位负责人为同一个人或者存在直接控股、管理关系的不同供应商，同时参加本项目或同一子项目报价的。</w:t>
      </w:r>
    </w:p>
    <w:p>
      <w:pPr>
        <w:widowControl/>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经</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小组认定</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提供虚假材料的；</w:t>
      </w:r>
    </w:p>
    <w:p>
      <w:pPr>
        <w:widowControl/>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以他人的名义报价、串通报价、以行贿手段谋取成交或者以其他弄虚作假方式报价的；</w:t>
      </w:r>
    </w:p>
    <w:p>
      <w:pPr>
        <w:widowControl/>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对采购人、采购代理机构、</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小组及其工作人员施加影响，有碍采购公平、公正的；</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附有采购人不能接受的条件；</w:t>
      </w:r>
    </w:p>
    <w:p>
      <w:pPr>
        <w:widowControl/>
        <w:numPr>
          <w:ilvl w:val="0"/>
          <w:numId w:val="0"/>
        </w:numPr>
        <w:bidi w:val="0"/>
        <w:spacing w:line="360" w:lineRule="auto"/>
        <w:ind w:left="0" w:firstLine="0" w:firstLineChars="0"/>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）出现不符合相关法律、法规要求的情况的。</w:t>
      </w:r>
    </w:p>
    <w:p>
      <w:pPr>
        <w:spacing w:line="400" w:lineRule="exact"/>
        <w:ind w:right="678" w:rightChars="323"/>
        <w:rPr>
          <w:rFonts w:hint="eastAsia" w:ascii="宋体" w:hAnsi="宋体" w:eastAsia="宋体" w:cs="宋体"/>
          <w:color w:val="auto"/>
          <w:szCs w:val="21"/>
          <w:highlight w:val="none"/>
        </w:rPr>
      </w:pPr>
    </w:p>
    <w:p>
      <w:pPr>
        <w:spacing w:line="24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widowControl/>
        <w:numPr>
          <w:ilvl w:val="0"/>
          <w:numId w:val="0"/>
        </w:numPr>
        <w:bidi w:val="0"/>
        <w:spacing w:line="240" w:lineRule="auto"/>
        <w:ind w:left="0" w:firstLine="420" w:firstLineChars="200"/>
        <w:rPr>
          <w:rFonts w:hint="eastAsia" w:ascii="宋体" w:hAnsi="宋体" w:eastAsia="宋体" w:cs="宋体"/>
          <w:color w:val="auto"/>
          <w:szCs w:val="24"/>
          <w:highlight w:val="none"/>
          <w:lang w:val="en-GB"/>
        </w:rPr>
      </w:pPr>
      <w:r>
        <w:rPr>
          <w:rFonts w:hint="eastAsia" w:ascii="宋体" w:hAnsi="宋体" w:eastAsia="宋体" w:cs="宋体"/>
          <w:color w:val="auto"/>
          <w:sz w:val="21"/>
          <w:szCs w:val="24"/>
          <w:highlight w:val="none"/>
        </w:rPr>
        <w:t>附表</w:t>
      </w:r>
      <w:r>
        <w:rPr>
          <w:rFonts w:hint="eastAsia" w:ascii="宋体" w:hAnsi="宋体" w:eastAsia="宋体" w:cs="宋体"/>
          <w:color w:val="auto"/>
          <w:sz w:val="21"/>
          <w:szCs w:val="24"/>
          <w:highlight w:val="none"/>
          <w:lang w:val="en-US" w:eastAsia="zh-CN"/>
        </w:rPr>
        <w:t>2</w:t>
      </w:r>
      <w:r>
        <w:rPr>
          <w:rFonts w:hint="eastAsia" w:ascii="宋体" w:hAnsi="宋体" w:eastAsia="宋体" w:cs="宋体"/>
          <w:color w:val="auto"/>
          <w:sz w:val="21"/>
          <w:szCs w:val="24"/>
          <w:highlight w:val="none"/>
        </w:rPr>
        <w:t xml:space="preserve"> </w:t>
      </w:r>
      <w:r>
        <w:rPr>
          <w:rFonts w:hint="eastAsia" w:ascii="宋体" w:hAnsi="宋体" w:eastAsia="宋体" w:cs="宋体"/>
          <w:color w:val="auto"/>
          <w:sz w:val="21"/>
          <w:szCs w:val="24"/>
          <w:highlight w:val="none"/>
          <w:lang w:val="en-US" w:eastAsia="zh-CN"/>
        </w:rPr>
        <w:t>最终符合性审查</w:t>
      </w:r>
      <w:r>
        <w:rPr>
          <w:rFonts w:hint="eastAsia" w:ascii="宋体" w:hAnsi="宋体" w:eastAsia="宋体" w:cs="宋体"/>
          <w:color w:val="auto"/>
          <w:sz w:val="21"/>
          <w:szCs w:val="24"/>
          <w:highlight w:val="none"/>
        </w:rPr>
        <w:t>表</w:t>
      </w:r>
    </w:p>
    <w:p>
      <w:pPr>
        <w:bidi w:val="0"/>
        <w:spacing w:after="100" w:afterAutospacing="1"/>
        <w:rPr>
          <w:rFonts w:hint="eastAsia" w:ascii="宋体" w:hAnsi="宋体" w:eastAsia="宋体" w:cs="宋体"/>
          <w:color w:val="auto"/>
          <w:sz w:val="20"/>
          <w:szCs w:val="24"/>
          <w:highlight w:val="none"/>
        </w:rPr>
      </w:pPr>
      <w:bookmarkStart w:id="131" w:name="EBdedee598833e43a49726656fcb6bcdcb"/>
      <w:r>
        <w:rPr>
          <w:rFonts w:hint="eastAsia" w:ascii="宋体" w:hAnsi="宋体" w:eastAsia="宋体" w:cs="宋体"/>
          <w:color w:val="auto"/>
          <w:sz w:val="20"/>
          <w:szCs w:val="24"/>
          <w:highlight w:val="none"/>
        </w:rPr>
        <w:t xml:space="preserve"> </w:t>
      </w:r>
      <w:bookmarkEnd w:id="131"/>
    </w:p>
    <w:tbl>
      <w:tblPr>
        <w:tblStyle w:val="39"/>
        <w:tblW w:w="9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152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8" w:type="dxa"/>
            <w:vMerge w:val="restart"/>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4923" w:type="dxa"/>
            <w:gridSpan w:val="3"/>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08" w:type="dxa"/>
            <w:vMerge w:val="continue"/>
            <w:vAlign w:val="center"/>
          </w:tcPr>
          <w:p>
            <w:pPr>
              <w:rPr>
                <w:rFonts w:hint="eastAsia" w:ascii="宋体" w:hAnsi="宋体" w:eastAsia="宋体" w:cs="宋体"/>
                <w:color w:val="auto"/>
                <w:szCs w:val="21"/>
                <w:highlight w:val="none"/>
              </w:rPr>
            </w:pPr>
          </w:p>
        </w:tc>
        <w:tc>
          <w:tcPr>
            <w:tcW w:w="152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A</w:t>
            </w:r>
          </w:p>
        </w:tc>
        <w:tc>
          <w:tcPr>
            <w:tcW w:w="17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B</w:t>
            </w:r>
          </w:p>
        </w:tc>
        <w:tc>
          <w:tcPr>
            <w:tcW w:w="1701"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608" w:type="dxa"/>
            <w:vAlign w:val="center"/>
          </w:tcPr>
          <w:p>
            <w:pP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报价唯一，不高于采购人需求规定的最高限价</w:t>
            </w:r>
            <w:r>
              <w:rPr>
                <w:rFonts w:hint="eastAsia" w:ascii="宋体" w:hAnsi="宋体" w:eastAsia="宋体" w:cs="宋体"/>
                <w:color w:val="auto"/>
                <w:szCs w:val="21"/>
                <w:highlight w:val="none"/>
                <w:lang w:eastAsia="zh-CN"/>
              </w:rPr>
              <w:t>，</w:t>
            </w:r>
            <w:r>
              <w:rPr>
                <w:rFonts w:hint="eastAsia" w:ascii="宋体" w:hAnsi="宋体" w:eastAsia="宋体" w:cs="宋体"/>
                <w:color w:val="auto"/>
                <w:kern w:val="2"/>
                <w:sz w:val="21"/>
                <w:szCs w:val="21"/>
                <w:highlight w:val="none"/>
                <w:rtl w:val="0"/>
                <w:lang w:val="en-US" w:eastAsia="zh-CN" w:bidi="ar-SA"/>
              </w:rPr>
              <w:t>如</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kern w:val="2"/>
                <w:sz w:val="21"/>
                <w:szCs w:val="21"/>
                <w:highlight w:val="none"/>
                <w:rtl w:val="0"/>
                <w:lang w:val="en-US" w:eastAsia="zh-CN" w:bidi="ar-SA"/>
              </w:rPr>
              <w:t>小组没有对</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kern w:val="2"/>
                <w:sz w:val="21"/>
                <w:szCs w:val="21"/>
                <w:highlight w:val="none"/>
                <w:rtl w:val="0"/>
                <w:lang w:val="en-US" w:eastAsia="zh-CN" w:bidi="ar-SA"/>
              </w:rPr>
              <w:t>文件作实质性变动增加新的需求，最后报价不高于首次报价；未被认定低于其成本报价。</w:t>
            </w:r>
          </w:p>
        </w:tc>
        <w:tc>
          <w:tcPr>
            <w:tcW w:w="152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608"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磋商后的承诺</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文件中带★号的条款和指标的</w:t>
            </w:r>
          </w:p>
        </w:tc>
        <w:tc>
          <w:tcPr>
            <w:tcW w:w="152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608" w:type="dxa"/>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未发现无效报价的其他情形的（见注</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p>
        </w:tc>
        <w:tc>
          <w:tcPr>
            <w:tcW w:w="152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60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结论</w:t>
            </w:r>
          </w:p>
        </w:tc>
        <w:tc>
          <w:tcPr>
            <w:tcW w:w="152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c>
          <w:tcPr>
            <w:tcW w:w="1701" w:type="dxa"/>
            <w:vAlign w:val="center"/>
          </w:tcPr>
          <w:p>
            <w:pPr>
              <w:rPr>
                <w:rFonts w:hint="eastAsia" w:ascii="宋体" w:hAnsi="宋体" w:eastAsia="宋体" w:cs="宋体"/>
                <w:color w:val="auto"/>
                <w:szCs w:val="21"/>
                <w:highlight w:val="none"/>
              </w:rPr>
            </w:pPr>
          </w:p>
        </w:tc>
      </w:tr>
    </w:tbl>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分栏中填写“○”表示该项符合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文件要求，“×”表示该项不符合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2、结论栏中填写“通过”表示该</w:t>
      </w:r>
      <w:r>
        <w:rPr>
          <w:rFonts w:hint="eastAsia" w:ascii="宋体" w:hAnsi="宋体" w:eastAsia="宋体" w:cs="宋体"/>
          <w:color w:val="auto"/>
          <w:szCs w:val="21"/>
          <w:highlight w:val="none"/>
          <w:lang w:eastAsia="zh-CN"/>
        </w:rPr>
        <w:t>供应商响应文件</w:t>
      </w:r>
      <w:r>
        <w:rPr>
          <w:rFonts w:hint="eastAsia" w:ascii="宋体" w:hAnsi="宋体" w:eastAsia="宋体" w:cs="宋体"/>
          <w:color w:val="auto"/>
          <w:szCs w:val="21"/>
          <w:highlight w:val="none"/>
        </w:rPr>
        <w:t>符合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文件要求，“不通过”表示该</w:t>
      </w:r>
      <w:r>
        <w:rPr>
          <w:rFonts w:hint="eastAsia" w:ascii="宋体" w:hAnsi="宋体" w:eastAsia="宋体" w:cs="宋体"/>
          <w:color w:val="auto"/>
          <w:szCs w:val="21"/>
          <w:highlight w:val="none"/>
          <w:lang w:eastAsia="zh-CN"/>
        </w:rPr>
        <w:t>供应商响应文件</w:t>
      </w:r>
      <w:r>
        <w:rPr>
          <w:rFonts w:hint="eastAsia" w:ascii="宋体" w:hAnsi="宋体" w:eastAsia="宋体" w:cs="宋体"/>
          <w:color w:val="auto"/>
          <w:szCs w:val="21"/>
          <w:highlight w:val="none"/>
        </w:rPr>
        <w:t>不符合文件要求；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3、结论汇总意见采取少数服从多数原则，即超过半数</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小组成员的结论为“通过”则该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通过最终符合性审查，否则不通过。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最终符合性审查</w:t>
      </w:r>
      <w:r>
        <w:rPr>
          <w:rFonts w:hint="eastAsia" w:ascii="宋体" w:hAnsi="宋体" w:eastAsia="宋体" w:cs="宋体"/>
          <w:color w:val="auto"/>
          <w:szCs w:val="21"/>
          <w:highlight w:val="none"/>
        </w:rPr>
        <w:t>无效报价的其他情形</w:t>
      </w:r>
    </w:p>
    <w:p>
      <w:pPr>
        <w:widowControl/>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（1）经</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小组认定</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提供虚假材料的；</w:t>
      </w:r>
    </w:p>
    <w:p>
      <w:pPr>
        <w:widowControl/>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以他人的名义报价、串通报价、以行贿手段谋取成交或者以其他弄虚作假方式报价的；</w:t>
      </w:r>
    </w:p>
    <w:p>
      <w:pPr>
        <w:widowControl/>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对采购人、采购代理机构、</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小组及其工作人员施加影响，有碍采购公平、公正的；</w:t>
      </w:r>
    </w:p>
    <w:p>
      <w:pPr>
        <w:widowControl/>
        <w:numPr>
          <w:ilvl w:val="0"/>
          <w:numId w:val="0"/>
        </w:num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评审期间，</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没有按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 w:val="21"/>
          <w:szCs w:val="21"/>
          <w:highlight w:val="none"/>
        </w:rPr>
        <w:t>小组的要求提交澄清、说明或更正的</w:t>
      </w:r>
      <w:r>
        <w:rPr>
          <w:rFonts w:hint="eastAsia" w:ascii="宋体" w:hAnsi="宋体" w:eastAsia="宋体" w:cs="宋体"/>
          <w:color w:val="auto"/>
          <w:sz w:val="21"/>
          <w:szCs w:val="21"/>
          <w:highlight w:val="none"/>
          <w:lang w:eastAsia="zh-CN"/>
        </w:rPr>
        <w:t>；</w:t>
      </w:r>
    </w:p>
    <w:p>
      <w:pPr>
        <w:widowControl/>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附有采购人不能接受的条件；</w:t>
      </w:r>
    </w:p>
    <w:p>
      <w:pPr>
        <w:widowControl/>
        <w:numPr>
          <w:ilvl w:val="0"/>
          <w:numId w:val="0"/>
        </w:numPr>
        <w:bidi w:val="0"/>
        <w:spacing w:line="360" w:lineRule="auto"/>
        <w:ind w:left="0" w:firstLine="0" w:firstLineChars="0"/>
        <w:rPr>
          <w:rFonts w:hint="eastAsia" w:ascii="宋体" w:hAnsi="宋体" w:eastAsia="宋体" w:cs="宋体"/>
          <w:color w:val="auto"/>
          <w:szCs w:val="24"/>
          <w:highlight w:val="none"/>
          <w:lang w:val="en-US"/>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）出现不符合相关法律、法规要求的情况的。</w:t>
      </w:r>
    </w:p>
    <w:p>
      <w:pPr>
        <w:rPr>
          <w:rFonts w:hint="eastAsia" w:ascii="宋体" w:hAnsi="宋体" w:eastAsia="宋体" w:cs="宋体"/>
          <w:color w:val="auto"/>
          <w:szCs w:val="24"/>
          <w:highlight w:val="none"/>
        </w:rPr>
      </w:pPr>
      <w:r>
        <w:rPr>
          <w:rFonts w:hint="eastAsia" w:ascii="宋体" w:hAnsi="宋体" w:eastAsia="宋体" w:cs="宋体"/>
          <w:color w:val="auto"/>
          <w:sz w:val="21"/>
          <w:szCs w:val="24"/>
          <w:highlight w:val="none"/>
        </w:rPr>
        <w:t xml:space="preserve"> </w:t>
      </w:r>
    </w:p>
    <w:p>
      <w:pPr>
        <w:widowControl/>
        <w:numPr>
          <w:ilvl w:val="0"/>
          <w:numId w:val="0"/>
        </w:numPr>
        <w:bidi w:val="0"/>
        <w:spacing w:line="240" w:lineRule="auto"/>
        <w:ind w:left="0" w:firstLine="0" w:firstLineChars="0"/>
        <w:rPr>
          <w:rFonts w:hint="eastAsia" w:ascii="宋体" w:hAnsi="宋体" w:eastAsia="宋体" w:cs="宋体"/>
          <w:color w:val="auto"/>
          <w:szCs w:val="24"/>
          <w:highlight w:val="none"/>
          <w:lang w:val="en-US"/>
        </w:rPr>
      </w:pPr>
    </w:p>
    <w:p>
      <w:pPr>
        <w:rPr>
          <w:rFonts w:hint="eastAsia" w:ascii="宋体" w:hAnsi="宋体" w:eastAsia="宋体" w:cs="宋体"/>
          <w:color w:val="auto"/>
          <w:szCs w:val="24"/>
          <w:highlight w:val="none"/>
        </w:rPr>
      </w:pPr>
      <w:bookmarkStart w:id="132" w:name="EB185ec0b1e41d475fbf67e3df697af87d"/>
      <w:r>
        <w:rPr>
          <w:rFonts w:hint="eastAsia" w:ascii="宋体" w:hAnsi="宋体" w:eastAsia="宋体" w:cs="宋体"/>
          <w:color w:val="auto"/>
          <w:sz w:val="21"/>
          <w:szCs w:val="24"/>
          <w:highlight w:val="none"/>
        </w:rPr>
        <w:t xml:space="preserve"> </w:t>
      </w:r>
      <w:bookmarkEnd w:id="132"/>
    </w:p>
    <w:p>
      <w:pPr>
        <w:spacing w:line="400" w:lineRule="exact"/>
        <w:ind w:right="678" w:rightChars="323"/>
        <w:rPr>
          <w:rFonts w:hint="eastAsia" w:ascii="宋体" w:hAnsi="宋体" w:eastAsia="宋体" w:cs="宋体"/>
          <w:color w:val="auto"/>
          <w:szCs w:val="21"/>
          <w:highlight w:val="none"/>
        </w:rPr>
      </w:pPr>
    </w:p>
    <w:p>
      <w:pPr>
        <w:spacing w:line="400" w:lineRule="exact"/>
        <w:ind w:right="678" w:rightChars="323"/>
        <w:rPr>
          <w:rFonts w:hint="eastAsia" w:ascii="宋体" w:hAnsi="宋体" w:eastAsia="宋体" w:cs="宋体"/>
          <w:color w:val="auto"/>
          <w:szCs w:val="21"/>
          <w:highlight w:val="none"/>
        </w:rPr>
      </w:pPr>
    </w:p>
    <w:p>
      <w:pPr>
        <w:spacing w:line="400" w:lineRule="exact"/>
        <w:ind w:right="678" w:rightChars="323"/>
        <w:rPr>
          <w:rFonts w:hint="eastAsia" w:ascii="宋体" w:hAnsi="宋体" w:eastAsia="宋体" w:cs="宋体"/>
          <w:color w:val="auto"/>
          <w:szCs w:val="21"/>
          <w:highlight w:val="none"/>
        </w:rPr>
      </w:pPr>
    </w:p>
    <w:p>
      <w:pPr>
        <w:spacing w:line="400" w:lineRule="exact"/>
        <w:ind w:right="678" w:rightChars="323"/>
        <w:rPr>
          <w:rFonts w:hint="eastAsia" w:ascii="宋体" w:hAnsi="宋体" w:eastAsia="宋体" w:cs="宋体"/>
          <w:color w:val="auto"/>
          <w:szCs w:val="21"/>
          <w:highlight w:val="none"/>
        </w:rPr>
      </w:pPr>
    </w:p>
    <w:p>
      <w:pPr>
        <w:spacing w:line="400" w:lineRule="exact"/>
        <w:ind w:right="678" w:rightChars="323"/>
        <w:rPr>
          <w:rFonts w:hint="eastAsia" w:ascii="宋体" w:hAnsi="宋体" w:eastAsia="宋体" w:cs="宋体"/>
          <w:color w:val="auto"/>
          <w:szCs w:val="21"/>
          <w:highlight w:val="none"/>
        </w:rPr>
      </w:pPr>
    </w:p>
    <w:p>
      <w:pPr>
        <w:spacing w:line="400" w:lineRule="exact"/>
        <w:ind w:right="678" w:rightChars="323"/>
        <w:rPr>
          <w:rFonts w:hint="eastAsia" w:ascii="宋体" w:hAnsi="宋体" w:eastAsia="宋体" w:cs="宋体"/>
          <w:color w:val="auto"/>
          <w:szCs w:val="21"/>
          <w:highlight w:val="none"/>
        </w:rPr>
      </w:pPr>
    </w:p>
    <w:p>
      <w:pPr>
        <w:spacing w:line="240" w:lineRule="auto"/>
        <w:ind w:right="0" w:righ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autoSpaceDE w:val="0"/>
        <w:autoSpaceDN w:val="0"/>
        <w:adjustRightInd w:val="0"/>
        <w:spacing w:line="360" w:lineRule="auto"/>
        <w:ind w:right="678" w:rightChars="323"/>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附表</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w:t>
      </w:r>
    </w:p>
    <w:p>
      <w:pPr>
        <w:autoSpaceDE w:val="0"/>
        <w:autoSpaceDN w:val="0"/>
        <w:adjustRightInd w:val="0"/>
        <w:spacing w:line="360" w:lineRule="auto"/>
        <w:ind w:right="678" w:rightChars="323"/>
        <w:jc w:val="both"/>
        <w:rPr>
          <w:rFonts w:hint="eastAsia" w:ascii="宋体" w:hAnsi="宋体" w:eastAsia="宋体" w:cs="宋体"/>
          <w:b/>
          <w:color w:val="auto"/>
          <w:sz w:val="24"/>
          <w:szCs w:val="24"/>
          <w:highlight w:val="none"/>
        </w:rPr>
      </w:pPr>
      <w:r>
        <w:rPr>
          <w:rFonts w:hint="eastAsia" w:ascii="宋体" w:hAnsi="宋体" w:eastAsia="宋体" w:cs="宋体"/>
          <w:color w:val="auto"/>
          <w:highlight w:val="none"/>
        </w:rPr>
        <w:t>评分总值最高为100分，商务</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服务及</w:t>
      </w:r>
      <w:r>
        <w:rPr>
          <w:rFonts w:hint="eastAsia" w:ascii="宋体" w:hAnsi="宋体" w:eastAsia="宋体" w:cs="宋体"/>
          <w:color w:val="auto"/>
          <w:highlight w:val="none"/>
          <w:lang w:eastAsia="zh-CN"/>
        </w:rPr>
        <w:t>价格</w:t>
      </w:r>
      <w:r>
        <w:rPr>
          <w:rFonts w:hint="eastAsia" w:ascii="宋体" w:hAnsi="宋体" w:eastAsia="宋体" w:cs="宋体"/>
          <w:color w:val="auto"/>
          <w:highlight w:val="none"/>
        </w:rPr>
        <w:t>得分分值分配设置如下：</w:t>
      </w:r>
    </w:p>
    <w:tbl>
      <w:tblPr>
        <w:tblStyle w:val="39"/>
        <w:tblW w:w="9040"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145"/>
        <w:gridCol w:w="2089"/>
        <w:gridCol w:w="2018"/>
        <w:gridCol w:w="1493"/>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tcBorders>
              <w:tl2br w:val="nil"/>
              <w:tr2bl w:val="nil"/>
            </w:tcBorders>
            <w:vAlign w:val="center"/>
          </w:tcPr>
          <w:p>
            <w:pPr>
              <w:spacing w:line="36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评分项目</w:t>
            </w:r>
          </w:p>
        </w:tc>
        <w:tc>
          <w:tcPr>
            <w:tcW w:w="2145" w:type="dxa"/>
            <w:tcBorders>
              <w:tl2br w:val="nil"/>
              <w:tr2bl w:val="nil"/>
            </w:tcBorders>
            <w:vAlign w:val="center"/>
          </w:tcPr>
          <w:p>
            <w:pPr>
              <w:spacing w:line="36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商务评审</w:t>
            </w:r>
          </w:p>
        </w:tc>
        <w:tc>
          <w:tcPr>
            <w:tcW w:w="2089" w:type="dxa"/>
            <w:tcBorders>
              <w:tl2br w:val="nil"/>
              <w:tr2bl w:val="nil"/>
            </w:tcBorders>
            <w:vAlign w:val="center"/>
          </w:tcPr>
          <w:p>
            <w:pPr>
              <w:spacing w:line="36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服务评审</w:t>
            </w:r>
          </w:p>
        </w:tc>
        <w:tc>
          <w:tcPr>
            <w:tcW w:w="2018" w:type="dxa"/>
            <w:tcBorders>
              <w:tl2br w:val="nil"/>
              <w:tr2bl w:val="nil"/>
            </w:tcBorders>
            <w:vAlign w:val="center"/>
          </w:tcPr>
          <w:p>
            <w:pPr>
              <w:spacing w:line="36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价格评审</w:t>
            </w:r>
          </w:p>
        </w:tc>
        <w:tc>
          <w:tcPr>
            <w:tcW w:w="1493" w:type="dxa"/>
            <w:tcBorders>
              <w:tl2br w:val="nil"/>
              <w:tr2bl w:val="nil"/>
            </w:tcBorders>
            <w:vAlign w:val="top"/>
          </w:tcPr>
          <w:p>
            <w:pPr>
              <w:spacing w:line="36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总分</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95" w:type="dxa"/>
            <w:tcBorders>
              <w:tl2br w:val="nil"/>
              <w:tr2bl w:val="nil"/>
            </w:tcBorders>
            <w:vAlign w:val="center"/>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分值</w:t>
            </w:r>
          </w:p>
        </w:tc>
        <w:tc>
          <w:tcPr>
            <w:tcW w:w="2145" w:type="dxa"/>
            <w:tcBorders>
              <w:tl2br w:val="nil"/>
              <w:tr2bl w:val="nil"/>
            </w:tcBorders>
            <w:vAlign w:val="center"/>
          </w:tcPr>
          <w:p>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val="en-US" w:eastAsia="zh-CN"/>
              </w:rPr>
              <w:t>0</w:t>
            </w:r>
          </w:p>
        </w:tc>
        <w:tc>
          <w:tcPr>
            <w:tcW w:w="2089" w:type="dxa"/>
            <w:tcBorders>
              <w:tl2br w:val="nil"/>
              <w:tr2bl w:val="nil"/>
            </w:tcBorders>
            <w:vAlign w:val="center"/>
          </w:tcPr>
          <w:p>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0</w:t>
            </w:r>
          </w:p>
        </w:tc>
        <w:tc>
          <w:tcPr>
            <w:tcW w:w="2018" w:type="dxa"/>
            <w:tcBorders>
              <w:tl2br w:val="nil"/>
              <w:tr2bl w:val="nil"/>
            </w:tcBorders>
            <w:vAlign w:val="center"/>
          </w:tcPr>
          <w:p>
            <w:pPr>
              <w:spacing w:line="360" w:lineRule="auto"/>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30</w:t>
            </w:r>
          </w:p>
        </w:tc>
        <w:tc>
          <w:tcPr>
            <w:tcW w:w="1493" w:type="dxa"/>
            <w:tcBorders>
              <w:tl2br w:val="nil"/>
              <w:tr2bl w:val="nil"/>
            </w:tcBorders>
            <w:vAlign w:val="top"/>
          </w:tcPr>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100</w:t>
            </w:r>
          </w:p>
        </w:tc>
      </w:tr>
    </w:tbl>
    <w:p>
      <w:pPr>
        <w:autoSpaceDE w:val="0"/>
        <w:autoSpaceDN w:val="0"/>
        <w:adjustRightInd w:val="0"/>
        <w:spacing w:line="360" w:lineRule="auto"/>
        <w:ind w:right="678" w:rightChars="323"/>
        <w:jc w:val="both"/>
        <w:rPr>
          <w:rFonts w:hint="eastAsia" w:ascii="宋体" w:hAnsi="宋体" w:eastAsia="宋体" w:cs="宋体"/>
          <w:b/>
          <w:color w:val="auto"/>
          <w:szCs w:val="21"/>
          <w:highlight w:val="none"/>
        </w:rPr>
      </w:pPr>
    </w:p>
    <w:p>
      <w:pPr>
        <w:autoSpaceDE w:val="0"/>
        <w:autoSpaceDN w:val="0"/>
        <w:adjustRightInd w:val="0"/>
        <w:spacing w:line="360" w:lineRule="auto"/>
        <w:ind w:right="678" w:rightChars="32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商务评审表</w:t>
      </w:r>
    </w:p>
    <w:tbl>
      <w:tblPr>
        <w:tblStyle w:val="39"/>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62"/>
        <w:gridCol w:w="5498"/>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9"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62"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5498"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评分细则</w:t>
            </w:r>
          </w:p>
        </w:tc>
        <w:tc>
          <w:tcPr>
            <w:tcW w:w="719" w:type="dxa"/>
            <w:vAlign w:val="center"/>
          </w:tcPr>
          <w:p>
            <w:pPr>
              <w:spacing w:line="30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709" w:type="dxa"/>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62" w:type="dxa"/>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同类项目经验</w:t>
            </w:r>
          </w:p>
        </w:tc>
        <w:tc>
          <w:tcPr>
            <w:tcW w:w="5498"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提供20</w:t>
            </w: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年1月1日以来已完成或正在服务的同类项目业绩，每项得1分，最多得5分；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注：需提供合同复印件加盖</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公章。分公司投标的，总公司获得的同类项目业绩</w:t>
            </w:r>
            <w:r>
              <w:rPr>
                <w:rFonts w:hint="eastAsia" w:ascii="宋体" w:hAnsi="宋体" w:cs="宋体"/>
                <w:color w:val="auto"/>
                <w:sz w:val="21"/>
                <w:szCs w:val="21"/>
                <w:highlight w:val="none"/>
                <w:lang w:eastAsia="zh-CN"/>
              </w:rPr>
              <w:t>不</w:t>
            </w:r>
            <w:r>
              <w:rPr>
                <w:rFonts w:hint="eastAsia" w:ascii="宋体" w:hAnsi="宋体" w:eastAsia="宋体" w:cs="宋体"/>
                <w:color w:val="auto"/>
                <w:sz w:val="21"/>
                <w:szCs w:val="21"/>
                <w:highlight w:val="none"/>
                <w:lang w:val="en-US" w:eastAsia="zh-CN"/>
              </w:rPr>
              <w:t>可</w:t>
            </w:r>
            <w:r>
              <w:rPr>
                <w:rFonts w:hint="eastAsia" w:ascii="宋体" w:hAnsi="宋体" w:eastAsia="宋体" w:cs="宋体"/>
                <w:color w:val="auto"/>
                <w:sz w:val="21"/>
                <w:szCs w:val="21"/>
                <w:highlight w:val="none"/>
              </w:rPr>
              <w:t>作为得分项。</w:t>
            </w:r>
          </w:p>
        </w:tc>
        <w:tc>
          <w:tcPr>
            <w:tcW w:w="719" w:type="dxa"/>
            <w:vAlign w:val="center"/>
          </w:tcPr>
          <w:p>
            <w:pPr>
              <w:spacing w:line="30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9" w:type="dxa"/>
            <w:vAlign w:val="center"/>
          </w:tcPr>
          <w:p>
            <w:pPr>
              <w:spacing w:line="30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62" w:type="dxa"/>
            <w:vAlign w:val="center"/>
          </w:tcPr>
          <w:p>
            <w:pPr>
              <w:spacing w:before="120" w:beforeLines="5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车辆</w:t>
            </w:r>
            <w:r>
              <w:rPr>
                <w:rFonts w:hint="eastAsia" w:ascii="宋体" w:hAnsi="宋体" w:cs="宋体"/>
                <w:color w:val="auto"/>
                <w:spacing w:val="-2"/>
                <w:sz w:val="21"/>
                <w:szCs w:val="21"/>
                <w:highlight w:val="none"/>
                <w:lang w:eastAsia="zh-CN"/>
              </w:rPr>
              <w:t>配备</w:t>
            </w:r>
            <w:r>
              <w:rPr>
                <w:rFonts w:hint="eastAsia" w:ascii="宋体" w:hAnsi="宋体" w:eastAsia="宋体" w:cs="宋体"/>
                <w:color w:val="auto"/>
                <w:spacing w:val="-2"/>
                <w:sz w:val="21"/>
                <w:szCs w:val="21"/>
                <w:highlight w:val="none"/>
              </w:rPr>
              <w:t>情况</w:t>
            </w:r>
          </w:p>
        </w:tc>
        <w:tc>
          <w:tcPr>
            <w:tcW w:w="5498" w:type="dxa"/>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响应供应商拟投入本项目的车辆</w:t>
            </w:r>
            <w:r>
              <w:rPr>
                <w:rFonts w:hint="eastAsia" w:ascii="宋体" w:hAnsi="宋体" w:eastAsia="宋体" w:cs="宋体"/>
                <w:color w:val="auto"/>
                <w:sz w:val="21"/>
                <w:szCs w:val="21"/>
                <w:highlight w:val="none"/>
                <w:lang w:eastAsia="zh-CN"/>
              </w:rPr>
              <w:t>车龄情况进行评审：</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拟投入本项目使用的车辆车龄在</w:t>
            </w:r>
            <w:r>
              <w:rPr>
                <w:rFonts w:hint="eastAsia" w:ascii="宋体" w:hAnsi="宋体" w:eastAsia="宋体" w:cs="宋体"/>
                <w:color w:val="auto"/>
                <w:sz w:val="21"/>
                <w:szCs w:val="21"/>
                <w:highlight w:val="none"/>
                <w:lang w:val="en-US" w:eastAsia="zh-CN"/>
              </w:rPr>
              <w:t>202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年1月1日后生产且行驶里程不超过</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万公里的车，每投入一辆得2分；</w:t>
            </w:r>
          </w:p>
          <w:p>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拟投入本项目使用的车辆车龄在</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val="en-US" w:eastAsia="zh-CN"/>
              </w:rPr>
              <w:t>年1月1日后生产且行驶里程不超过</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lang w:val="en-US" w:eastAsia="zh-CN"/>
              </w:rPr>
              <w:t>万公里的车，每投入一辆得1.5分；</w:t>
            </w:r>
          </w:p>
          <w:p>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拟投入本项目使用的车辆车龄在</w:t>
            </w:r>
            <w:r>
              <w:rPr>
                <w:rFonts w:hint="eastAsia" w:ascii="宋体" w:hAnsi="宋体" w:eastAsia="宋体" w:cs="宋体"/>
                <w:color w:val="auto"/>
                <w:sz w:val="21"/>
                <w:szCs w:val="21"/>
                <w:highlight w:val="none"/>
                <w:lang w:val="en-US" w:eastAsia="zh-CN"/>
              </w:rPr>
              <w:t>201</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年1月1日后生产且行驶里程不超过1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万公里的车，每投入一辆得1分；</w:t>
            </w:r>
          </w:p>
          <w:p>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注：提供第三方车辆维保机构出具的可体现总行驶里程的证明文件</w:t>
            </w:r>
            <w:r>
              <w:rPr>
                <w:rFonts w:hint="eastAsia" w:ascii="宋体" w:hAnsi="宋体" w:eastAsia="宋体" w:cs="宋体"/>
                <w:color w:val="auto"/>
                <w:sz w:val="21"/>
                <w:szCs w:val="21"/>
                <w:highlight w:val="none"/>
                <w:lang w:eastAsia="zh-CN"/>
              </w:rPr>
              <w:t>复印件；未按要求提供证明材料或证明材料不齐全的，不得分。各档次车辆单独计分一次，不叠加，本项累计最高得</w:t>
            </w:r>
            <w:r>
              <w:rPr>
                <w:rFonts w:hint="eastAsia" w:ascii="宋体" w:hAnsi="宋体" w:eastAsia="宋体" w:cs="宋体"/>
                <w:color w:val="auto"/>
                <w:sz w:val="21"/>
                <w:szCs w:val="21"/>
                <w:highlight w:val="none"/>
                <w:lang w:val="en-US" w:eastAsia="zh-CN"/>
              </w:rPr>
              <w:t>9分。</w:t>
            </w:r>
            <w:r>
              <w:rPr>
                <w:rFonts w:hint="eastAsia" w:ascii="宋体" w:hAnsi="宋体" w:eastAsia="宋体" w:cs="宋体"/>
                <w:color w:val="auto"/>
                <w:sz w:val="21"/>
                <w:szCs w:val="21"/>
                <w:highlight w:val="none"/>
              </w:rPr>
              <w:t>分公司投标的，总公司所属车辆不作为得分项。</w:t>
            </w:r>
          </w:p>
        </w:tc>
        <w:tc>
          <w:tcPr>
            <w:tcW w:w="719" w:type="dxa"/>
            <w:vAlign w:val="center"/>
          </w:tcPr>
          <w:p>
            <w:pPr>
              <w:spacing w:before="120"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9" w:type="dxa"/>
            <w:vAlign w:val="center"/>
          </w:tcPr>
          <w:p>
            <w:pPr>
              <w:spacing w:line="30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62" w:type="dxa"/>
            <w:vAlign w:val="center"/>
          </w:tcPr>
          <w:p>
            <w:pPr>
              <w:jc w:val="center"/>
              <w:rPr>
                <w:rFonts w:hint="eastAsia" w:ascii="宋体" w:hAnsi="宋体" w:cs="宋体"/>
                <w:color w:val="auto"/>
                <w:sz w:val="24"/>
                <w:szCs w:val="24"/>
                <w:highlight w:val="none"/>
              </w:rPr>
            </w:pPr>
            <w:r>
              <w:rPr>
                <w:rFonts w:hint="eastAsia" w:ascii="宋体" w:hAnsi="宋体" w:eastAsia="宋体" w:cs="宋体"/>
                <w:color w:val="auto"/>
                <w:sz w:val="21"/>
                <w:szCs w:val="21"/>
                <w:highlight w:val="none"/>
              </w:rPr>
              <w:t>拟投入</w:t>
            </w:r>
            <w:r>
              <w:rPr>
                <w:rFonts w:hint="eastAsia" w:ascii="宋体" w:hAnsi="宋体" w:cs="宋体"/>
                <w:color w:val="auto"/>
                <w:sz w:val="21"/>
                <w:szCs w:val="21"/>
                <w:highlight w:val="none"/>
                <w:lang w:eastAsia="zh-CN"/>
              </w:rPr>
              <w:t>本项目</w:t>
            </w:r>
            <w:r>
              <w:rPr>
                <w:rFonts w:hint="eastAsia" w:ascii="宋体" w:hAnsi="宋体" w:eastAsia="宋体" w:cs="宋体"/>
                <w:color w:val="auto"/>
                <w:sz w:val="21"/>
                <w:szCs w:val="21"/>
                <w:highlight w:val="none"/>
              </w:rPr>
              <w:t>车辆情况</w:t>
            </w:r>
          </w:p>
        </w:tc>
        <w:tc>
          <w:tcPr>
            <w:tcW w:w="5498" w:type="dxa"/>
            <w:vAlign w:val="top"/>
          </w:tcPr>
          <w:p>
            <w:pPr>
              <w:numPr>
                <w:ilvl w:val="0"/>
                <w:numId w:val="3"/>
              </w:numPr>
              <w:spacing w:line="360" w:lineRule="auto"/>
              <w:rPr>
                <w:color w:val="auto"/>
                <w:highlight w:val="none"/>
              </w:rPr>
            </w:pPr>
            <w:r>
              <w:rPr>
                <w:rFonts w:hint="eastAsia" w:ascii="宋体" w:hAnsi="宋体" w:eastAsia="宋体" w:cs="宋体"/>
                <w:color w:val="auto"/>
                <w:sz w:val="21"/>
                <w:szCs w:val="21"/>
                <w:highlight w:val="none"/>
              </w:rPr>
              <w:t>响应供应商具有满足采购人要求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2018年1月1日后生产，配倒车雷达，行车记录仪</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6至9座</w:t>
            </w:r>
            <w:r>
              <w:rPr>
                <w:rFonts w:hint="eastAsia"/>
                <w:color w:val="auto"/>
                <w:highlight w:val="none"/>
                <w:lang w:val="en-US" w:eastAsia="zh-CN"/>
              </w:rPr>
              <w:t>的</w:t>
            </w:r>
            <w:r>
              <w:rPr>
                <w:rFonts w:hint="eastAsia" w:ascii="宋体" w:hAnsi="宋体" w:eastAsia="宋体" w:cs="宋体"/>
                <w:color w:val="auto"/>
                <w:sz w:val="21"/>
                <w:szCs w:val="21"/>
                <w:highlight w:val="none"/>
              </w:rPr>
              <w:t>商务车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的车辆≥</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辆的，得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pPr>
              <w:numPr>
                <w:ilvl w:val="0"/>
                <w:numId w:val="3"/>
              </w:numPr>
              <w:spacing w:line="360" w:lineRule="auto"/>
              <w:rPr>
                <w:rFonts w:hint="eastAsia"/>
                <w:color w:val="auto"/>
                <w:highlight w:val="none"/>
              </w:rPr>
            </w:pPr>
            <w:r>
              <w:rPr>
                <w:rFonts w:hint="eastAsia" w:ascii="宋体" w:hAnsi="宋体" w:eastAsia="宋体" w:cs="宋体"/>
                <w:color w:val="auto"/>
                <w:sz w:val="21"/>
                <w:szCs w:val="21"/>
                <w:highlight w:val="none"/>
              </w:rPr>
              <w:t>响应供应商具有满足采购人要求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2018年1月1日后生产，配倒车雷达，行车记录仪</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6至9座</w:t>
            </w:r>
            <w:r>
              <w:rPr>
                <w:rFonts w:hint="eastAsia"/>
                <w:color w:val="auto"/>
                <w:highlight w:val="none"/>
                <w:lang w:val="en-US" w:eastAsia="zh-CN"/>
              </w:rPr>
              <w:t>的</w:t>
            </w:r>
            <w:r>
              <w:rPr>
                <w:rFonts w:hint="eastAsia" w:ascii="宋体" w:hAnsi="宋体" w:eastAsia="宋体" w:cs="宋体"/>
                <w:color w:val="auto"/>
                <w:sz w:val="21"/>
                <w:szCs w:val="21"/>
                <w:highlight w:val="none"/>
              </w:rPr>
              <w:t>商务车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的车辆≥</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辆的，得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.响应供应商具有满足采购人要求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2018年1月1日后生产，配倒车雷达，行车记录仪</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6至9座</w:t>
            </w:r>
            <w:r>
              <w:rPr>
                <w:rFonts w:hint="eastAsia"/>
                <w:color w:val="auto"/>
                <w:highlight w:val="none"/>
                <w:lang w:val="en-US" w:eastAsia="zh-CN"/>
              </w:rPr>
              <w:t>的</w:t>
            </w:r>
            <w:r>
              <w:rPr>
                <w:rFonts w:hint="eastAsia" w:ascii="宋体" w:hAnsi="宋体" w:eastAsia="宋体" w:cs="宋体"/>
                <w:color w:val="auto"/>
                <w:sz w:val="21"/>
                <w:szCs w:val="21"/>
                <w:highlight w:val="none"/>
              </w:rPr>
              <w:t>商务车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的车辆≥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.响应供应商具有满足采购人要求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2018年1月1日后生产，配倒车雷达，行车记录仪</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6至9座</w:t>
            </w:r>
            <w:r>
              <w:rPr>
                <w:rFonts w:hint="eastAsia"/>
                <w:color w:val="auto"/>
                <w:highlight w:val="none"/>
                <w:lang w:val="en-US" w:eastAsia="zh-CN"/>
              </w:rPr>
              <w:t>的</w:t>
            </w:r>
            <w:r>
              <w:rPr>
                <w:rFonts w:hint="eastAsia" w:ascii="宋体" w:hAnsi="宋体" w:eastAsia="宋体" w:cs="宋体"/>
                <w:color w:val="auto"/>
                <w:sz w:val="21"/>
                <w:szCs w:val="21"/>
                <w:highlight w:val="none"/>
              </w:rPr>
              <w:t>商务车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的车辆≥</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辆的，得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.响应供应商具有满足采购人要求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2018年1月1日后生产，配倒车雷达，行车记录仪</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6至9座</w:t>
            </w:r>
            <w:r>
              <w:rPr>
                <w:rFonts w:hint="eastAsia"/>
                <w:color w:val="auto"/>
                <w:highlight w:val="none"/>
                <w:lang w:val="en-US" w:eastAsia="zh-CN"/>
              </w:rPr>
              <w:t>的</w:t>
            </w:r>
            <w:r>
              <w:rPr>
                <w:rFonts w:hint="eastAsia" w:ascii="宋体" w:hAnsi="宋体" w:eastAsia="宋体" w:cs="宋体"/>
                <w:color w:val="auto"/>
                <w:sz w:val="21"/>
                <w:szCs w:val="21"/>
                <w:highlight w:val="none"/>
              </w:rPr>
              <w:t>商务车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的车辆≤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辆的，得0分。</w:t>
            </w:r>
          </w:p>
          <w:p>
            <w:pPr>
              <w:spacing w:line="360" w:lineRule="auto"/>
              <w:rPr>
                <w:rFonts w:hint="eastAsia" w:ascii="宋体" w:hAnsi="宋体" w:cs="Arial Unicode MS"/>
                <w:bCs/>
                <w:color w:val="auto"/>
                <w:sz w:val="24"/>
                <w:szCs w:val="24"/>
                <w:highlight w:val="none"/>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val="en-US" w:eastAsia="zh-CN"/>
              </w:rPr>
              <w:t>供应商应提供符合采购人要求的车辆证明材料（例如：行驶证、车辆图片），</w:t>
            </w:r>
            <w:r>
              <w:rPr>
                <w:rFonts w:hint="eastAsia" w:ascii="宋体" w:hAnsi="宋体" w:eastAsia="宋体" w:cs="宋体"/>
                <w:color w:val="auto"/>
                <w:sz w:val="21"/>
                <w:szCs w:val="21"/>
                <w:highlight w:val="none"/>
              </w:rPr>
              <w:t>车辆生产时间以车辆行驶证上初始注册日期或车辆购买发票日期为准，如为租赁车辆的需同时提交租赁合同并在租赁有效期内。分公司投标的，总公司所属车辆不作为得分项。</w:t>
            </w:r>
          </w:p>
        </w:tc>
        <w:tc>
          <w:tcPr>
            <w:tcW w:w="719" w:type="dxa"/>
            <w:vAlign w:val="center"/>
          </w:tcPr>
          <w:p>
            <w:pPr>
              <w:spacing w:before="120"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709" w:type="dxa"/>
            <w:vAlign w:val="center"/>
          </w:tcPr>
          <w:p>
            <w:pPr>
              <w:spacing w:line="30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862" w:type="dxa"/>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eastAsia="zh-CN"/>
              </w:rPr>
              <w:t>驾驶员经验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 xml:space="preserve"> </w:t>
            </w:r>
          </w:p>
        </w:tc>
        <w:tc>
          <w:tcPr>
            <w:tcW w:w="5498" w:type="dxa"/>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根据响应供应商具有满足本项目采购人要求的驾驶人员情况进行评审： </w:t>
            </w:r>
          </w:p>
          <w:p>
            <w:pPr>
              <w:numPr>
                <w:ilvl w:val="0"/>
                <w:numId w:val="4"/>
              </w:num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5年或以上驾驶经验（驾龄截至2024年3月1日）持有</w:t>
            </w:r>
            <w:r>
              <w:rPr>
                <w:rFonts w:hint="eastAsia" w:ascii="宋体" w:hAnsi="宋体" w:eastAsia="宋体" w:cs="宋体"/>
                <w:color w:val="auto"/>
                <w:sz w:val="21"/>
                <w:szCs w:val="21"/>
                <w:highlight w:val="none"/>
              </w:rPr>
              <w:t>C1及以上牌照≥</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人的，得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分。 </w:t>
            </w:r>
          </w:p>
          <w:p>
            <w:pPr>
              <w:numPr>
                <w:ilvl w:val="0"/>
                <w:numId w:val="4"/>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5年或以上驾驶经验（驾龄截至2024年3月1日）持有</w:t>
            </w:r>
            <w:r>
              <w:rPr>
                <w:rFonts w:hint="eastAsia" w:ascii="宋体" w:hAnsi="宋体" w:eastAsia="宋体" w:cs="宋体"/>
                <w:color w:val="auto"/>
                <w:sz w:val="21"/>
                <w:szCs w:val="21"/>
                <w:highlight w:val="none"/>
              </w:rPr>
              <w:t>C1及以上牌照≥</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人的，得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numPr>
                <w:ilvl w:val="0"/>
                <w:numId w:val="4"/>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5年或以上驾驶经验（驾龄截至2024年3月1日）持有</w:t>
            </w:r>
            <w:r>
              <w:rPr>
                <w:rFonts w:hint="eastAsia" w:ascii="宋体" w:hAnsi="宋体" w:eastAsia="宋体" w:cs="宋体"/>
                <w:color w:val="auto"/>
                <w:sz w:val="21"/>
                <w:szCs w:val="21"/>
                <w:highlight w:val="none"/>
              </w:rPr>
              <w:t>C1及以上牌照≥</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人的，得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分。 </w:t>
            </w:r>
          </w:p>
          <w:p>
            <w:pPr>
              <w:numPr>
                <w:ilvl w:val="0"/>
                <w:numId w:val="4"/>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5年或以上驾驶经验（驾龄截至2024年3月1日）持有</w:t>
            </w:r>
            <w:r>
              <w:rPr>
                <w:rFonts w:hint="eastAsia" w:ascii="宋体" w:hAnsi="宋体" w:eastAsia="宋体" w:cs="宋体"/>
                <w:color w:val="auto"/>
                <w:sz w:val="21"/>
                <w:szCs w:val="21"/>
                <w:highlight w:val="none"/>
              </w:rPr>
              <w:t>C1及以上牌照≥</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人的，得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分。 </w:t>
            </w:r>
          </w:p>
          <w:p>
            <w:pPr>
              <w:numPr>
                <w:ilvl w:val="0"/>
                <w:numId w:val="4"/>
              </w:num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5年或以上驾驶经验（驾龄截至2024年3月1日）</w:t>
            </w:r>
            <w:r>
              <w:rPr>
                <w:rFonts w:hint="eastAsia" w:ascii="宋体" w:hAnsi="宋体" w:eastAsia="宋体" w:cs="宋体"/>
                <w:color w:val="auto"/>
                <w:sz w:val="21"/>
                <w:szCs w:val="21"/>
                <w:highlight w:val="none"/>
              </w:rPr>
              <w:t>持有驾驶证C1及以上牌照≤</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人的，得</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pPr>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注：1.上述驾驶员需提供2022年3月1日至2024年3月1日没有</w:t>
            </w:r>
            <w:r>
              <w:rPr>
                <w:rFonts w:hint="eastAsia" w:ascii="宋体" w:hAnsi="宋体" w:eastAsia="宋体" w:cs="宋体"/>
                <w:color w:val="auto"/>
                <w:sz w:val="21"/>
                <w:szCs w:val="21"/>
                <w:highlight w:val="none"/>
                <w:lang w:eastAsia="zh-CN"/>
              </w:rPr>
              <w:t>未消除的交通违法</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交通肇事记录</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没有</w:t>
            </w:r>
            <w:r>
              <w:rPr>
                <w:rFonts w:hint="eastAsia" w:ascii="宋体" w:hAnsi="宋体" w:cs="宋体"/>
                <w:color w:val="auto"/>
                <w:sz w:val="21"/>
                <w:szCs w:val="21"/>
                <w:highlight w:val="none"/>
                <w:lang w:eastAsia="zh-CN"/>
              </w:rPr>
              <w:t>发生过重大交通事故或负同等及以上责任，</w:t>
            </w:r>
            <w:r>
              <w:rPr>
                <w:rFonts w:hint="eastAsia" w:ascii="宋体" w:hAnsi="宋体" w:eastAsia="宋体" w:cs="宋体"/>
                <w:color w:val="auto"/>
                <w:sz w:val="21"/>
                <w:szCs w:val="21"/>
                <w:highlight w:val="none"/>
                <w:lang w:eastAsia="zh-CN"/>
              </w:rPr>
              <w:t>没有一次性被扣6分及以上</w:t>
            </w:r>
            <w:r>
              <w:rPr>
                <w:rFonts w:hint="eastAsia" w:ascii="宋体" w:hAnsi="宋体" w:cs="宋体"/>
                <w:color w:val="auto"/>
                <w:sz w:val="21"/>
                <w:szCs w:val="21"/>
                <w:highlight w:val="none"/>
                <w:lang w:val="en-US" w:eastAsia="zh-CN"/>
              </w:rPr>
              <w:t>的证明材料</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提供</w:t>
            </w:r>
            <w:r>
              <w:rPr>
                <w:rFonts w:hint="eastAsia" w:ascii="宋体" w:hAnsi="宋体" w:cs="宋体"/>
                <w:bCs/>
                <w:color w:val="auto"/>
                <w:sz w:val="21"/>
                <w:szCs w:val="21"/>
                <w:highlight w:val="none"/>
                <w:lang w:val="en-US" w:eastAsia="zh-CN"/>
              </w:rPr>
              <w:t>机动车驾驶人安全驾驶记录情况（供应商可通过交管12123或到当地车管所进行申请），及交管12123“驾驶证”-“我的驾驶证”-“我的违法”中“未处理及已处理”的界面截图</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以上均需</w:t>
            </w:r>
            <w:r>
              <w:rPr>
                <w:rFonts w:hint="eastAsia" w:ascii="宋体" w:hAnsi="宋体" w:eastAsia="宋体" w:cs="宋体"/>
                <w:color w:val="auto"/>
                <w:sz w:val="21"/>
                <w:szCs w:val="21"/>
                <w:highlight w:val="none"/>
              </w:rPr>
              <w:t>提供驾驶员的驾驶证复印件、劳动合同复印件、健康证、</w:t>
            </w: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响应文件递交</w:t>
            </w:r>
            <w:r>
              <w:rPr>
                <w:rFonts w:hint="eastAsia" w:ascii="宋体" w:hAnsi="宋体" w:cs="宋体"/>
                <w:color w:val="auto"/>
                <w:szCs w:val="21"/>
                <w:highlight w:val="none"/>
              </w:rPr>
              <w:t>截止日之前</w:t>
            </w:r>
            <w:r>
              <w:rPr>
                <w:rFonts w:hint="eastAsia" w:ascii="宋体" w:hAnsi="宋体" w:eastAsia="宋体" w:cs="宋体"/>
                <w:color w:val="auto"/>
                <w:sz w:val="21"/>
                <w:szCs w:val="21"/>
                <w:highlight w:val="none"/>
              </w:rPr>
              <w:t>6个月内任意一个月社保缴纳证明</w:t>
            </w:r>
            <w:r>
              <w:rPr>
                <w:rFonts w:hint="eastAsia" w:ascii="宋体" w:hAnsi="宋体" w:eastAsia="宋体" w:cs="宋体"/>
                <w:bCs/>
                <w:color w:val="auto"/>
                <w:sz w:val="21"/>
                <w:szCs w:val="21"/>
                <w:highlight w:val="none"/>
                <w:lang w:val="en-US" w:eastAsia="zh-CN"/>
              </w:rPr>
              <w:t>或个人所得税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分公司投标的，总公司的驾驶员不作为得分项。）</w:t>
            </w:r>
          </w:p>
        </w:tc>
        <w:tc>
          <w:tcPr>
            <w:tcW w:w="719" w:type="dxa"/>
            <w:vAlign w:val="center"/>
          </w:tcPr>
          <w:p>
            <w:pPr>
              <w:spacing w:before="120"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069" w:type="dxa"/>
            <w:gridSpan w:val="3"/>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719" w:type="dxa"/>
            <w:vAlign w:val="center"/>
          </w:tcPr>
          <w:p>
            <w:pPr>
              <w:spacing w:line="30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w:t>
            </w:r>
          </w:p>
        </w:tc>
      </w:tr>
    </w:tbl>
    <w:p>
      <w:pPr>
        <w:autoSpaceDE w:val="0"/>
        <w:autoSpaceDN w:val="0"/>
        <w:adjustRightInd w:val="0"/>
        <w:spacing w:line="360" w:lineRule="auto"/>
        <w:ind w:right="678" w:rightChars="323" w:firstLine="0"/>
        <w:rPr>
          <w:rFonts w:hint="eastAsia" w:ascii="宋体" w:hAnsi="宋体" w:eastAsia="宋体" w:cs="宋体"/>
          <w:color w:val="auto"/>
          <w:szCs w:val="21"/>
          <w:highlight w:val="none"/>
        </w:rPr>
      </w:pPr>
    </w:p>
    <w:p>
      <w:pP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pPr>
        <w:pStyle w:val="15"/>
        <w:spacing w:line="300" w:lineRule="auto"/>
        <w:ind w:firstLine="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服务</w:t>
      </w:r>
      <w:r>
        <w:rPr>
          <w:rFonts w:hint="eastAsia" w:ascii="宋体" w:hAnsi="宋体" w:eastAsia="宋体" w:cs="宋体"/>
          <w:b/>
          <w:bCs/>
          <w:color w:val="auto"/>
          <w:sz w:val="32"/>
          <w:szCs w:val="32"/>
          <w:highlight w:val="none"/>
        </w:rPr>
        <w:t>评审表</w:t>
      </w:r>
    </w:p>
    <w:tbl>
      <w:tblPr>
        <w:tblStyle w:val="39"/>
        <w:tblW w:w="89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0"/>
        <w:gridCol w:w="5507"/>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709" w:type="dxa"/>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840" w:type="dxa"/>
            <w:vAlign w:val="top"/>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tc>
        <w:tc>
          <w:tcPr>
            <w:tcW w:w="5507"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评分细则</w:t>
            </w:r>
          </w:p>
        </w:tc>
        <w:tc>
          <w:tcPr>
            <w:tcW w:w="874"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70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40" w:type="dxa"/>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符</w:t>
            </w:r>
            <w:r>
              <w:rPr>
                <w:rFonts w:hint="eastAsia" w:ascii="宋体" w:hAnsi="宋体" w:eastAsia="宋体" w:cs="宋体"/>
                <w:color w:val="auto"/>
                <w:szCs w:val="21"/>
                <w:highlight w:val="none"/>
              </w:rPr>
              <w:t>号</w:t>
            </w:r>
            <w:r>
              <w:rPr>
                <w:rFonts w:hint="eastAsia" w:ascii="宋体" w:hAnsi="宋体" w:cs="宋体"/>
                <w:color w:val="auto"/>
                <w:szCs w:val="21"/>
                <w:highlight w:val="none"/>
                <w:lang w:val="en-US" w:eastAsia="zh-CN"/>
              </w:rPr>
              <w:t>响应情况</w:t>
            </w:r>
          </w:p>
        </w:tc>
        <w:tc>
          <w:tcPr>
            <w:tcW w:w="5507"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对《第</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章采购</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rPr>
              <w:t>需求》中</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符</w:t>
            </w:r>
            <w:r>
              <w:rPr>
                <w:rFonts w:hint="eastAsia" w:ascii="宋体" w:hAnsi="宋体" w:eastAsia="宋体" w:cs="宋体"/>
                <w:color w:val="auto"/>
                <w:szCs w:val="21"/>
                <w:highlight w:val="none"/>
              </w:rPr>
              <w:t>号的重点参数”的响应情况进行评审，技术指标</w:t>
            </w:r>
            <w:r>
              <w:rPr>
                <w:rFonts w:hint="eastAsia" w:ascii="宋体" w:hAnsi="宋体" w:cs="宋体"/>
                <w:color w:val="auto"/>
                <w:szCs w:val="21"/>
                <w:highlight w:val="none"/>
                <w:lang w:val="en-US" w:eastAsia="zh-CN"/>
              </w:rPr>
              <w:t>每项全部满足得3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最高</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分。</w:t>
            </w:r>
          </w:p>
          <w:p>
            <w:pPr>
              <w:pStyle w:val="13"/>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注：</w:t>
            </w:r>
            <w:r>
              <w:rPr>
                <w:rFonts w:hint="eastAsia" w:ascii="宋体" w:hAnsi="宋体" w:eastAsia="宋体" w:cs="宋体"/>
                <w:color w:val="auto"/>
                <w:highlight w:val="none"/>
                <w:lang w:val="en-US" w:eastAsia="zh-CN"/>
              </w:rPr>
              <w:t>（1）采购人需求中有要求的，按采购人需求提供证明材料；</w:t>
            </w:r>
          </w:p>
          <w:p>
            <w:pPr>
              <w:pStyle w:val="13"/>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（2）采购人需求中无要求的，则需提供</w:t>
            </w:r>
            <w:r>
              <w:rPr>
                <w:rFonts w:hint="eastAsia" w:ascii="宋体" w:hAnsi="宋体" w:cs="宋体"/>
                <w:color w:val="auto"/>
                <w:highlight w:val="none"/>
                <w:lang w:val="en-US" w:eastAsia="zh-CN"/>
              </w:rPr>
              <w:t>承诺函，承诺函格式自定</w:t>
            </w:r>
            <w:r>
              <w:rPr>
                <w:rFonts w:hint="eastAsia" w:ascii="宋体" w:hAnsi="宋体" w:eastAsia="宋体" w:cs="宋体"/>
                <w:color w:val="auto"/>
                <w:highlight w:val="none"/>
                <w:lang w:val="en-US" w:eastAsia="zh-CN"/>
              </w:rPr>
              <w:t>；</w:t>
            </w:r>
          </w:p>
          <w:p>
            <w:pPr>
              <w:pStyle w:val="13"/>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（3）未按要求提供资料，不得分。</w:t>
            </w:r>
          </w:p>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每一个</w:t>
            </w:r>
            <w:r>
              <w:rPr>
                <w:rFonts w:hint="eastAsia" w:ascii="宋体" w:hAnsi="宋体" w:eastAsia="宋体" w:cs="宋体"/>
                <w:b/>
                <w:bCs/>
                <w:color w:val="auto"/>
                <w:szCs w:val="21"/>
                <w:highlight w:val="none"/>
              </w:rPr>
              <w:t>“▲号的重点参数”</w:t>
            </w:r>
            <w:r>
              <w:rPr>
                <w:rFonts w:hint="eastAsia" w:ascii="宋体" w:hAnsi="宋体" w:eastAsia="宋体" w:cs="宋体"/>
                <w:b/>
                <w:bCs/>
                <w:color w:val="auto"/>
                <w:szCs w:val="21"/>
                <w:highlight w:val="none"/>
                <w:lang w:val="en-US" w:eastAsia="zh-CN"/>
              </w:rPr>
              <w:t>所包含的内容需全部满足，得</w:t>
            </w: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lang w:val="en-US" w:eastAsia="zh-CN"/>
              </w:rPr>
              <w:t>分，有一项不满足不得分</w:t>
            </w:r>
            <w:r>
              <w:rPr>
                <w:rFonts w:hint="eastAsia" w:ascii="宋体" w:hAnsi="宋体" w:eastAsia="宋体" w:cs="宋体"/>
                <w:b/>
                <w:bCs/>
                <w:color w:val="auto"/>
                <w:highlight w:val="none"/>
                <w:lang w:eastAsia="zh-CN"/>
              </w:rPr>
              <w:t>）</w:t>
            </w:r>
          </w:p>
        </w:tc>
        <w:tc>
          <w:tcPr>
            <w:tcW w:w="874" w:type="dxa"/>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709" w:type="dxa"/>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40"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安全营运服务方案</w:t>
            </w:r>
          </w:p>
        </w:tc>
        <w:tc>
          <w:tcPr>
            <w:tcW w:w="5507"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响应供应商提供的安全营运服务方案（内容包含但不限于：需有专人负责采购人车辆及驾驶员的管理工作，并服从采购人的车辆服务和调度；服务供应商每月至少安排一次驾驶员安全会议，开展交通安全教育，必要时随时召开驾驶员安全教育会议，并听取驾驶员的合理意见和建议，提高驾驶员交通安全意识等）进行评审： </w:t>
            </w:r>
          </w:p>
          <w:p>
            <w:pPr>
              <w:spacing w:line="360" w:lineRule="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供应商安排专职管理人员负责车辆及驾驶员的管理工作，能每月召开一次服务团队安全会议并及时反馈采购人提出的问题，安全营运服务方案能围绕本项目实际需求进行制定的，得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供应商安排专职管理人员负责管理工作，能每月召开一次服务团队安全会议并及时反馈采购人提出的问题，但安全营运服务方案未能关联本项目实际需求的，得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有安全运营服务方案，但没有安排专职管理人员负责管理工作，或不能每月召开一次服务团队安全会议并及时反馈采购人提出的问题的，得1分；</w:t>
            </w:r>
          </w:p>
          <w:p>
            <w:pPr>
              <w:spacing w:line="360" w:lineRule="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4.未提供，得0分。</w:t>
            </w:r>
          </w:p>
        </w:tc>
        <w:tc>
          <w:tcPr>
            <w:tcW w:w="874" w:type="dxa"/>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709"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840"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用车应急预案</w:t>
            </w:r>
          </w:p>
        </w:tc>
        <w:tc>
          <w:tcPr>
            <w:tcW w:w="5507" w:type="dxa"/>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根据供应商提供的应急预案（包括但不限于车辆在接送采购人员的途中发生交通事故或车辆机械故障时的处理方案；用车期间可能发生的</w:t>
            </w:r>
            <w:r>
              <w:rPr>
                <w:rFonts w:hint="eastAsia" w:ascii="宋体" w:hAnsi="宋体" w:eastAsia="宋体" w:cs="宋体"/>
                <w:color w:val="auto"/>
                <w:sz w:val="21"/>
                <w:szCs w:val="21"/>
                <w:highlight w:val="none"/>
                <w:lang w:eastAsia="zh-CN"/>
              </w:rPr>
              <w:t>恶劣天气、火灾事故、应急救援等情况的</w:t>
            </w:r>
            <w:r>
              <w:rPr>
                <w:rFonts w:hint="eastAsia" w:ascii="宋体" w:hAnsi="宋体" w:eastAsia="宋体" w:cs="宋体"/>
                <w:color w:val="auto"/>
                <w:sz w:val="21"/>
                <w:szCs w:val="21"/>
                <w:highlight w:val="none"/>
              </w:rPr>
              <w:t>处理方案等进行评审：</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1、针对用车期间可能发生的突发状况作出应急处置，能够充分考虑本项目实际情况，提出的相关措施</w:t>
            </w:r>
            <w:r>
              <w:rPr>
                <w:rFonts w:hint="eastAsia" w:ascii="宋体" w:hAnsi="宋体" w:cs="宋体"/>
                <w:color w:val="auto"/>
                <w:sz w:val="21"/>
                <w:szCs w:val="21"/>
                <w:highlight w:val="none"/>
                <w:lang w:val="en-US" w:eastAsia="zh-CN"/>
              </w:rPr>
              <w:t>全面、</w:t>
            </w:r>
            <w:r>
              <w:rPr>
                <w:rFonts w:hint="eastAsia" w:ascii="宋体" w:hAnsi="宋体" w:eastAsia="宋体" w:cs="宋体"/>
                <w:color w:val="auto"/>
                <w:sz w:val="21"/>
                <w:szCs w:val="21"/>
                <w:highlight w:val="none"/>
                <w:lang w:val="en-US" w:eastAsia="zh-CN"/>
              </w:rPr>
              <w:t>详细清晰且有针对性，能有效确保项目的顺利实施，得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分；</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2、能根据用车期间可能发生的突发状况情况提出解决措施，能确保项目的实施，得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3、能根据用车期间可能发生的突发状况情况提出措施，但未能围绕本项目的实际情况提出解决措施或存在针对性不足，或</w:t>
            </w:r>
            <w:r>
              <w:rPr>
                <w:rFonts w:hint="eastAsia" w:ascii="宋体" w:hAnsi="宋体" w:cs="宋体"/>
                <w:color w:val="auto"/>
                <w:sz w:val="21"/>
                <w:szCs w:val="21"/>
                <w:highlight w:val="none"/>
                <w:lang w:val="en-US" w:eastAsia="zh-CN"/>
              </w:rPr>
              <w:t>应对措施不够全面</w:t>
            </w:r>
            <w:r>
              <w:rPr>
                <w:rFonts w:hint="eastAsia" w:ascii="宋体" w:hAnsi="宋体" w:eastAsia="宋体" w:cs="宋体"/>
                <w:color w:val="auto"/>
                <w:sz w:val="21"/>
                <w:szCs w:val="21"/>
                <w:highlight w:val="none"/>
                <w:lang w:val="en-US" w:eastAsia="zh-CN"/>
              </w:rPr>
              <w:t>的情况，得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4、无提供方案不得分。</w:t>
            </w:r>
          </w:p>
        </w:tc>
        <w:tc>
          <w:tcPr>
            <w:tcW w:w="874" w:type="dxa"/>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709"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840" w:type="dxa"/>
            <w:vAlign w:val="center"/>
          </w:tcPr>
          <w:p>
            <w:pPr>
              <w:spacing w:line="360" w:lineRule="auto"/>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车辆维修保养</w:t>
            </w:r>
            <w:r>
              <w:rPr>
                <w:rFonts w:hint="eastAsia" w:ascii="宋体" w:hAnsi="宋体" w:cs="宋体"/>
                <w:color w:val="auto"/>
                <w:kern w:val="0"/>
                <w:szCs w:val="21"/>
                <w:highlight w:val="none"/>
                <w:lang w:eastAsia="zh-CN"/>
              </w:rPr>
              <w:t>保障</w:t>
            </w:r>
          </w:p>
        </w:tc>
        <w:tc>
          <w:tcPr>
            <w:tcW w:w="5507" w:type="dxa"/>
            <w:vAlign w:val="center"/>
          </w:tcPr>
          <w:p>
            <w:pPr>
              <w:numPr>
                <w:ilvl w:val="0"/>
                <w:numId w:val="5"/>
              </w:numPr>
              <w:spacing w:line="360" w:lineRule="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供应商</w:t>
            </w:r>
            <w:r>
              <w:rPr>
                <w:rFonts w:hint="eastAsia" w:ascii="宋体" w:hAnsi="宋体" w:cs="宋体"/>
                <w:color w:val="auto"/>
                <w:szCs w:val="21"/>
                <w:highlight w:val="none"/>
                <w:lang w:eastAsia="zh-CN"/>
              </w:rPr>
              <w:t>提供车辆维修保养方案的，得</w:t>
            </w:r>
            <w:r>
              <w:rPr>
                <w:rFonts w:hint="eastAsia" w:ascii="宋体" w:hAnsi="宋体" w:cs="宋体"/>
                <w:color w:val="auto"/>
                <w:szCs w:val="21"/>
                <w:highlight w:val="none"/>
                <w:lang w:val="en-US" w:eastAsia="zh-CN"/>
              </w:rPr>
              <w:t>1分；</w:t>
            </w:r>
          </w:p>
          <w:p>
            <w:pPr>
              <w:numPr>
                <w:ilvl w:val="0"/>
                <w:numId w:val="5"/>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cs="宋体"/>
                <w:color w:val="auto"/>
                <w:szCs w:val="21"/>
                <w:highlight w:val="none"/>
                <w:lang w:eastAsia="zh-CN"/>
              </w:rPr>
              <w:t>对拟投入本项目车辆</w:t>
            </w:r>
            <w:r>
              <w:rPr>
                <w:rFonts w:hint="eastAsia" w:ascii="宋体" w:hAnsi="宋体" w:eastAsia="宋体" w:cs="宋体"/>
                <w:color w:val="auto"/>
                <w:szCs w:val="21"/>
                <w:highlight w:val="none"/>
              </w:rPr>
              <w:t>建立车辆</w:t>
            </w:r>
            <w:r>
              <w:rPr>
                <w:rFonts w:hint="eastAsia" w:ascii="宋体" w:hAnsi="宋体" w:cs="宋体"/>
                <w:color w:val="auto"/>
                <w:szCs w:val="21"/>
                <w:highlight w:val="none"/>
                <w:lang w:eastAsia="zh-CN"/>
              </w:rPr>
              <w:t>维修、维保</w:t>
            </w:r>
            <w:r>
              <w:rPr>
                <w:rFonts w:hint="eastAsia" w:ascii="宋体" w:hAnsi="宋体" w:eastAsia="宋体" w:cs="宋体"/>
                <w:color w:val="auto"/>
                <w:szCs w:val="21"/>
                <w:highlight w:val="none"/>
              </w:rPr>
              <w:t>档案</w:t>
            </w:r>
            <w:r>
              <w:rPr>
                <w:rFonts w:hint="eastAsia" w:ascii="宋体" w:hAnsi="宋体" w:cs="宋体"/>
                <w:color w:val="auto"/>
                <w:szCs w:val="21"/>
                <w:highlight w:val="none"/>
                <w:lang w:eastAsia="zh-CN"/>
              </w:rPr>
              <w:t>的情况进行评审（提供车辆维修、维保档案扫描件并加盖</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lang w:eastAsia="zh-CN"/>
              </w:rPr>
              <w:t>公章）</w:t>
            </w:r>
            <w:r>
              <w:rPr>
                <w:rFonts w:hint="eastAsia" w:ascii="宋体" w:hAnsi="宋体" w:cs="宋体"/>
                <w:color w:val="auto"/>
                <w:szCs w:val="21"/>
                <w:highlight w:val="none"/>
                <w:lang w:val="en-US" w:eastAsia="zh-CN"/>
              </w:rPr>
              <w:t>；</w:t>
            </w:r>
          </w:p>
          <w:p>
            <w:pPr>
              <w:numPr>
                <w:ilvl w:val="-1"/>
                <w:numId w:val="0"/>
              </w:num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拟投入本项目车辆</w:t>
            </w:r>
            <w:r>
              <w:rPr>
                <w:rFonts w:hint="eastAsia" w:ascii="宋体" w:hAnsi="宋体" w:eastAsia="宋体" w:cs="宋体"/>
                <w:color w:val="auto"/>
                <w:szCs w:val="21"/>
                <w:highlight w:val="none"/>
              </w:rPr>
              <w:t>建立车辆</w:t>
            </w:r>
            <w:r>
              <w:rPr>
                <w:rFonts w:hint="eastAsia" w:ascii="宋体" w:hAnsi="宋体" w:cs="宋体"/>
                <w:color w:val="auto"/>
                <w:szCs w:val="21"/>
                <w:highlight w:val="none"/>
                <w:lang w:eastAsia="zh-CN"/>
              </w:rPr>
              <w:t>维修、维保</w:t>
            </w:r>
            <w:r>
              <w:rPr>
                <w:rFonts w:hint="eastAsia" w:ascii="宋体" w:hAnsi="宋体" w:eastAsia="宋体" w:cs="宋体"/>
                <w:color w:val="auto"/>
                <w:szCs w:val="21"/>
                <w:highlight w:val="none"/>
              </w:rPr>
              <w:t>档案</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7台</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p>
          <w:p>
            <w:pPr>
              <w:numPr>
                <w:ilvl w:val="-1"/>
                <w:numId w:val="0"/>
              </w:numPr>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拟投入本项目车辆</w:t>
            </w:r>
            <w:r>
              <w:rPr>
                <w:rFonts w:hint="eastAsia" w:ascii="宋体" w:hAnsi="宋体" w:eastAsia="宋体" w:cs="宋体"/>
                <w:color w:val="auto"/>
                <w:szCs w:val="21"/>
                <w:highlight w:val="none"/>
              </w:rPr>
              <w:t>建立车辆</w:t>
            </w:r>
            <w:r>
              <w:rPr>
                <w:rFonts w:hint="eastAsia" w:ascii="宋体" w:hAnsi="宋体" w:cs="宋体"/>
                <w:color w:val="auto"/>
                <w:szCs w:val="21"/>
                <w:highlight w:val="none"/>
                <w:lang w:eastAsia="zh-CN"/>
              </w:rPr>
              <w:t>维修、维保</w:t>
            </w:r>
            <w:r>
              <w:rPr>
                <w:rFonts w:hint="eastAsia" w:ascii="宋体" w:hAnsi="宋体" w:eastAsia="宋体" w:cs="宋体"/>
                <w:color w:val="auto"/>
                <w:szCs w:val="21"/>
                <w:highlight w:val="none"/>
              </w:rPr>
              <w:t>档案</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台</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numPr>
                <w:ilvl w:val="-1"/>
                <w:numId w:val="0"/>
              </w:num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拟投入本项目车辆</w:t>
            </w:r>
            <w:r>
              <w:rPr>
                <w:rFonts w:hint="eastAsia" w:ascii="宋体" w:hAnsi="宋体" w:eastAsia="宋体" w:cs="宋体"/>
                <w:color w:val="auto"/>
                <w:szCs w:val="21"/>
                <w:highlight w:val="none"/>
              </w:rPr>
              <w:t>建立车辆</w:t>
            </w:r>
            <w:r>
              <w:rPr>
                <w:rFonts w:hint="eastAsia" w:ascii="宋体" w:hAnsi="宋体" w:cs="宋体"/>
                <w:color w:val="auto"/>
                <w:szCs w:val="21"/>
                <w:highlight w:val="none"/>
                <w:lang w:eastAsia="zh-CN"/>
              </w:rPr>
              <w:t>维修、维保</w:t>
            </w:r>
            <w:r>
              <w:rPr>
                <w:rFonts w:hint="eastAsia" w:ascii="宋体" w:hAnsi="宋体" w:eastAsia="宋体" w:cs="宋体"/>
                <w:color w:val="auto"/>
                <w:szCs w:val="21"/>
                <w:highlight w:val="none"/>
              </w:rPr>
              <w:t>档案</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台</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numPr>
                <w:ilvl w:val="-1"/>
                <w:numId w:val="0"/>
              </w:num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拟投入本项目车辆</w:t>
            </w:r>
            <w:r>
              <w:rPr>
                <w:rFonts w:hint="eastAsia" w:ascii="宋体" w:hAnsi="宋体" w:eastAsia="宋体" w:cs="宋体"/>
                <w:color w:val="auto"/>
                <w:szCs w:val="21"/>
                <w:highlight w:val="none"/>
              </w:rPr>
              <w:t>建立车辆</w:t>
            </w:r>
            <w:r>
              <w:rPr>
                <w:rFonts w:hint="eastAsia" w:ascii="宋体" w:hAnsi="宋体" w:cs="宋体"/>
                <w:color w:val="auto"/>
                <w:szCs w:val="21"/>
                <w:highlight w:val="none"/>
                <w:lang w:eastAsia="zh-CN"/>
              </w:rPr>
              <w:t>维修、维保</w:t>
            </w:r>
            <w:r>
              <w:rPr>
                <w:rFonts w:hint="eastAsia" w:ascii="宋体" w:hAnsi="宋体" w:eastAsia="宋体" w:cs="宋体"/>
                <w:color w:val="auto"/>
                <w:szCs w:val="21"/>
                <w:highlight w:val="none"/>
              </w:rPr>
              <w:t>档案</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台</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numPr>
                <w:ilvl w:val="-1"/>
                <w:numId w:val="0"/>
              </w:numPr>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cs="宋体"/>
                <w:color w:val="auto"/>
                <w:szCs w:val="21"/>
                <w:highlight w:val="none"/>
                <w:lang w:eastAsia="zh-CN"/>
              </w:rPr>
              <w:t>拟投入本项目车辆</w:t>
            </w:r>
            <w:r>
              <w:rPr>
                <w:rFonts w:hint="eastAsia" w:ascii="宋体" w:hAnsi="宋体" w:eastAsia="宋体" w:cs="宋体"/>
                <w:color w:val="auto"/>
                <w:szCs w:val="21"/>
                <w:highlight w:val="none"/>
              </w:rPr>
              <w:t>建立车辆</w:t>
            </w:r>
            <w:r>
              <w:rPr>
                <w:rFonts w:hint="eastAsia" w:ascii="宋体" w:hAnsi="宋体" w:cs="宋体"/>
                <w:color w:val="auto"/>
                <w:szCs w:val="21"/>
                <w:highlight w:val="none"/>
                <w:lang w:eastAsia="zh-CN"/>
              </w:rPr>
              <w:t>维修、维保</w:t>
            </w:r>
            <w:r>
              <w:rPr>
                <w:rFonts w:hint="eastAsia" w:ascii="宋体" w:hAnsi="宋体" w:eastAsia="宋体" w:cs="宋体"/>
                <w:color w:val="auto"/>
                <w:szCs w:val="21"/>
                <w:highlight w:val="none"/>
              </w:rPr>
              <w:t>档案</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台</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numPr>
                <w:ilvl w:val="-1"/>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分公司投标的，总公司所属车辆不作为得分项。</w:t>
            </w:r>
          </w:p>
        </w:tc>
        <w:tc>
          <w:tcPr>
            <w:tcW w:w="874" w:type="dxa"/>
            <w:vAlign w:val="center"/>
          </w:tcPr>
          <w:p>
            <w:pPr>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709" w:type="dxa"/>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840" w:type="dxa"/>
            <w:vAlign w:val="center"/>
          </w:tcPr>
          <w:p>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车辆保险情况</w:t>
            </w:r>
          </w:p>
        </w:tc>
        <w:tc>
          <w:tcPr>
            <w:tcW w:w="5507" w:type="dxa"/>
            <w:vAlign w:val="center"/>
          </w:tcPr>
          <w:p>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1.响应供应商具有满足采购人要求的车辆（≥</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辆）均购买了第三者商业保险（200万元及以上）及意外伤害险或乘客险（70万元</w:t>
            </w:r>
            <w:r>
              <w:rPr>
                <w:rFonts w:hint="eastAsia" w:ascii="宋体" w:hAnsi="宋体" w:eastAsia="宋体" w:cs="宋体"/>
                <w:color w:val="auto"/>
                <w:szCs w:val="21"/>
                <w:highlight w:val="none"/>
                <w:lang w:val="en-US" w:eastAsia="zh-CN"/>
              </w:rPr>
              <w:t>/座</w:t>
            </w:r>
            <w:r>
              <w:rPr>
                <w:rFonts w:hint="eastAsia" w:ascii="宋体" w:hAnsi="宋体" w:eastAsia="宋体" w:cs="宋体"/>
                <w:color w:val="auto"/>
                <w:szCs w:val="21"/>
                <w:highlight w:val="none"/>
              </w:rPr>
              <w:t>及以上）的，得</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w:t>
            </w:r>
          </w:p>
          <w:p>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2.响应供应商具有满足采购人要求的车辆（≥</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辆）均购买了第三者商业保险（150万元及以上）及意外伤害险或乘客险（≥50万元</w:t>
            </w:r>
            <w:r>
              <w:rPr>
                <w:rFonts w:hint="eastAsia" w:ascii="宋体" w:hAnsi="宋体" w:eastAsia="宋体" w:cs="宋体"/>
                <w:color w:val="auto"/>
                <w:szCs w:val="21"/>
                <w:highlight w:val="none"/>
                <w:lang w:val="en-US" w:eastAsia="zh-CN"/>
              </w:rPr>
              <w:t>/座</w:t>
            </w:r>
            <w:r>
              <w:rPr>
                <w:rFonts w:hint="eastAsia" w:ascii="宋体" w:hAnsi="宋体" w:eastAsia="宋体" w:cs="宋体"/>
                <w:color w:val="auto"/>
                <w:szCs w:val="21"/>
                <w:highlight w:val="none"/>
              </w:rPr>
              <w:t>＜70万元</w:t>
            </w:r>
            <w:r>
              <w:rPr>
                <w:rFonts w:hint="eastAsia" w:ascii="宋体" w:hAnsi="宋体" w:eastAsia="宋体" w:cs="宋体"/>
                <w:color w:val="auto"/>
                <w:szCs w:val="21"/>
                <w:highlight w:val="none"/>
                <w:lang w:val="en-US" w:eastAsia="zh-CN"/>
              </w:rPr>
              <w:t>/座</w:t>
            </w:r>
            <w:r>
              <w:rPr>
                <w:rFonts w:hint="eastAsia" w:ascii="宋体" w:hAnsi="宋体" w:eastAsia="宋体" w:cs="宋体"/>
                <w:color w:val="auto"/>
                <w:szCs w:val="21"/>
                <w:highlight w:val="none"/>
              </w:rPr>
              <w:t>）的，得</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分。</w:t>
            </w:r>
          </w:p>
          <w:p>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3.响应供应商具有满足采购人要求的车辆（≥</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辆）均购买了第三者商业保险（100万元及以上）及意外伤害险或乘客险（≥30万元</w:t>
            </w:r>
            <w:r>
              <w:rPr>
                <w:rFonts w:hint="eastAsia" w:ascii="宋体" w:hAnsi="宋体" w:eastAsia="宋体" w:cs="宋体"/>
                <w:color w:val="auto"/>
                <w:szCs w:val="21"/>
                <w:highlight w:val="none"/>
                <w:lang w:val="en-US" w:eastAsia="zh-CN"/>
              </w:rPr>
              <w:t>/座</w:t>
            </w:r>
            <w:r>
              <w:rPr>
                <w:rFonts w:hint="eastAsia" w:ascii="宋体" w:hAnsi="宋体" w:eastAsia="宋体" w:cs="宋体"/>
                <w:color w:val="auto"/>
                <w:szCs w:val="21"/>
                <w:highlight w:val="none"/>
              </w:rPr>
              <w:t>＜50万元</w:t>
            </w:r>
            <w:r>
              <w:rPr>
                <w:rFonts w:hint="eastAsia" w:ascii="宋体" w:hAnsi="宋体" w:eastAsia="宋体" w:cs="宋体"/>
                <w:color w:val="auto"/>
                <w:szCs w:val="21"/>
                <w:highlight w:val="none"/>
                <w:lang w:val="en-US" w:eastAsia="zh-CN"/>
              </w:rPr>
              <w:t>/座</w:t>
            </w:r>
            <w:r>
              <w:rPr>
                <w:rFonts w:hint="eastAsia" w:ascii="宋体" w:hAnsi="宋体" w:eastAsia="宋体" w:cs="宋体"/>
                <w:color w:val="auto"/>
                <w:szCs w:val="21"/>
                <w:highlight w:val="none"/>
              </w:rPr>
              <w:t>）的，得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p>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4.其他不得分。</w:t>
            </w:r>
          </w:p>
          <w:p>
            <w:pPr>
              <w:numPr>
                <w:ilvl w:val="0"/>
                <w:numId w:val="0"/>
              </w:num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注：满足评审项“</w:t>
            </w:r>
            <w:r>
              <w:rPr>
                <w:rFonts w:hint="eastAsia" w:ascii="宋体" w:hAnsi="宋体" w:cs="宋体"/>
                <w:color w:val="auto"/>
                <w:szCs w:val="21"/>
                <w:highlight w:val="none"/>
              </w:rPr>
              <w:t>拟投入本项目车辆情况</w:t>
            </w:r>
            <w:r>
              <w:rPr>
                <w:rFonts w:hint="eastAsia" w:ascii="宋体" w:hAnsi="宋体" w:eastAsia="宋体" w:cs="宋体"/>
                <w:color w:val="auto"/>
                <w:szCs w:val="21"/>
                <w:highlight w:val="none"/>
              </w:rPr>
              <w:t>”相关资料要求的前提下，同时提供车辆投保相关证明材料为准，否则不得分。</w:t>
            </w:r>
          </w:p>
        </w:tc>
        <w:tc>
          <w:tcPr>
            <w:tcW w:w="874" w:type="dxa"/>
            <w:vAlign w:val="center"/>
          </w:tcPr>
          <w:p>
            <w:pPr>
              <w:spacing w:line="360" w:lineRule="auto"/>
              <w:jc w:val="center"/>
              <w:rPr>
                <w:rFonts w:hint="default"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8056" w:type="dxa"/>
            <w:gridSpan w:val="3"/>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合计</w:t>
            </w:r>
          </w:p>
        </w:tc>
        <w:tc>
          <w:tcPr>
            <w:tcW w:w="874" w:type="dxa"/>
            <w:vAlign w:val="center"/>
          </w:tcPr>
          <w:p>
            <w:pPr>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0</w:t>
            </w:r>
          </w:p>
        </w:tc>
      </w:tr>
    </w:tbl>
    <w:p>
      <w:pPr>
        <w:autoSpaceDE w:val="0"/>
        <w:autoSpaceDN w:val="0"/>
        <w:adjustRightInd w:val="0"/>
        <w:spacing w:line="360" w:lineRule="auto"/>
        <w:ind w:right="678" w:rightChars="323"/>
        <w:jc w:val="left"/>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备注：</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应提交与评价指标体系相关的各类有效资料。</w:t>
      </w:r>
    </w:p>
    <w:p>
      <w:pPr>
        <w:tabs>
          <w:tab w:val="left" w:pos="0"/>
        </w:tabs>
        <w:spacing w:line="360" w:lineRule="auto"/>
        <w:jc w:val="both"/>
        <w:rPr>
          <w:rFonts w:hint="eastAsia" w:ascii="宋体" w:hAnsi="宋体" w:eastAsia="宋体" w:cs="宋体"/>
          <w:b/>
          <w:bCs/>
          <w:color w:val="auto"/>
          <w:kern w:val="2"/>
          <w:sz w:val="32"/>
          <w:szCs w:val="32"/>
          <w:highlight w:val="none"/>
          <w:lang w:val="en-US" w:eastAsia="zh-CN" w:bidi="ar-SA"/>
        </w:rPr>
      </w:pPr>
    </w:p>
    <w:p>
      <w:pPr>
        <w:tabs>
          <w:tab w:val="left" w:pos="0"/>
        </w:tabs>
        <w:spacing w:line="360" w:lineRule="auto"/>
        <w:jc w:val="center"/>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价格评审表</w:t>
      </w:r>
    </w:p>
    <w:tbl>
      <w:tblPr>
        <w:tblStyle w:val="40"/>
        <w:tblW w:w="9569"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69"/>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c>
          <w:tcPr>
            <w:tcW w:w="9569" w:type="dxa"/>
            <w:tcBorders>
              <w:tl2br w:val="nil"/>
              <w:tr2bl w:val="nil"/>
            </w:tcBorders>
            <w:vAlign w:val="top"/>
          </w:tcPr>
          <w:p>
            <w:pPr>
              <w:widowControl/>
              <w:tabs>
                <w:tab w:val="left" w:pos="7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价格评分：价格分统一采用低价优先法计算，即满足招标文件要求（通过</w:t>
            </w:r>
            <w:r>
              <w:rPr>
                <w:rFonts w:hint="eastAsia" w:ascii="宋体" w:hAnsi="宋体" w:eastAsia="宋体" w:cs="宋体"/>
                <w:color w:val="auto"/>
                <w:szCs w:val="21"/>
                <w:highlight w:val="none"/>
                <w:lang w:eastAsia="zh-CN"/>
              </w:rPr>
              <w:t>资格</w:t>
            </w:r>
            <w:r>
              <w:rPr>
                <w:rFonts w:hint="eastAsia" w:ascii="宋体" w:hAnsi="宋体" w:eastAsia="宋体" w:cs="宋体"/>
                <w:color w:val="auto"/>
                <w:szCs w:val="21"/>
                <w:highlight w:val="none"/>
              </w:rPr>
              <w:t>审查和符合性审查）且价格最低的评标价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1-下浮率</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(指修正及价格扣除后报价)为评标基准价，其价格分为满分。其他</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的价格分统一按照下列公式计算：</w:t>
            </w:r>
          </w:p>
          <w:p>
            <w:pPr>
              <w:tabs>
                <w:tab w:val="left" w:pos="720"/>
              </w:tabs>
              <w:spacing w:line="360" w:lineRule="auto"/>
              <w:ind w:firstLine="630" w:firstLineChars="300"/>
              <w:rPr>
                <w:rFonts w:hint="eastAsia" w:ascii="宋体" w:hAnsi="宋体" w:eastAsia="宋体" w:cs="宋体"/>
                <w:b/>
                <w:bCs/>
                <w:color w:val="auto"/>
                <w:kern w:val="2"/>
                <w:sz w:val="32"/>
                <w:szCs w:val="32"/>
                <w:highlight w:val="none"/>
                <w:vertAlign w:val="baseline"/>
                <w:lang w:val="en-US" w:eastAsia="zh-CN" w:bidi="ar-SA"/>
              </w:rPr>
            </w:pPr>
            <w:r>
              <w:rPr>
                <w:rFonts w:hint="eastAsia" w:ascii="宋体" w:hAnsi="宋体"/>
                <w:color w:val="auto"/>
                <w:szCs w:val="21"/>
                <w:highlight w:val="none"/>
              </w:rPr>
              <w:t>价格评分=（评标基准价／评标价）×价格</w:t>
            </w:r>
            <w:r>
              <w:rPr>
                <w:rFonts w:hint="eastAsia" w:ascii="宋体" w:hAnsi="宋体"/>
                <w:color w:val="auto"/>
                <w:szCs w:val="21"/>
                <w:highlight w:val="none"/>
                <w:lang w:eastAsia="zh-CN"/>
              </w:rPr>
              <w:t>分值</w:t>
            </w:r>
          </w:p>
        </w:tc>
      </w:tr>
    </w:tbl>
    <w:p>
      <w:pPr>
        <w:autoSpaceDE w:val="0"/>
        <w:autoSpaceDN w:val="0"/>
        <w:adjustRightInd w:val="0"/>
        <w:spacing w:line="360" w:lineRule="auto"/>
        <w:ind w:right="678" w:rightChars="323"/>
        <w:jc w:val="left"/>
        <w:rPr>
          <w:rFonts w:hint="eastAsia" w:ascii="宋体" w:hAnsi="宋体" w:eastAsia="宋体" w:cs="宋体"/>
          <w:color w:val="auto"/>
          <w:szCs w:val="21"/>
          <w:highlight w:val="none"/>
        </w:rPr>
      </w:pPr>
    </w:p>
    <w:p>
      <w:pPr>
        <w:pStyle w:val="2"/>
        <w:numPr>
          <w:ilvl w:val="0"/>
          <w:numId w:val="1"/>
        </w:numPr>
        <w:spacing w:line="360" w:lineRule="auto"/>
        <w:jc w:val="center"/>
        <w:rPr>
          <w:rFonts w:hint="eastAsia" w:ascii="宋体" w:hAnsi="宋体" w:eastAsia="宋体" w:cs="宋体"/>
          <w:color w:val="auto"/>
          <w:sz w:val="32"/>
          <w:szCs w:val="32"/>
          <w:highlight w:val="none"/>
        </w:rPr>
        <w:sectPr>
          <w:headerReference r:id="rId14" w:type="default"/>
          <w:footerReference r:id="rId15" w:type="default"/>
          <w:type w:val="continuous"/>
          <w:pgSz w:w="11906" w:h="16838"/>
          <w:pgMar w:top="1191" w:right="1361" w:bottom="1191" w:left="1191" w:header="794" w:footer="794" w:gutter="0"/>
          <w:pgNumType w:fmt="decimal"/>
          <w:cols w:space="720" w:num="1"/>
          <w:docGrid w:linePitch="285" w:charSpace="0"/>
        </w:sectPr>
      </w:pPr>
    </w:p>
    <w:p>
      <w:pPr>
        <w:autoSpaceDE/>
        <w:autoSpaceDN/>
        <w:adjustRightInd/>
        <w:spacing w:line="240" w:lineRule="auto"/>
        <w:ind w:right="0" w:rightChars="0" w:firstLine="0"/>
        <w:rPr>
          <w:rFonts w:hint="eastAsia" w:ascii="宋体" w:hAnsi="宋体" w:eastAsia="宋体" w:cs="宋体"/>
          <w:color w:val="auto"/>
          <w:szCs w:val="21"/>
          <w:highlight w:val="none"/>
        </w:rPr>
      </w:pPr>
    </w:p>
    <w:p>
      <w:pPr>
        <w:jc w:val="center"/>
        <w:rPr>
          <w:rFonts w:hint="default" w:ascii="宋体" w:hAnsi="宋体" w:eastAsia="宋体" w:cs="宋体"/>
          <w:color w:val="auto"/>
          <w:sz w:val="32"/>
          <w:szCs w:val="32"/>
          <w:highlight w:val="none"/>
          <w:lang w:val="en-US" w:eastAsia="zh-CN"/>
        </w:rPr>
      </w:pPr>
      <w:bookmarkStart w:id="133" w:name="_Toc461991253"/>
      <w:r>
        <w:rPr>
          <w:rFonts w:hint="eastAsia" w:ascii="宋体" w:hAnsi="宋体" w:eastAsia="宋体" w:cs="宋体"/>
          <w:color w:val="auto"/>
          <w:sz w:val="32"/>
          <w:szCs w:val="32"/>
          <w:highlight w:val="none"/>
        </w:rPr>
        <w:br w:type="page"/>
      </w:r>
    </w:p>
    <w:p>
      <w:pPr>
        <w:pStyle w:val="2"/>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第六章</w:t>
      </w:r>
      <w:bookmarkStart w:id="134" w:name="_Toc10525535"/>
      <w:r>
        <w:rPr>
          <w:rFonts w:hint="eastAsia" w:ascii="宋体" w:hAnsi="宋体" w:eastAsia="宋体" w:cs="宋体"/>
          <w:color w:val="auto"/>
          <w:sz w:val="32"/>
          <w:szCs w:val="32"/>
          <w:highlight w:val="none"/>
        </w:rPr>
        <w:t xml:space="preserve"> </w:t>
      </w:r>
      <w:bookmarkEnd w:id="134"/>
      <w:r>
        <w:rPr>
          <w:rFonts w:hint="eastAsia" w:ascii="宋体" w:hAnsi="宋体" w:eastAsia="宋体" w:cs="宋体"/>
          <w:color w:val="auto"/>
          <w:sz w:val="32"/>
          <w:szCs w:val="32"/>
          <w:highlight w:val="none"/>
          <w:lang w:eastAsia="zh-CN"/>
        </w:rPr>
        <w:t>响应文件</w:t>
      </w:r>
      <w:r>
        <w:rPr>
          <w:rFonts w:hint="eastAsia" w:ascii="宋体" w:hAnsi="宋体" w:eastAsia="宋体" w:cs="宋体"/>
          <w:color w:val="auto"/>
          <w:sz w:val="32"/>
          <w:szCs w:val="32"/>
          <w:highlight w:val="none"/>
        </w:rPr>
        <w:t>格式</w:t>
      </w:r>
      <w:bookmarkEnd w:id="133"/>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目录表</w:t>
      </w:r>
    </w:p>
    <w:tbl>
      <w:tblPr>
        <w:tblStyle w:val="39"/>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6595"/>
        <w:gridCol w:w="755"/>
        <w:gridCol w:w="802"/>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93" w:beforeLines="30" w:after="93" w:afterLines="30"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6595" w:type="dxa"/>
            <w:tcBorders>
              <w:bottom w:val="single" w:color="auto" w:sz="4" w:space="0"/>
            </w:tcBorders>
            <w:vAlign w:val="center"/>
          </w:tcPr>
          <w:p>
            <w:pPr>
              <w:spacing w:before="156" w:beforeLines="50" w:after="156" w:afterLines="50"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文 件 名 称</w:t>
            </w:r>
          </w:p>
        </w:tc>
        <w:tc>
          <w:tcPr>
            <w:tcW w:w="755" w:type="dxa"/>
            <w:vAlign w:val="top"/>
          </w:tcPr>
          <w:p>
            <w:pPr>
              <w:spacing w:before="93" w:beforeLines="30"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是否提交</w:t>
            </w:r>
          </w:p>
        </w:tc>
        <w:tc>
          <w:tcPr>
            <w:tcW w:w="802" w:type="dxa"/>
            <w:vAlign w:val="top"/>
          </w:tcPr>
          <w:p>
            <w:pPr>
              <w:spacing w:before="93" w:beforeLines="30"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页码范围</w:t>
            </w:r>
          </w:p>
        </w:tc>
        <w:tc>
          <w:tcPr>
            <w:tcW w:w="902" w:type="dxa"/>
            <w:vAlign w:val="top"/>
          </w:tcPr>
          <w:p>
            <w:pPr>
              <w:spacing w:before="156" w:beforeLines="50" w:after="156" w:afterLines="50" w:line="24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响应文件</w:t>
            </w:r>
          </w:p>
        </w:tc>
        <w:tc>
          <w:tcPr>
            <w:tcW w:w="755" w:type="dxa"/>
            <w:vAlign w:val="top"/>
          </w:tcPr>
          <w:p>
            <w:pPr>
              <w:spacing w:before="10" w:after="10" w:line="240" w:lineRule="exact"/>
              <w:rPr>
                <w:rFonts w:hint="eastAsia" w:ascii="宋体" w:hAnsi="宋体" w:eastAsia="宋体" w:cs="宋体"/>
                <w:color w:val="auto"/>
                <w:szCs w:val="21"/>
                <w:highlight w:val="none"/>
              </w:rPr>
            </w:pPr>
          </w:p>
        </w:tc>
        <w:tc>
          <w:tcPr>
            <w:tcW w:w="802" w:type="dxa"/>
            <w:vAlign w:val="top"/>
          </w:tcPr>
          <w:p>
            <w:pPr>
              <w:spacing w:before="10" w:after="10" w:line="240" w:lineRule="exact"/>
              <w:rPr>
                <w:rFonts w:hint="eastAsia" w:ascii="宋体" w:hAnsi="宋体" w:eastAsia="宋体" w:cs="宋体"/>
                <w:color w:val="auto"/>
                <w:szCs w:val="21"/>
                <w:highlight w:val="none"/>
              </w:rPr>
            </w:pPr>
          </w:p>
        </w:tc>
        <w:tc>
          <w:tcPr>
            <w:tcW w:w="902" w:type="dxa"/>
            <w:vAlign w:val="top"/>
          </w:tcPr>
          <w:p>
            <w:pPr>
              <w:spacing w:before="10" w:after="10"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★报价函（格式1）</w:t>
            </w:r>
          </w:p>
        </w:tc>
        <w:tc>
          <w:tcPr>
            <w:tcW w:w="755" w:type="dxa"/>
            <w:vAlign w:val="top"/>
          </w:tcPr>
          <w:p>
            <w:pPr>
              <w:spacing w:before="10" w:after="10" w:line="240" w:lineRule="exact"/>
              <w:rPr>
                <w:rFonts w:hint="eastAsia" w:ascii="宋体" w:hAnsi="宋体" w:eastAsia="宋体" w:cs="宋体"/>
                <w:color w:val="auto"/>
                <w:szCs w:val="21"/>
                <w:highlight w:val="none"/>
              </w:rPr>
            </w:pPr>
          </w:p>
        </w:tc>
        <w:tc>
          <w:tcPr>
            <w:tcW w:w="802" w:type="dxa"/>
            <w:vAlign w:val="top"/>
          </w:tcPr>
          <w:p>
            <w:pPr>
              <w:spacing w:before="10" w:after="10" w:line="240" w:lineRule="exact"/>
              <w:rPr>
                <w:rFonts w:hint="eastAsia" w:ascii="宋体" w:hAnsi="宋体" w:eastAsia="宋体" w:cs="宋体"/>
                <w:color w:val="auto"/>
                <w:szCs w:val="21"/>
                <w:highlight w:val="none"/>
              </w:rPr>
            </w:pPr>
          </w:p>
        </w:tc>
        <w:tc>
          <w:tcPr>
            <w:tcW w:w="902" w:type="dxa"/>
            <w:vAlign w:val="top"/>
          </w:tcPr>
          <w:p>
            <w:pPr>
              <w:spacing w:before="10" w:after="10"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6595" w:type="dxa"/>
            <w:vAlign w:val="center"/>
          </w:tcPr>
          <w:p>
            <w:pPr>
              <w:spacing w:before="93" w:beforeLines="30" w:line="2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首次</w:t>
            </w:r>
            <w:r>
              <w:rPr>
                <w:rFonts w:hint="eastAsia" w:ascii="宋体" w:hAnsi="宋体" w:eastAsia="宋体" w:cs="宋体"/>
                <w:bCs/>
                <w:color w:val="auto"/>
                <w:szCs w:val="21"/>
                <w:highlight w:val="none"/>
              </w:rPr>
              <w:t>报价一览表（格式2）</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rPr>
            </w:pPr>
            <w:r>
              <w:rPr>
                <w:rFonts w:hint="eastAsia" w:ascii="宋体" w:hAnsi="宋体" w:eastAsia="宋体" w:cs="宋体"/>
                <w:color w:val="auto"/>
                <w:highlight w:val="none"/>
              </w:rPr>
              <w:t>中小企业声明函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格式1</w:t>
            </w:r>
            <w:r>
              <w:rPr>
                <w:rFonts w:hint="eastAsia" w:ascii="宋体" w:hAnsi="宋体" w:cs="宋体"/>
                <w:color w:val="auto"/>
                <w:highlight w:val="none"/>
                <w:lang w:val="en-US" w:eastAsia="zh-CN"/>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、残疾人福利性单位声明函</w:t>
            </w:r>
            <w:r>
              <w:rPr>
                <w:rFonts w:hint="eastAsia" w:ascii="宋体" w:hAnsi="宋体" w:eastAsia="宋体" w:cs="宋体"/>
                <w:b w:val="0"/>
                <w:color w:val="auto"/>
                <w:szCs w:val="21"/>
                <w:highlight w:val="none"/>
                <w:lang w:val="en-US" w:eastAsia="zh-CN"/>
              </w:rPr>
              <w:t>（</w:t>
            </w:r>
            <w:r>
              <w:rPr>
                <w:rFonts w:hint="eastAsia" w:ascii="宋体" w:hAnsi="宋体" w:eastAsia="宋体" w:cs="宋体"/>
                <w:color w:val="auto"/>
                <w:highlight w:val="none"/>
              </w:rPr>
              <w:t>格式可在</w:t>
            </w:r>
            <w:r>
              <w:rPr>
                <w:rFonts w:hint="eastAsia" w:ascii="宋体" w:hAnsi="宋体" w:eastAsia="宋体" w:cs="宋体"/>
                <w:color w:val="auto"/>
                <w:szCs w:val="21"/>
                <w:highlight w:val="none"/>
              </w:rPr>
              <w:t>http://www.gzqunsheng.com/常用文件一栏</w:t>
            </w:r>
            <w:r>
              <w:rPr>
                <w:rFonts w:hint="eastAsia" w:ascii="宋体" w:hAnsi="宋体" w:eastAsia="宋体" w:cs="宋体"/>
                <w:bCs/>
                <w:color w:val="auto"/>
                <w:szCs w:val="21"/>
                <w:highlight w:val="none"/>
              </w:rPr>
              <w:t>下载</w:t>
            </w:r>
            <w:r>
              <w:rPr>
                <w:rFonts w:hint="eastAsia" w:ascii="宋体" w:hAnsi="宋体" w:eastAsia="宋体" w:cs="宋体"/>
                <w:b w:val="0"/>
                <w:color w:val="auto"/>
                <w:szCs w:val="21"/>
                <w:highlight w:val="none"/>
                <w:lang w:val="en-US" w:eastAsia="zh-CN"/>
              </w:rPr>
              <w:t>）</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w:t>
            </w:r>
          </w:p>
        </w:tc>
        <w:tc>
          <w:tcPr>
            <w:tcW w:w="6595" w:type="dxa"/>
            <w:vAlign w:val="center"/>
          </w:tcPr>
          <w:p>
            <w:pPr>
              <w:spacing w:before="31" w:beforeLines="10" w:after="31" w:afterLines="1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资格</w:t>
            </w:r>
            <w:r>
              <w:rPr>
                <w:rFonts w:hint="eastAsia" w:ascii="宋体" w:hAnsi="宋体" w:eastAsia="宋体" w:cs="宋体"/>
                <w:bCs/>
                <w:color w:val="auto"/>
                <w:szCs w:val="21"/>
                <w:highlight w:val="none"/>
              </w:rPr>
              <w:t>、符合性审查文件</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1</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 w:val="21"/>
                <w:szCs w:val="21"/>
                <w:highlight w:val="none"/>
              </w:rPr>
              <w:t>提供在中华人民共和国境内注册的法人或其他组织的营业执照或事业单位法人证书或社会团体法人登记证书复印件，如响应供应商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rPr>
            </w:pPr>
            <w:r>
              <w:rPr>
                <w:rFonts w:hint="eastAsia" w:ascii="宋体" w:hAnsi="宋体" w:eastAsia="宋体" w:cs="宋体"/>
                <w:color w:val="auto"/>
                <w:kern w:val="0"/>
                <w:szCs w:val="21"/>
                <w:highlight w:val="none"/>
              </w:rPr>
              <w:t>组织机构代码证，国、地税务登记证副本复印件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三证合一除外</w:t>
            </w:r>
            <w:r>
              <w:rPr>
                <w:rFonts w:hint="eastAsia" w:ascii="宋体" w:hAnsi="宋体" w:eastAsia="宋体" w:cs="宋体"/>
                <w:color w:val="auto"/>
                <w:kern w:val="0"/>
                <w:szCs w:val="21"/>
                <w:highlight w:val="none"/>
                <w:lang w:eastAsia="zh-CN"/>
              </w:rPr>
              <w:t>）</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653" w:type="dxa"/>
            <w:vAlign w:val="center"/>
          </w:tcPr>
          <w:p>
            <w:pPr>
              <w:spacing w:before="31" w:beforeLines="10" w:after="31" w:afterLines="10" w:line="24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w:t>
            </w:r>
          </w:p>
        </w:tc>
        <w:tc>
          <w:tcPr>
            <w:tcW w:w="6595" w:type="dxa"/>
            <w:vAlign w:val="center"/>
          </w:tcPr>
          <w:p>
            <w:pPr>
              <w:spacing w:before="31" w:beforeLines="10" w:after="31" w:afterLines="10" w:line="240" w:lineRule="exact"/>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提供2022年度</w:t>
            </w:r>
            <w:r>
              <w:rPr>
                <w:rFonts w:hint="eastAsia" w:ascii="宋体" w:hAnsi="宋体" w:cs="宋体"/>
                <w:color w:val="auto"/>
                <w:sz w:val="21"/>
                <w:szCs w:val="21"/>
                <w:highlight w:val="none"/>
                <w:lang w:val="en-US" w:eastAsia="zh-CN"/>
              </w:rPr>
              <w:t>审计报告，或2023年</w:t>
            </w:r>
            <w:r>
              <w:rPr>
                <w:rFonts w:hint="eastAsia" w:ascii="宋体" w:hAnsi="宋体" w:eastAsia="宋体" w:cs="宋体"/>
                <w:color w:val="auto"/>
                <w:sz w:val="21"/>
                <w:szCs w:val="21"/>
                <w:highlight w:val="none"/>
              </w:rPr>
              <w:t>财务状况报告</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或202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年以来任意1个月的财务状况报告复印件，或银行出具的资信证明材料复印件</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653" w:type="dxa"/>
            <w:vAlign w:val="center"/>
          </w:tcPr>
          <w:p>
            <w:pPr>
              <w:spacing w:before="31" w:beforeLines="10" w:after="31" w:afterLines="10" w:line="24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4</w:t>
            </w:r>
          </w:p>
        </w:tc>
        <w:tc>
          <w:tcPr>
            <w:tcW w:w="6595" w:type="dxa"/>
            <w:vAlign w:val="center"/>
          </w:tcPr>
          <w:p>
            <w:pPr>
              <w:spacing w:before="31" w:beforeLines="10" w:after="31" w:afterLines="10" w:line="240" w:lineRule="exact"/>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提供202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年以来任意1个月缴纳税收的凭据证明材料复印件；如依法免税的，应提供相关材料</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5</w:t>
            </w:r>
          </w:p>
        </w:tc>
        <w:tc>
          <w:tcPr>
            <w:tcW w:w="6595" w:type="dxa"/>
            <w:vAlign w:val="center"/>
          </w:tcPr>
          <w:p>
            <w:pPr>
              <w:spacing w:before="31" w:beforeLines="10" w:after="31" w:afterLines="10" w:line="240" w:lineRule="exact"/>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提供202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年以来任意1个月缴纳社会保障资金的凭据证明材料复印件；如依法不需要缴纳社会保障资金的，应提供相关材料</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w:t>
            </w:r>
          </w:p>
        </w:tc>
        <w:tc>
          <w:tcPr>
            <w:tcW w:w="6595" w:type="dxa"/>
            <w:vAlign w:val="center"/>
          </w:tcPr>
          <w:p>
            <w:pPr>
              <w:spacing w:before="31" w:beforeLines="10" w:after="31" w:afterLines="10" w:line="240" w:lineRule="exact"/>
              <w:rPr>
                <w:rFonts w:hint="eastAsia" w:ascii="宋体" w:hAnsi="宋体" w:eastAsia="宋体" w:cs="宋体"/>
                <w:color w:val="auto"/>
                <w:sz w:val="21"/>
                <w:szCs w:val="21"/>
                <w:highlight w:val="none"/>
              </w:rPr>
            </w:pPr>
            <w:r>
              <w:rPr>
                <w:rFonts w:hint="eastAsia" w:ascii="宋体" w:hAnsi="宋体" w:eastAsia="宋体" w:cs="宋体"/>
                <w:bCs/>
                <w:color w:val="auto"/>
                <w:szCs w:val="21"/>
                <w:highlight w:val="none"/>
              </w:rPr>
              <w:t>★未列入</w:t>
            </w:r>
            <w:r>
              <w:rPr>
                <w:rFonts w:hint="eastAsia" w:ascii="宋体" w:hAnsi="宋体" w:eastAsia="宋体" w:cs="宋体"/>
                <w:bCs/>
                <w:color w:val="auto"/>
                <w:kern w:val="2"/>
                <w:sz w:val="21"/>
                <w:szCs w:val="21"/>
                <w:highlight w:val="none"/>
                <w:rtl w:val="0"/>
                <w:lang w:val="en-US" w:eastAsia="zh-CN" w:bidi="ar-SA"/>
              </w:rPr>
              <w:t>“信用中国”网站中“失信被执行人或重大税收违法案件当事人名单（税收违法黑名单或重大税收违法失信主体）或政府采购严重违法失信行为”的记录名单；不处于“中国政府采购网”中“政府采购严重违法失信行为信息记录”的禁止参加政府采购活动期间</w:t>
            </w:r>
            <w:r>
              <w:rPr>
                <w:rFonts w:hint="eastAsia" w:ascii="宋体" w:hAnsi="宋体" w:eastAsia="宋体" w:cs="宋体"/>
                <w:bCs/>
                <w:color w:val="auto"/>
                <w:szCs w:val="21"/>
                <w:highlight w:val="none"/>
              </w:rPr>
              <w:t>（</w:t>
            </w:r>
            <w:r>
              <w:rPr>
                <w:rFonts w:hint="eastAsia" w:ascii="宋体" w:hAnsi="宋体" w:eastAsia="宋体" w:cs="宋体"/>
                <w:bCs/>
                <w:color w:val="auto"/>
                <w:kern w:val="2"/>
                <w:sz w:val="21"/>
                <w:szCs w:val="21"/>
                <w:highlight w:val="none"/>
                <w:rtl w:val="0"/>
                <w:lang w:val="en-US" w:eastAsia="zh-CN" w:bidi="ar-SA"/>
              </w:rPr>
              <w:t>以采购代理机构于响应文件截止时间当天在“信用中国”网站（www.creditchina.gov.cn）及中国政府采购网（http://www.ccgp.gov.cn/）查询结果为准，如相关失信记录已失效，供应商需提供相关证明资料</w:t>
            </w:r>
            <w:r>
              <w:rPr>
                <w:rFonts w:hint="eastAsia" w:ascii="宋体" w:hAnsi="宋体" w:eastAsia="宋体" w:cs="宋体"/>
                <w:bCs/>
                <w:color w:val="auto"/>
                <w:sz w:val="21"/>
                <w:szCs w:val="21"/>
                <w:highlight w:val="none"/>
              </w:rPr>
              <w:t>）</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7</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★供应商必须具备有效期内的《道路旅客运输经营许可证》，提供扫描件（如国家另有规定的，适用其规定）</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8</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eastAsia="zh-CN"/>
              </w:rPr>
              <w:t>获取</w:t>
            </w:r>
            <w:r>
              <w:rPr>
                <w:rFonts w:hint="eastAsia" w:ascii="宋体" w:hAnsi="宋体" w:eastAsia="宋体" w:cs="宋体"/>
                <w:color w:val="auto"/>
                <w:szCs w:val="21"/>
                <w:highlight w:val="none"/>
              </w:rPr>
              <w:t>采购文件的收据或发票复印件</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9</w:t>
            </w:r>
          </w:p>
        </w:tc>
        <w:tc>
          <w:tcPr>
            <w:tcW w:w="6595" w:type="dxa"/>
            <w:vAlign w:val="center"/>
          </w:tcPr>
          <w:p>
            <w:pPr>
              <w:spacing w:before="31" w:beforeLines="10" w:after="31" w:afterLines="10" w:line="24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Cs w:val="21"/>
                <w:highlight w:val="none"/>
              </w:rPr>
              <w:t>★法定代表人证明及授权书（格式</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10</w:t>
            </w:r>
          </w:p>
        </w:tc>
        <w:tc>
          <w:tcPr>
            <w:tcW w:w="6595" w:type="dxa"/>
            <w:vAlign w:val="center"/>
          </w:tcPr>
          <w:p>
            <w:pPr>
              <w:spacing w:before="31" w:beforeLines="10" w:after="31" w:afterLines="10" w:line="24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rPr>
              <w:t>实质性条款响应一览表（格式</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11</w:t>
            </w:r>
          </w:p>
        </w:tc>
        <w:tc>
          <w:tcPr>
            <w:tcW w:w="6595" w:type="dxa"/>
            <w:vAlign w:val="center"/>
          </w:tcPr>
          <w:p>
            <w:pPr>
              <w:spacing w:before="31" w:beforeLines="10" w:after="31" w:afterLines="10" w:line="24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rPr>
              <w:t>★关于资格证明文件的声明函（格式</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12</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color w:val="auto"/>
                <w:szCs w:val="21"/>
                <w:highlight w:val="none"/>
                <w:lang w:val="en-US" w:eastAsia="zh-CN"/>
              </w:rPr>
              <w:t>设备及专业技术能力情况表（格式</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13</w:t>
            </w:r>
          </w:p>
        </w:tc>
        <w:tc>
          <w:tcPr>
            <w:tcW w:w="6595" w:type="dxa"/>
            <w:vAlign w:val="center"/>
          </w:tcPr>
          <w:p>
            <w:pPr>
              <w:spacing w:before="31" w:beforeLines="10" w:after="31" w:afterLines="10" w:line="240" w:lineRule="exac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0"/>
                <w:szCs w:val="21"/>
                <w:highlight w:val="none"/>
              </w:rPr>
              <w:t>其他资格证明文件</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商务、</w:t>
            </w:r>
            <w:r>
              <w:rPr>
                <w:rFonts w:hint="eastAsia" w:ascii="宋体" w:hAnsi="宋体" w:eastAsia="宋体" w:cs="宋体"/>
                <w:bCs/>
                <w:color w:val="auto"/>
                <w:szCs w:val="21"/>
                <w:highlight w:val="none"/>
                <w:lang w:val="en-US" w:eastAsia="zh-CN"/>
              </w:rPr>
              <w:t>服务</w:t>
            </w:r>
            <w:r>
              <w:rPr>
                <w:rFonts w:hint="eastAsia" w:ascii="宋体" w:hAnsi="宋体" w:eastAsia="宋体" w:cs="宋体"/>
                <w:bCs/>
                <w:color w:val="auto"/>
                <w:szCs w:val="21"/>
                <w:highlight w:val="none"/>
              </w:rPr>
              <w:t>文件</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商务、服务评审索引表（格式</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lang w:val="en-US" w:eastAsia="zh-CN"/>
              </w:rPr>
              <w:t>）</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2</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同类项目业绩表（格式</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val="en-US" w:eastAsia="zh-CN"/>
              </w:rPr>
              <w:t>3</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为本项目配置人员说明（格式自拟）</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4</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lang w:eastAsia="zh-CN"/>
              </w:rPr>
            </w:pPr>
            <w:r>
              <w:rPr>
                <w:rFonts w:hint="eastAsia"/>
                <w:color w:val="auto"/>
                <w:highlight w:val="none"/>
                <w:lang w:eastAsia="zh-CN"/>
              </w:rPr>
              <w:t>拟投入车辆驾驶员情况一览表（</w:t>
            </w:r>
            <w:r>
              <w:rPr>
                <w:rFonts w:hint="eastAsia"/>
                <w:color w:val="auto"/>
                <w:highlight w:val="none"/>
                <w:lang w:val="en-US" w:eastAsia="zh-CN"/>
              </w:rPr>
              <w:t>格式9</w:t>
            </w:r>
            <w:r>
              <w:rPr>
                <w:rFonts w:hint="eastAsia"/>
                <w:color w:val="auto"/>
                <w:highlight w:val="none"/>
                <w:lang w:eastAsia="zh-CN"/>
              </w:rPr>
              <w:t>）</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5</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与采购人需求差异表（格式</w:t>
            </w:r>
            <w:r>
              <w:rPr>
                <w:rFonts w:hint="eastAsia" w:ascii="宋体" w:hAnsi="宋体" w:cs="宋体"/>
                <w:bCs/>
                <w:color w:val="auto"/>
                <w:szCs w:val="21"/>
                <w:highlight w:val="none"/>
                <w:lang w:val="en-US" w:eastAsia="zh-CN"/>
              </w:rPr>
              <w:t>10</w:t>
            </w:r>
            <w:r>
              <w:rPr>
                <w:rFonts w:hint="eastAsia" w:ascii="宋体" w:hAnsi="宋体" w:eastAsia="宋体" w:cs="宋体"/>
                <w:bCs/>
                <w:color w:val="auto"/>
                <w:szCs w:val="21"/>
                <w:highlight w:val="none"/>
              </w:rPr>
              <w:t>）</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6</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合同条款响应一览表</w:t>
            </w:r>
            <w:r>
              <w:rPr>
                <w:rFonts w:hint="eastAsia" w:ascii="宋体" w:hAnsi="宋体" w:eastAsia="宋体" w:cs="宋体"/>
                <w:bCs/>
                <w:color w:val="auto"/>
                <w:szCs w:val="21"/>
                <w:highlight w:val="none"/>
              </w:rPr>
              <w:t>（格式</w:t>
            </w:r>
            <w:r>
              <w:rPr>
                <w:rFonts w:hint="eastAsia" w:ascii="宋体" w:hAnsi="宋体" w:eastAsia="宋体" w:cs="宋体"/>
                <w:bCs/>
                <w:color w:val="auto"/>
                <w:szCs w:val="21"/>
                <w:highlight w:val="none"/>
                <w:lang w:val="en-US" w:eastAsia="zh-CN"/>
              </w:rPr>
              <w:t>1</w:t>
            </w:r>
            <w:r>
              <w:rPr>
                <w:rFonts w:hint="eastAsia" w:ascii="宋体" w:hAnsi="宋体" w:cs="宋体"/>
                <w:bCs/>
                <w:color w:val="auto"/>
                <w:szCs w:val="21"/>
                <w:highlight w:val="none"/>
                <w:lang w:val="en-US" w:eastAsia="zh-CN"/>
              </w:rPr>
              <w:t>1</w:t>
            </w:r>
            <w:r>
              <w:rPr>
                <w:rFonts w:hint="eastAsia" w:ascii="宋体" w:hAnsi="宋体" w:eastAsia="宋体" w:cs="宋体"/>
                <w:bCs/>
                <w:color w:val="auto"/>
                <w:szCs w:val="21"/>
                <w:highlight w:val="none"/>
              </w:rPr>
              <w:t>）</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Cs w:val="21"/>
                <w:highlight w:val="none"/>
                <w:lang w:val="en-US" w:eastAsia="zh-CN"/>
              </w:rPr>
              <w:t>7</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缴交采购代理服务费承诺书（格式1</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8</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同意</w:t>
            </w:r>
            <w:r>
              <w:rPr>
                <w:rFonts w:hint="eastAsia" w:ascii="宋体" w:hAnsi="宋体" w:eastAsia="宋体" w:cs="宋体"/>
                <w:bCs/>
                <w:color w:val="auto"/>
                <w:szCs w:val="21"/>
                <w:highlight w:val="none"/>
                <w:lang w:eastAsia="zh-CN"/>
              </w:rPr>
              <w:t>磋商</w:t>
            </w:r>
            <w:r>
              <w:rPr>
                <w:rFonts w:hint="eastAsia" w:ascii="宋体" w:hAnsi="宋体" w:eastAsia="宋体" w:cs="宋体"/>
                <w:bCs/>
                <w:color w:val="auto"/>
                <w:szCs w:val="21"/>
                <w:highlight w:val="none"/>
              </w:rPr>
              <w:t>文件条款说明（格式1</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9</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rPr>
            </w:pPr>
            <w:r>
              <w:rPr>
                <w:rFonts w:hint="eastAsia" w:cs="宋体"/>
                <w:color w:val="auto"/>
                <w:highlight w:val="none"/>
                <w:lang w:val="en-US" w:eastAsia="zh-CN"/>
              </w:rPr>
              <w:t>拟投入本项目车辆一览表（格式14）</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Cs w:val="21"/>
                <w:highlight w:val="none"/>
                <w:lang w:val="en-US" w:eastAsia="zh-CN"/>
              </w:rPr>
              <w:t>10</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方案</w:t>
            </w:r>
            <w:r>
              <w:rPr>
                <w:rFonts w:hint="eastAsia" w:ascii="宋体" w:hAnsi="宋体" w:eastAsia="宋体" w:cs="宋体"/>
                <w:bCs/>
                <w:color w:val="auto"/>
                <w:szCs w:val="21"/>
                <w:highlight w:val="none"/>
              </w:rPr>
              <w:t>（格式自拟）</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53" w:type="dxa"/>
            <w:vAlign w:val="center"/>
          </w:tcPr>
          <w:p>
            <w:pPr>
              <w:spacing w:before="31" w:beforeLines="10" w:after="31" w:afterLines="10" w:line="24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11</w:t>
            </w:r>
          </w:p>
        </w:tc>
        <w:tc>
          <w:tcPr>
            <w:tcW w:w="6595" w:type="dxa"/>
            <w:vAlign w:val="center"/>
          </w:tcPr>
          <w:p>
            <w:pPr>
              <w:spacing w:before="31" w:beforeLines="10" w:after="31" w:afterLines="10" w:line="24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认为需提交的其他资料</w:t>
            </w:r>
          </w:p>
        </w:tc>
        <w:tc>
          <w:tcPr>
            <w:tcW w:w="755" w:type="dxa"/>
            <w:vAlign w:val="top"/>
          </w:tcPr>
          <w:p>
            <w:pPr>
              <w:spacing w:line="240" w:lineRule="exact"/>
              <w:rPr>
                <w:rFonts w:hint="eastAsia" w:ascii="宋体" w:hAnsi="宋体" w:eastAsia="宋体" w:cs="宋体"/>
                <w:color w:val="auto"/>
                <w:szCs w:val="21"/>
                <w:highlight w:val="none"/>
              </w:rPr>
            </w:pPr>
          </w:p>
        </w:tc>
        <w:tc>
          <w:tcPr>
            <w:tcW w:w="802" w:type="dxa"/>
            <w:vAlign w:val="top"/>
          </w:tcPr>
          <w:p>
            <w:pPr>
              <w:spacing w:line="240" w:lineRule="exact"/>
              <w:rPr>
                <w:rFonts w:hint="eastAsia" w:ascii="宋体" w:hAnsi="宋体" w:eastAsia="宋体" w:cs="宋体"/>
                <w:color w:val="auto"/>
                <w:szCs w:val="21"/>
                <w:highlight w:val="none"/>
              </w:rPr>
            </w:pPr>
          </w:p>
        </w:tc>
        <w:tc>
          <w:tcPr>
            <w:tcW w:w="902" w:type="dxa"/>
            <w:vAlign w:val="top"/>
          </w:tcPr>
          <w:p>
            <w:pPr>
              <w:spacing w:line="240" w:lineRule="exact"/>
              <w:rPr>
                <w:rFonts w:hint="eastAsia" w:ascii="宋体" w:hAnsi="宋体" w:eastAsia="宋体" w:cs="宋体"/>
                <w:color w:val="auto"/>
                <w:szCs w:val="21"/>
                <w:highlight w:val="none"/>
              </w:rPr>
            </w:pPr>
          </w:p>
        </w:tc>
      </w:tr>
    </w:tbl>
    <w:p>
      <w:pPr>
        <w:spacing w:line="360" w:lineRule="auto"/>
        <w:rPr>
          <w:rFonts w:hint="eastAsia" w:ascii="宋体" w:hAnsi="宋体" w:eastAsia="宋体" w:cs="宋体"/>
          <w:b/>
          <w:color w:val="auto"/>
          <w:sz w:val="24"/>
          <w:szCs w:val="24"/>
          <w:highlight w:val="none"/>
        </w:rPr>
      </w:pPr>
    </w:p>
    <w:p>
      <w:pPr>
        <w:numPr>
          <w:ilvl w:val="0"/>
          <w:numId w:val="6"/>
        </w:numPr>
        <w:spacing w:beforeLines="50" w:afterLines="20"/>
        <w:rPr>
          <w:rFonts w:hint="eastAsia" w:ascii="宋体" w:hAnsi="宋体" w:eastAsia="宋体" w:cs="宋体"/>
          <w:b/>
          <w:color w:val="auto"/>
          <w:sz w:val="24"/>
          <w:szCs w:val="24"/>
          <w:highlight w:val="none"/>
        </w:rPr>
      </w:pPr>
      <w:bookmarkStart w:id="135" w:name="_Toc2840367"/>
      <w:bookmarkStart w:id="136" w:name="_Toc24877731"/>
      <w:bookmarkStart w:id="137" w:name="_Toc24702364"/>
      <w:bookmarkStart w:id="138" w:name="_Toc234746277"/>
      <w:bookmarkStart w:id="139" w:name="_Toc231010434"/>
      <w:r>
        <w:rPr>
          <w:rFonts w:hint="eastAsia" w:ascii="宋体" w:hAnsi="宋体" w:eastAsia="宋体" w:cs="宋体"/>
          <w:b/>
          <w:color w:val="auto"/>
          <w:sz w:val="24"/>
          <w:szCs w:val="24"/>
          <w:highlight w:val="none"/>
        </w:rPr>
        <w:t>报价信封</w:t>
      </w:r>
    </w:p>
    <w:tbl>
      <w:tblPr>
        <w:tblStyle w:val="39"/>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784"/>
        <w:gridCol w:w="1390"/>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534" w:type="dxa"/>
            <w:vAlign w:val="center"/>
          </w:tcPr>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号</w:t>
            </w:r>
          </w:p>
        </w:tc>
        <w:tc>
          <w:tcPr>
            <w:tcW w:w="6784" w:type="dxa"/>
            <w:vAlign w:val="center"/>
          </w:tcPr>
          <w:p>
            <w:pPr>
              <w:spacing w:beforeLines="50" w:after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文 件 名 称</w:t>
            </w:r>
          </w:p>
        </w:tc>
        <w:tc>
          <w:tcPr>
            <w:tcW w:w="1390" w:type="dxa"/>
            <w:vAlign w:val="center"/>
          </w:tcPr>
          <w:p>
            <w:pPr>
              <w:spacing w:beforeLines="50" w:after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是否提交</w:t>
            </w:r>
          </w:p>
        </w:tc>
        <w:tc>
          <w:tcPr>
            <w:tcW w:w="976" w:type="dxa"/>
            <w:vAlign w:val="center"/>
          </w:tcPr>
          <w:p>
            <w:pPr>
              <w:spacing w:beforeLines="50" w:afterLines="50"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34" w:type="dxa"/>
            <w:vAlign w:val="center"/>
          </w:tcPr>
          <w:p>
            <w:pPr>
              <w:spacing w:beforeLines="10" w:afterLines="1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p>
        </w:tc>
        <w:tc>
          <w:tcPr>
            <w:tcW w:w="6784"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报价一览表（与</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中的内容保持一致）；</w:t>
            </w:r>
          </w:p>
        </w:tc>
        <w:tc>
          <w:tcPr>
            <w:tcW w:w="1390" w:type="dxa"/>
            <w:vAlign w:val="center"/>
          </w:tcPr>
          <w:p>
            <w:pPr>
              <w:spacing w:line="360" w:lineRule="auto"/>
              <w:rPr>
                <w:rFonts w:hint="eastAsia" w:ascii="宋体" w:hAnsi="宋体" w:eastAsia="宋体" w:cs="宋体"/>
                <w:color w:val="auto"/>
                <w:sz w:val="21"/>
                <w:szCs w:val="21"/>
                <w:highlight w:val="none"/>
              </w:rPr>
            </w:pPr>
          </w:p>
        </w:tc>
        <w:tc>
          <w:tcPr>
            <w:tcW w:w="976"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534" w:type="dxa"/>
            <w:vAlign w:val="center"/>
          </w:tcPr>
          <w:p>
            <w:pPr>
              <w:spacing w:beforeLines="10" w:afterLines="10"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w:t>
            </w:r>
          </w:p>
        </w:tc>
        <w:tc>
          <w:tcPr>
            <w:tcW w:w="6784"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分项报价表（与</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中的内容保持一致）；</w:t>
            </w:r>
          </w:p>
        </w:tc>
        <w:tc>
          <w:tcPr>
            <w:tcW w:w="1390" w:type="dxa"/>
            <w:vAlign w:val="center"/>
          </w:tcPr>
          <w:p>
            <w:pPr>
              <w:spacing w:line="360" w:lineRule="auto"/>
              <w:rPr>
                <w:rFonts w:hint="eastAsia" w:ascii="宋体" w:hAnsi="宋体" w:eastAsia="宋体" w:cs="宋体"/>
                <w:color w:val="auto"/>
                <w:sz w:val="21"/>
                <w:szCs w:val="21"/>
                <w:highlight w:val="none"/>
              </w:rPr>
            </w:pPr>
          </w:p>
        </w:tc>
        <w:tc>
          <w:tcPr>
            <w:tcW w:w="976" w:type="dxa"/>
            <w:vAlign w:val="center"/>
          </w:tcPr>
          <w:p>
            <w:pPr>
              <w:spacing w:line="360" w:lineRule="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34" w:type="dxa"/>
            <w:vAlign w:val="center"/>
          </w:tcPr>
          <w:p>
            <w:pPr>
              <w:spacing w:beforeLines="10" w:afterLines="10"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6784" w:type="dxa"/>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highlight w:val="none"/>
              </w:rPr>
              <w:t>中小企业声明函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格式1</w:t>
            </w: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、残疾人福利性单位声明函</w:t>
            </w:r>
            <w:r>
              <w:rPr>
                <w:rFonts w:hint="eastAsia" w:ascii="宋体" w:hAnsi="宋体" w:eastAsia="宋体" w:cs="宋体"/>
                <w:b w:val="0"/>
                <w:color w:val="auto"/>
                <w:szCs w:val="21"/>
                <w:highlight w:val="none"/>
                <w:lang w:val="en-US" w:eastAsia="zh-CN"/>
              </w:rPr>
              <w:t>（</w:t>
            </w:r>
            <w:r>
              <w:rPr>
                <w:rFonts w:hint="eastAsia" w:ascii="宋体" w:hAnsi="宋体" w:eastAsia="宋体" w:cs="宋体"/>
                <w:color w:val="auto"/>
                <w:highlight w:val="none"/>
              </w:rPr>
              <w:t>格式可在</w:t>
            </w:r>
            <w:r>
              <w:rPr>
                <w:rFonts w:hint="eastAsia" w:ascii="宋体" w:hAnsi="宋体" w:eastAsia="宋体" w:cs="宋体"/>
                <w:color w:val="auto"/>
                <w:szCs w:val="21"/>
                <w:highlight w:val="none"/>
              </w:rPr>
              <w:t>http://www.gzqunsheng.com/常用文件一栏</w:t>
            </w:r>
            <w:r>
              <w:rPr>
                <w:rFonts w:hint="eastAsia" w:ascii="宋体" w:hAnsi="宋体" w:eastAsia="宋体" w:cs="宋体"/>
                <w:bCs/>
                <w:color w:val="auto"/>
                <w:szCs w:val="21"/>
                <w:highlight w:val="none"/>
              </w:rPr>
              <w:t>下载</w:t>
            </w:r>
            <w:r>
              <w:rPr>
                <w:rFonts w:hint="eastAsia" w:ascii="宋体" w:hAnsi="宋体" w:eastAsia="宋体" w:cs="宋体"/>
                <w:b w:val="0"/>
                <w:color w:val="auto"/>
                <w:szCs w:val="21"/>
                <w:highlight w:val="none"/>
                <w:lang w:val="en-US" w:eastAsia="zh-CN"/>
              </w:rPr>
              <w:t>）</w:t>
            </w:r>
          </w:p>
        </w:tc>
        <w:tc>
          <w:tcPr>
            <w:tcW w:w="1390" w:type="dxa"/>
            <w:vAlign w:val="center"/>
          </w:tcPr>
          <w:p>
            <w:pPr>
              <w:spacing w:line="360" w:lineRule="auto"/>
              <w:rPr>
                <w:rFonts w:hint="eastAsia" w:ascii="宋体" w:hAnsi="宋体" w:eastAsia="宋体" w:cs="宋体"/>
                <w:color w:val="auto"/>
                <w:sz w:val="21"/>
                <w:szCs w:val="21"/>
                <w:highlight w:val="none"/>
              </w:rPr>
            </w:pPr>
          </w:p>
        </w:tc>
        <w:tc>
          <w:tcPr>
            <w:tcW w:w="976" w:type="dxa"/>
            <w:vAlign w:val="center"/>
          </w:tcPr>
          <w:p>
            <w:pPr>
              <w:spacing w:line="360" w:lineRule="auto"/>
              <w:rPr>
                <w:rFonts w:hint="eastAsia" w:ascii="宋体" w:hAnsi="宋体" w:eastAsia="宋体" w:cs="宋体"/>
                <w:color w:val="auto"/>
                <w:sz w:val="21"/>
                <w:szCs w:val="21"/>
                <w:highlight w:val="none"/>
              </w:rPr>
            </w:pPr>
          </w:p>
        </w:tc>
      </w:tr>
    </w:tbl>
    <w:p>
      <w:pPr>
        <w:pStyle w:val="2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color w:val="auto"/>
          <w:kern w:val="0"/>
          <w:highlight w:val="none"/>
        </w:rPr>
        <w:t>1）带“</w:t>
      </w:r>
      <w:r>
        <w:rPr>
          <w:rFonts w:hint="eastAsia" w:ascii="宋体" w:hAnsi="宋体" w:eastAsia="宋体" w:cs="宋体"/>
          <w:bCs/>
          <w:color w:val="auto"/>
          <w:highlight w:val="none"/>
        </w:rPr>
        <w:t>★”文件为必须提供的文件；</w:t>
      </w:r>
    </w:p>
    <w:p>
      <w:pPr>
        <w:pStyle w:val="20"/>
        <w:spacing w:line="360" w:lineRule="auto"/>
        <w:rPr>
          <w:rFonts w:hint="eastAsia" w:ascii="宋体" w:hAnsi="宋体" w:eastAsia="宋体" w:cs="宋体"/>
          <w:color w:val="auto"/>
          <w:kern w:val="0"/>
          <w:highlight w:val="none"/>
        </w:rPr>
      </w:pPr>
      <w:r>
        <w:rPr>
          <w:rFonts w:hint="eastAsia" w:ascii="宋体" w:hAnsi="宋体" w:eastAsia="宋体" w:cs="宋体"/>
          <w:bCs/>
          <w:color w:val="auto"/>
          <w:highlight w:val="none"/>
        </w:rPr>
        <w:t>（2）</w:t>
      </w:r>
      <w:r>
        <w:rPr>
          <w:rFonts w:hint="eastAsia" w:ascii="宋体" w:hAnsi="宋体" w:eastAsia="宋体" w:cs="宋体"/>
          <w:color w:val="auto"/>
          <w:kern w:val="0"/>
          <w:highlight w:val="none"/>
        </w:rPr>
        <w:t>上述文件如为复印件的，必须加盖</w:t>
      </w:r>
      <w:r>
        <w:rPr>
          <w:rFonts w:hint="eastAsia" w:ascii="宋体" w:hAnsi="宋体" w:eastAsia="宋体" w:cs="宋体"/>
          <w:color w:val="auto"/>
          <w:kern w:val="0"/>
          <w:highlight w:val="none"/>
          <w:lang w:eastAsia="zh-CN"/>
        </w:rPr>
        <w:t>供应商</w:t>
      </w:r>
      <w:r>
        <w:rPr>
          <w:rFonts w:hint="eastAsia" w:ascii="宋体" w:hAnsi="宋体" w:eastAsia="宋体" w:cs="宋体"/>
          <w:color w:val="auto"/>
          <w:kern w:val="0"/>
          <w:highlight w:val="none"/>
        </w:rPr>
        <w:t>公章；</w:t>
      </w:r>
    </w:p>
    <w:p>
      <w:pPr>
        <w:pStyle w:val="2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szCs w:val="22"/>
          <w:highlight w:val="none"/>
          <w:lang w:eastAsia="zh-CN"/>
        </w:rPr>
        <w:t>（</w:t>
      </w:r>
      <w:r>
        <w:rPr>
          <w:rFonts w:hint="eastAsia" w:ascii="宋体" w:hAnsi="宋体" w:eastAsia="宋体" w:cs="宋体"/>
          <w:color w:val="auto"/>
          <w:kern w:val="0"/>
          <w:szCs w:val="22"/>
          <w:highlight w:val="none"/>
          <w:lang w:val="en-US" w:eastAsia="zh-CN"/>
        </w:rPr>
        <w:t>3</w:t>
      </w:r>
      <w:r>
        <w:rPr>
          <w:rFonts w:hint="eastAsia" w:ascii="宋体" w:hAnsi="宋体" w:eastAsia="宋体" w:cs="宋体"/>
          <w:color w:val="auto"/>
          <w:kern w:val="0"/>
          <w:szCs w:val="22"/>
          <w:highlight w:val="none"/>
          <w:lang w:eastAsia="zh-CN"/>
        </w:rPr>
        <w:t>）</w:t>
      </w:r>
      <w:bookmarkStart w:id="140" w:name="baidusnap3"/>
      <w:bookmarkEnd w:id="140"/>
      <w:r>
        <w:rPr>
          <w:rFonts w:hint="eastAsia" w:ascii="宋体" w:hAnsi="宋体" w:eastAsia="宋体" w:cs="宋体"/>
          <w:color w:val="auto"/>
          <w:kern w:val="0"/>
          <w:szCs w:val="22"/>
          <w:highlight w:val="none"/>
          <w:lang w:val="en-US" w:eastAsia="zh-CN"/>
        </w:rPr>
        <w:t>如上述文件</w:t>
      </w:r>
      <w:r>
        <w:rPr>
          <w:rFonts w:hint="eastAsia" w:ascii="宋体" w:hAnsi="宋体" w:eastAsia="宋体" w:cs="宋体"/>
          <w:b w:val="0"/>
          <w:i w:val="0"/>
          <w:caps w:val="0"/>
          <w:color w:val="auto"/>
          <w:spacing w:val="0"/>
          <w:kern w:val="0"/>
          <w:sz w:val="21"/>
          <w:szCs w:val="22"/>
          <w:highlight w:val="none"/>
          <w:shd w:val="clear" w:color="auto" w:fill="auto"/>
        </w:rPr>
        <w:t>可</w:t>
      </w:r>
      <w:r>
        <w:rPr>
          <w:rFonts w:hint="eastAsia" w:ascii="宋体" w:hAnsi="宋体" w:eastAsia="宋体" w:cs="宋体"/>
          <w:i w:val="0"/>
          <w:caps w:val="0"/>
          <w:color w:val="auto"/>
          <w:spacing w:val="0"/>
          <w:kern w:val="0"/>
          <w:sz w:val="21"/>
          <w:szCs w:val="22"/>
          <w:highlight w:val="none"/>
        </w:rPr>
        <w:t>通过互联网或者相关信息系统</w:t>
      </w:r>
      <w:r>
        <w:rPr>
          <w:rFonts w:hint="eastAsia" w:ascii="宋体" w:hAnsi="宋体" w:eastAsia="宋体" w:cs="宋体"/>
          <w:b w:val="0"/>
          <w:i w:val="0"/>
          <w:caps w:val="0"/>
          <w:color w:val="auto"/>
          <w:spacing w:val="0"/>
          <w:kern w:val="0"/>
          <w:sz w:val="21"/>
          <w:szCs w:val="22"/>
          <w:highlight w:val="none"/>
          <w:shd w:val="clear" w:color="auto" w:fill="auto"/>
        </w:rPr>
        <w:t>查询的</w:t>
      </w:r>
      <w:r>
        <w:rPr>
          <w:rFonts w:hint="eastAsia" w:ascii="宋体" w:hAnsi="宋体" w:eastAsia="宋体" w:cs="宋体"/>
          <w:i w:val="0"/>
          <w:caps w:val="0"/>
          <w:color w:val="auto"/>
          <w:spacing w:val="0"/>
          <w:kern w:val="0"/>
          <w:sz w:val="21"/>
          <w:szCs w:val="22"/>
          <w:highlight w:val="none"/>
        </w:rPr>
        <w:t>信息，</w:t>
      </w:r>
      <w:r>
        <w:rPr>
          <w:rFonts w:hint="eastAsia" w:ascii="宋体" w:hAnsi="宋体" w:eastAsia="宋体" w:cs="宋体"/>
          <w:i w:val="0"/>
          <w:caps w:val="0"/>
          <w:color w:val="auto"/>
          <w:spacing w:val="0"/>
          <w:kern w:val="0"/>
          <w:sz w:val="21"/>
          <w:szCs w:val="22"/>
          <w:highlight w:val="none"/>
          <w:lang w:val="en-US" w:eastAsia="zh-CN"/>
        </w:rPr>
        <w:t>请</w:t>
      </w:r>
      <w:r>
        <w:rPr>
          <w:rFonts w:hint="eastAsia" w:ascii="宋体" w:hAnsi="宋体" w:eastAsia="宋体" w:cs="宋体"/>
          <w:b w:val="0"/>
          <w:i w:val="0"/>
          <w:caps w:val="0"/>
          <w:color w:val="auto"/>
          <w:spacing w:val="0"/>
          <w:kern w:val="0"/>
          <w:sz w:val="21"/>
          <w:szCs w:val="22"/>
          <w:highlight w:val="none"/>
          <w:shd w:val="clear" w:color="auto" w:fill="auto"/>
        </w:rPr>
        <w:t>供应商</w:t>
      </w:r>
      <w:r>
        <w:rPr>
          <w:rFonts w:hint="eastAsia" w:ascii="宋体" w:hAnsi="宋体" w:eastAsia="宋体" w:cs="宋体"/>
          <w:b w:val="0"/>
          <w:i w:val="0"/>
          <w:caps w:val="0"/>
          <w:color w:val="auto"/>
          <w:spacing w:val="0"/>
          <w:kern w:val="0"/>
          <w:sz w:val="21"/>
          <w:szCs w:val="22"/>
          <w:highlight w:val="none"/>
          <w:shd w:val="clear" w:color="auto" w:fill="auto"/>
          <w:lang w:val="en-US" w:eastAsia="zh-CN"/>
        </w:rPr>
        <w:t>协助提供复印件的同时提供查询网址，</w:t>
      </w:r>
      <w:r>
        <w:rPr>
          <w:rFonts w:hint="eastAsia" w:ascii="宋体" w:hAnsi="宋体" w:eastAsia="宋体" w:cs="宋体"/>
          <w:bCs/>
          <w:color w:val="auto"/>
          <w:sz w:val="21"/>
          <w:szCs w:val="21"/>
          <w:highlight w:val="none"/>
          <w:lang w:val="en-US" w:eastAsia="zh-CN"/>
        </w:rPr>
        <w:t>最终结果以查询为准</w:t>
      </w:r>
      <w:r>
        <w:rPr>
          <w:rFonts w:hint="eastAsia" w:ascii="宋体" w:hAnsi="宋体" w:eastAsia="宋体" w:cs="宋体"/>
          <w:b w:val="0"/>
          <w:i w:val="0"/>
          <w:caps w:val="0"/>
          <w:color w:val="auto"/>
          <w:spacing w:val="0"/>
          <w:kern w:val="0"/>
          <w:sz w:val="21"/>
          <w:szCs w:val="22"/>
          <w:highlight w:val="none"/>
          <w:shd w:val="clear" w:color="auto" w:fill="auto"/>
          <w:lang w:val="en-US" w:eastAsia="zh-CN"/>
        </w:rPr>
        <w:t>；</w:t>
      </w:r>
    </w:p>
    <w:p>
      <w:pPr>
        <w:pStyle w:val="20"/>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rPr>
        <w:t>）</w:t>
      </w:r>
      <w:r>
        <w:rPr>
          <w:rFonts w:hint="eastAsia" w:ascii="宋体" w:hAnsi="宋体" w:eastAsia="宋体" w:cs="宋体"/>
          <w:color w:val="auto"/>
          <w:kern w:val="0"/>
          <w:highlight w:val="none"/>
          <w:lang w:eastAsia="zh-CN"/>
        </w:rPr>
        <w:t>供应商</w:t>
      </w:r>
      <w:r>
        <w:rPr>
          <w:rFonts w:hint="eastAsia" w:ascii="宋体" w:hAnsi="宋体" w:eastAsia="宋体" w:cs="宋体"/>
          <w:color w:val="auto"/>
          <w:kern w:val="0"/>
          <w:highlight w:val="none"/>
        </w:rPr>
        <w:t>应自行承担所提供上述资料任何错漏而导致的一切后果。</w:t>
      </w:r>
      <w:bookmarkStart w:id="141" w:name="_Toc238274999"/>
      <w:bookmarkStart w:id="142" w:name="_Toc338083269"/>
    </w:p>
    <w:p>
      <w:pPr>
        <w:rPr>
          <w:rFonts w:hint="eastAsia" w:ascii="宋体" w:hAnsi="宋体" w:eastAsia="宋体" w:cs="宋体"/>
          <w:color w:val="auto"/>
          <w:kern w:val="0"/>
          <w:highlight w:val="none"/>
        </w:rPr>
      </w:pPr>
      <w:r>
        <w:rPr>
          <w:rFonts w:hint="eastAsia" w:ascii="宋体" w:hAnsi="宋体" w:eastAsia="宋体" w:cs="宋体"/>
          <w:color w:val="auto"/>
          <w:kern w:val="0"/>
          <w:highlight w:val="none"/>
        </w:rPr>
        <w:br w:type="page"/>
      </w:r>
    </w:p>
    <w:p>
      <w:pPr>
        <w:pStyle w:val="3"/>
        <w:spacing w:before="0" w:after="120"/>
        <w:rPr>
          <w:rFonts w:hint="eastAsia" w:ascii="宋体" w:hAnsi="宋体" w:eastAsia="宋体" w:cs="宋体"/>
          <w:color w:val="auto"/>
          <w:highlight w:val="none"/>
        </w:rPr>
      </w:pPr>
      <w:bookmarkStart w:id="143" w:name="_Toc461991254"/>
      <w:bookmarkStart w:id="144" w:name="_Toc453695563"/>
      <w:bookmarkStart w:id="145" w:name="_Toc453695690"/>
      <w:r>
        <w:rPr>
          <w:rFonts w:hint="eastAsia" w:ascii="宋体" w:hAnsi="宋体" w:eastAsia="宋体" w:cs="宋体"/>
          <w:color w:val="auto"/>
          <w:highlight w:val="none"/>
        </w:rPr>
        <w:t>格式1</w:t>
      </w:r>
      <w:bookmarkEnd w:id="135"/>
      <w:r>
        <w:rPr>
          <w:rFonts w:hint="eastAsia" w:ascii="宋体" w:hAnsi="宋体" w:eastAsia="宋体" w:cs="宋体"/>
          <w:color w:val="auto"/>
          <w:highlight w:val="none"/>
        </w:rPr>
        <w:t xml:space="preserve">                      报 价 函</w:t>
      </w:r>
      <w:bookmarkEnd w:id="136"/>
      <w:bookmarkEnd w:id="137"/>
      <w:bookmarkEnd w:id="138"/>
      <w:bookmarkEnd w:id="139"/>
      <w:bookmarkEnd w:id="141"/>
      <w:bookmarkEnd w:id="142"/>
      <w:bookmarkEnd w:id="143"/>
      <w:bookmarkEnd w:id="144"/>
      <w:bookmarkEnd w:id="145"/>
    </w:p>
    <w:p>
      <w:pPr>
        <w:spacing w:line="40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广州群生招标代理有限公司：</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我方确认收到你方提供的</w:t>
      </w:r>
      <w:r>
        <w:rPr>
          <w:rFonts w:hint="eastAsia" w:ascii="宋体" w:hAnsi="宋体" w:eastAsia="宋体" w:cs="宋体"/>
          <w:color w:val="auto"/>
          <w:szCs w:val="21"/>
          <w:highlight w:val="none"/>
          <w:u w:val="single"/>
        </w:rPr>
        <w:t xml:space="preserve">         项目</w:t>
      </w:r>
      <w:r>
        <w:rPr>
          <w:rFonts w:hint="eastAsia" w:ascii="宋体" w:hAnsi="宋体" w:eastAsia="宋体" w:cs="宋体"/>
          <w:color w:val="auto"/>
          <w:szCs w:val="21"/>
          <w:highlight w:val="none"/>
        </w:rPr>
        <w:t>及其相关服务的磋商文件的全部内容。我方：</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供应商</w:t>
      </w:r>
      <w:r>
        <w:rPr>
          <w:rFonts w:hint="eastAsia" w:ascii="宋体" w:hAnsi="宋体" w:eastAsia="宋体" w:cs="宋体"/>
          <w:color w:val="auto"/>
          <w:szCs w:val="21"/>
          <w:highlight w:val="none"/>
          <w:u w:val="single"/>
        </w:rPr>
        <w:t>名称）</w:t>
      </w:r>
      <w:r>
        <w:rPr>
          <w:rFonts w:hint="eastAsia" w:ascii="宋体" w:hAnsi="宋体" w:eastAsia="宋体" w:cs="宋体"/>
          <w:color w:val="auto"/>
          <w:szCs w:val="21"/>
          <w:highlight w:val="none"/>
        </w:rPr>
        <w:t>作为报价者正式授权</w:t>
      </w:r>
      <w:r>
        <w:rPr>
          <w:rFonts w:hint="eastAsia" w:ascii="宋体" w:hAnsi="宋体" w:eastAsia="宋体" w:cs="宋体"/>
          <w:color w:val="auto"/>
          <w:szCs w:val="21"/>
          <w:highlight w:val="none"/>
          <w:u w:val="single"/>
        </w:rPr>
        <w:t>（授权代表全名、职务）</w:t>
      </w:r>
      <w:r>
        <w:rPr>
          <w:rFonts w:hint="eastAsia" w:ascii="宋体" w:hAnsi="宋体" w:eastAsia="宋体" w:cs="宋体"/>
          <w:color w:val="auto"/>
          <w:szCs w:val="21"/>
          <w:highlight w:val="none"/>
        </w:rPr>
        <w:t>代表我方进行有关报价的一切事宜。在此提交的</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，正本一份，副本</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份。我方已完全明白磋商文件的所有条款要求，并重申以下几点：</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1.我方决定参加：项目编号为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的报价；</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的有效期为报价截止日后</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rPr>
        <w:t>天有效，如被确定为成交供应商，有效期将延至合同终止日为止；</w:t>
      </w:r>
    </w:p>
    <w:p>
      <w:pPr>
        <w:spacing w:line="360" w:lineRule="auto"/>
        <w:ind w:left="240" w:hanging="24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3.我方已详细研究了磋商文件的所有内容包括修正（如果有）和所有已提供的参考资料以及有关格式并完全明白，我方放弃在此方面提出含糊意见或误解的一切权利；</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4.我方同意按照你方可能提出的要求提供与报价有关的任何其它数据或信息；</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5.我方理解磋商小组不一定接受最低报价或任何你方可能收到的报价；</w:t>
      </w:r>
    </w:p>
    <w:p>
      <w:pPr>
        <w:spacing w:line="360" w:lineRule="auto"/>
        <w:ind w:left="240" w:hanging="24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6.我方如被确定为成交供应商，将保证履行磋商文件以及磋商文件修改书（如有的话）中的全部责任和义务，按质、按量、按期完成《合同》中的全部任务；</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7.我方自行完全承担因</w:t>
      </w: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错误、缺漏、不清晰而导致的一切后果；</w:t>
      </w:r>
    </w:p>
    <w:p>
      <w:pPr>
        <w:spacing w:line="360" w:lineRule="auto"/>
        <w:ind w:left="240" w:hanging="24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.我方确认此次磋商中提供的一切资料均是真实的，准确的，并完全承担因此产生的一切后果。</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.我方的报价被接受，我方同意按照磋商文件规定向采购代理机构缴纳采购代理服务费。</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所有与本磋商文件有关的函件请发往下列地址：</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全称（加盖公章）：</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法定代表或其授权代表（签字）：</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bookmarkStart w:id="146" w:name="_Toc43548084"/>
      <w:bookmarkStart w:id="147" w:name="_Toc231010435"/>
      <w:bookmarkStart w:id="148" w:name="_Toc30476685"/>
      <w:bookmarkStart w:id="149" w:name="_Toc30476681"/>
      <w:bookmarkStart w:id="150" w:name="_Toc17252701"/>
      <w:bookmarkStart w:id="151" w:name="_Toc14450840"/>
      <w:r>
        <w:rPr>
          <w:rFonts w:hint="eastAsia" w:ascii="宋体" w:hAnsi="宋体" w:eastAsia="宋体" w:cs="宋体"/>
          <w:color w:val="auto"/>
          <w:szCs w:val="21"/>
          <w:highlight w:val="none"/>
        </w:rPr>
        <w:t xml:space="preserve">     年   月   日</w:t>
      </w:r>
    </w:p>
    <w:p>
      <w:pPr>
        <w:spacing w:before="0" w:after="120"/>
        <w:rPr>
          <w:rFonts w:hint="eastAsia" w:ascii="宋体" w:hAnsi="宋体" w:eastAsia="宋体" w:cs="宋体"/>
          <w:color w:val="auto"/>
          <w:highlight w:val="none"/>
        </w:rPr>
      </w:pPr>
      <w:bookmarkStart w:id="152" w:name="_Toc453695691"/>
      <w:bookmarkStart w:id="153" w:name="_Toc338083270"/>
      <w:bookmarkStart w:id="154" w:name="_Toc461991255"/>
      <w:bookmarkStart w:id="155" w:name="_Toc453695564"/>
      <w:bookmarkStart w:id="156" w:name="_Toc234746279"/>
      <w:bookmarkStart w:id="157" w:name="_Toc231010436"/>
      <w:bookmarkStart w:id="158" w:name="_Toc238275000"/>
    </w:p>
    <w:p>
      <w:pPr>
        <w:spacing w:before="0" w:after="120"/>
        <w:rPr>
          <w:rFonts w:hint="eastAsia" w:ascii="宋体" w:hAnsi="宋体" w:eastAsia="宋体" w:cs="宋体"/>
          <w:color w:val="auto"/>
          <w:highlight w:val="none"/>
        </w:rPr>
      </w:pPr>
    </w:p>
    <w:p>
      <w:pPr>
        <w:spacing w:before="0" w:after="120"/>
        <w:rPr>
          <w:rFonts w:hint="eastAsia" w:ascii="宋体" w:hAnsi="宋体" w:eastAsia="宋体" w:cs="宋体"/>
          <w:color w:val="auto"/>
          <w:highlight w:val="none"/>
        </w:rPr>
      </w:pPr>
    </w:p>
    <w:p>
      <w:pPr>
        <w:spacing w:before="0" w:after="120"/>
        <w:rPr>
          <w:rFonts w:hint="eastAsia" w:ascii="宋体" w:hAnsi="宋体" w:eastAsia="宋体" w:cs="宋体"/>
          <w:color w:val="auto"/>
          <w:highlight w:val="none"/>
        </w:rPr>
      </w:pPr>
    </w:p>
    <w:p>
      <w:pPr>
        <w:spacing w:before="0" w:after="120"/>
        <w:rPr>
          <w:rFonts w:hint="eastAsia" w:ascii="宋体" w:hAnsi="宋体" w:eastAsia="宋体" w:cs="宋体"/>
          <w:color w:val="auto"/>
          <w:highlight w:val="none"/>
        </w:rPr>
      </w:pPr>
    </w:p>
    <w:p>
      <w:pPr>
        <w:spacing w:before="0" w:after="120"/>
        <w:rPr>
          <w:rFonts w:hint="eastAsia" w:ascii="宋体" w:hAnsi="宋体" w:eastAsia="宋体" w:cs="宋体"/>
          <w:color w:val="auto"/>
          <w:highlight w:val="none"/>
        </w:rPr>
      </w:pPr>
    </w:p>
    <w:p>
      <w:pPr>
        <w:spacing w:before="0" w:after="120"/>
        <w:rPr>
          <w:rFonts w:hint="eastAsia" w:ascii="宋体" w:hAnsi="宋体" w:eastAsia="宋体" w:cs="宋体"/>
          <w:color w:val="auto"/>
          <w:highlight w:val="none"/>
        </w:rPr>
      </w:pPr>
    </w:p>
    <w:p>
      <w:pPr>
        <w:spacing w:before="0" w:after="120"/>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3"/>
        <w:spacing w:before="0" w:after="120"/>
        <w:rPr>
          <w:rFonts w:hint="eastAsia" w:ascii="宋体" w:hAnsi="宋体" w:eastAsia="宋体" w:cs="宋体"/>
          <w:color w:val="auto"/>
          <w:highlight w:val="none"/>
        </w:rPr>
      </w:pPr>
      <w:r>
        <w:rPr>
          <w:rFonts w:hint="eastAsia" w:ascii="宋体" w:hAnsi="宋体" w:eastAsia="宋体" w:cs="宋体"/>
          <w:color w:val="auto"/>
          <w:highlight w:val="none"/>
        </w:rPr>
        <w:t>格式2                   首次报价一览表</w:t>
      </w:r>
      <w:bookmarkEnd w:id="152"/>
      <w:bookmarkEnd w:id="153"/>
      <w:bookmarkEnd w:id="154"/>
      <w:bookmarkEnd w:id="155"/>
      <w:bookmarkEnd w:id="156"/>
      <w:bookmarkEnd w:id="157"/>
      <w:bookmarkEnd w:id="158"/>
    </w:p>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项目名称：                           项目编号：                       </w:t>
      </w:r>
    </w:p>
    <w:tbl>
      <w:tblPr>
        <w:tblStyle w:val="39"/>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9"/>
        <w:gridCol w:w="3099"/>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2669" w:type="dxa"/>
            <w:tcBorders>
              <w:bottom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w:t>
            </w:r>
          </w:p>
        </w:tc>
        <w:tc>
          <w:tcPr>
            <w:tcW w:w="3099" w:type="dxa"/>
            <w:tcBorders>
              <w:bottom w:val="single" w:color="auto" w:sz="4" w:space="0"/>
            </w:tcBorders>
            <w:vAlign w:val="center"/>
          </w:tcPr>
          <w:p>
            <w:pPr>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响应下浮率</w:t>
            </w:r>
          </w:p>
        </w:tc>
        <w:tc>
          <w:tcPr>
            <w:tcW w:w="3914" w:type="dxa"/>
            <w:tcBorders>
              <w:bottom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服务</w:t>
            </w:r>
            <w:r>
              <w:rPr>
                <w:rFonts w:hint="eastAsia" w:ascii="宋体" w:hAnsi="宋体" w:eastAsia="宋体" w:cs="宋体"/>
                <w:color w:val="auto"/>
                <w:szCs w:val="21"/>
                <w:highlight w:val="none"/>
                <w:lang w:val="en-US"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669"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c>
          <w:tcPr>
            <w:tcW w:w="3099" w:type="dxa"/>
            <w:vAlign w:val="center"/>
          </w:tcPr>
          <w:p>
            <w:pPr>
              <w:jc w:val="center"/>
              <w:rPr>
                <w:rFonts w:hint="eastAsia" w:ascii="宋体" w:hAnsi="宋体" w:eastAsia="宋体" w:cs="宋体"/>
                <w:color w:val="auto"/>
                <w:szCs w:val="21"/>
                <w:highlight w:val="none"/>
              </w:rPr>
            </w:pPr>
          </w:p>
        </w:tc>
        <w:tc>
          <w:tcPr>
            <w:tcW w:w="3914"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自合同生效之日起两年，本项目具体终止时间以达到采购</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预算金额或合同截止日期两者先到为准。</w:t>
            </w:r>
          </w:p>
        </w:tc>
      </w:tr>
    </w:tbl>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注：1.报价包括了项目的全部费用。</w:t>
      </w:r>
      <w:r>
        <w:rPr>
          <w:rFonts w:hint="eastAsia" w:ascii="宋体" w:hAnsi="宋体" w:eastAsia="宋体" w:cs="宋体"/>
          <w:b/>
          <w:color w:val="auto"/>
          <w:szCs w:val="21"/>
          <w:highlight w:val="none"/>
        </w:rPr>
        <w:tab/>
      </w:r>
    </w:p>
    <w:p>
      <w:pPr>
        <w:pStyle w:val="33"/>
        <w:spacing w:line="360" w:lineRule="auto"/>
        <w:ind w:left="357" w:leftChars="170" w:firstLine="105" w:firstLineChars="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2.本表格须附在正副本的</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中，并另封装一份在 “报价信封”内，封口加盖公章。</w:t>
      </w:r>
    </w:p>
    <w:p>
      <w:pPr>
        <w:pStyle w:val="2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全称（加盖公章）：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法定代表或其授权代表（签字）：                   日    期：     年   月   日</w:t>
      </w:r>
      <w:bookmarkStart w:id="159" w:name="_Toc234746284"/>
      <w:bookmarkStart w:id="160" w:name="_Toc30476691"/>
      <w:bookmarkStart w:id="161" w:name="_Toc238275001"/>
      <w:bookmarkStart w:id="162" w:name="_Toc17252708"/>
      <w:bookmarkStart w:id="163" w:name="_Toc231010441"/>
      <w:bookmarkStart w:id="164" w:name="_Toc14450847"/>
    </w:p>
    <w:p>
      <w:pPr>
        <w:numPr>
          <w:ins w:id="0" w:author="admin" w:date="2012-10-11T14:24:00Z"/>
        </w:numPr>
        <w:spacing w:line="360" w:lineRule="auto"/>
        <w:rPr>
          <w:rFonts w:hint="eastAsia" w:ascii="宋体" w:hAnsi="宋体" w:eastAsia="宋体" w:cs="宋体"/>
          <w:color w:val="auto"/>
          <w:highlight w:val="none"/>
        </w:rPr>
      </w:pPr>
    </w:p>
    <w:bookmarkEnd w:id="159"/>
    <w:bookmarkEnd w:id="160"/>
    <w:bookmarkEnd w:id="161"/>
    <w:bookmarkEnd w:id="162"/>
    <w:bookmarkEnd w:id="163"/>
    <w:bookmarkEnd w:id="164"/>
    <w:p>
      <w:pPr>
        <w:rPr>
          <w:rFonts w:hint="eastAsia" w:ascii="宋体" w:hAnsi="宋体" w:eastAsia="宋体" w:cs="宋体"/>
          <w:color w:val="auto"/>
          <w:sz w:val="21"/>
          <w:szCs w:val="21"/>
          <w:highlight w:val="none"/>
        </w:rPr>
      </w:pPr>
      <w:bookmarkStart w:id="165" w:name="_Toc24702373"/>
      <w:bookmarkStart w:id="166" w:name="_Toc231010442"/>
      <w:bookmarkStart w:id="167" w:name="_Toc24877740"/>
      <w:bookmarkStart w:id="168" w:name="_Toc238275002"/>
      <w:bookmarkStart w:id="169" w:name="_Toc234746285"/>
      <w:bookmarkStart w:id="170" w:name="_Toc231010443"/>
    </w:p>
    <w:p>
      <w:pPr>
        <w:spacing w:line="500" w:lineRule="exact"/>
        <w:ind w:firstLine="109" w:firstLineChars="50"/>
        <w:rPr>
          <w:rFonts w:hint="eastAsia" w:ascii="宋体" w:hAnsi="宋体" w:eastAsia="宋体" w:cs="宋体"/>
          <w:color w:val="auto"/>
          <w:spacing w:val="4"/>
          <w:highlight w:val="none"/>
        </w:rPr>
      </w:pPr>
      <w:bookmarkStart w:id="171" w:name="_Toc453695693"/>
      <w:bookmarkStart w:id="172" w:name="_Toc461991257"/>
      <w:bookmarkStart w:id="173" w:name="_Toc453695566"/>
    </w:p>
    <w:p>
      <w:pPr>
        <w:spacing w:line="500" w:lineRule="exact"/>
        <w:ind w:firstLine="109" w:firstLineChars="5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br w:type="page"/>
      </w:r>
    </w:p>
    <w:bookmarkEnd w:id="165"/>
    <w:bookmarkEnd w:id="166"/>
    <w:bookmarkEnd w:id="167"/>
    <w:bookmarkEnd w:id="168"/>
    <w:bookmarkEnd w:id="169"/>
    <w:bookmarkEnd w:id="170"/>
    <w:bookmarkEnd w:id="171"/>
    <w:bookmarkEnd w:id="172"/>
    <w:bookmarkEnd w:id="173"/>
    <w:p>
      <w:pPr>
        <w:pStyle w:val="3"/>
        <w:spacing w:before="0" w:after="120"/>
        <w:rPr>
          <w:rFonts w:hint="eastAsia" w:ascii="宋体" w:hAnsi="宋体" w:eastAsia="宋体" w:cs="宋体"/>
          <w:color w:val="auto"/>
          <w:highlight w:val="none"/>
        </w:rPr>
      </w:pPr>
      <w:bookmarkStart w:id="174" w:name="_Toc453695695"/>
      <w:bookmarkStart w:id="175" w:name="_Toc461991259"/>
      <w:bookmarkStart w:id="176" w:name="_Toc453695568"/>
      <w:r>
        <w:rPr>
          <w:rFonts w:hint="eastAsia" w:ascii="宋体" w:hAnsi="宋体" w:eastAsia="宋体" w:cs="宋体"/>
          <w:color w:val="auto"/>
          <w:highlight w:val="none"/>
        </w:rPr>
        <w:t>格式</w:t>
      </w:r>
      <w:r>
        <w:rPr>
          <w:rFonts w:hint="eastAsia" w:cs="宋体"/>
          <w:color w:val="auto"/>
          <w:highlight w:val="none"/>
          <w:lang w:val="en-US" w:eastAsia="zh-CN"/>
        </w:rPr>
        <w:t>3</w:t>
      </w:r>
      <w:r>
        <w:rPr>
          <w:rFonts w:hint="eastAsia" w:ascii="宋体" w:hAnsi="宋体" w:eastAsia="宋体" w:cs="宋体"/>
          <w:color w:val="auto"/>
          <w:highlight w:val="none"/>
        </w:rPr>
        <w:t xml:space="preserve">            法定代表人证明及授权书</w:t>
      </w:r>
      <w:bookmarkEnd w:id="174"/>
      <w:bookmarkEnd w:id="175"/>
      <w:bookmarkEnd w:id="176"/>
    </w:p>
    <w:p>
      <w:pPr>
        <w:pStyle w:val="20"/>
        <w:spacing w:line="30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致:广州群生招标代理有限公司</w:t>
      </w:r>
      <w:r>
        <w:rPr>
          <w:rFonts w:hint="eastAsia" w:ascii="宋体" w:hAnsi="宋体" w:eastAsia="宋体" w:cs="宋体"/>
          <w:color w:val="auto"/>
          <w:szCs w:val="21"/>
          <w:highlight w:val="none"/>
        </w:rPr>
        <w:tab/>
      </w:r>
    </w:p>
    <w:p>
      <w:pPr>
        <w:pStyle w:val="20"/>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本授权证明：</w:t>
      </w:r>
      <w:r>
        <w:rPr>
          <w:rFonts w:hint="eastAsia" w:ascii="宋体" w:hAnsi="宋体" w:eastAsia="宋体" w:cs="宋体"/>
          <w:i/>
          <w:color w:val="auto"/>
          <w:szCs w:val="21"/>
          <w:highlight w:val="none"/>
          <w:u w:val="single"/>
        </w:rPr>
        <w:t>（法定代表人姓名）</w:t>
      </w:r>
      <w:r>
        <w:rPr>
          <w:rFonts w:hint="eastAsia" w:ascii="宋体" w:hAnsi="宋体" w:eastAsia="宋体" w:cs="宋体"/>
          <w:color w:val="auto"/>
          <w:szCs w:val="21"/>
          <w:highlight w:val="none"/>
        </w:rPr>
        <w:t>是注册于</w:t>
      </w:r>
      <w:r>
        <w:rPr>
          <w:rFonts w:hint="eastAsia" w:ascii="宋体" w:hAnsi="宋体" w:eastAsia="宋体" w:cs="宋体"/>
          <w:i/>
          <w:color w:val="auto"/>
          <w:szCs w:val="21"/>
          <w:highlight w:val="none"/>
          <w:u w:val="single"/>
        </w:rPr>
        <w:t>（省、市、县）</w:t>
      </w:r>
      <w:r>
        <w:rPr>
          <w:rFonts w:hint="eastAsia" w:ascii="宋体" w:hAnsi="宋体" w:eastAsia="宋体" w:cs="宋体"/>
          <w:color w:val="auto"/>
          <w:szCs w:val="21"/>
          <w:highlight w:val="none"/>
        </w:rPr>
        <w:t>的</w:t>
      </w:r>
      <w:r>
        <w:rPr>
          <w:rFonts w:hint="eastAsia" w:ascii="宋体" w:hAnsi="宋体" w:eastAsia="宋体" w:cs="宋体"/>
          <w:i/>
          <w:color w:val="auto"/>
          <w:szCs w:val="21"/>
          <w:highlight w:val="none"/>
          <w:u w:val="single"/>
        </w:rPr>
        <w:t>（</w:t>
      </w:r>
      <w:r>
        <w:rPr>
          <w:rFonts w:hint="eastAsia" w:ascii="宋体" w:hAnsi="宋体" w:eastAsia="宋体" w:cs="宋体"/>
          <w:i/>
          <w:color w:val="auto"/>
          <w:szCs w:val="21"/>
          <w:highlight w:val="none"/>
          <w:u w:val="single"/>
          <w:lang w:eastAsia="zh-CN"/>
        </w:rPr>
        <w:t>供应商</w:t>
      </w:r>
      <w:r>
        <w:rPr>
          <w:rFonts w:hint="eastAsia" w:ascii="宋体" w:hAnsi="宋体" w:eastAsia="宋体" w:cs="宋体"/>
          <w:i/>
          <w:color w:val="auto"/>
          <w:szCs w:val="21"/>
          <w:highlight w:val="none"/>
          <w:u w:val="single"/>
        </w:rPr>
        <w:t>名称）</w:t>
      </w:r>
      <w:r>
        <w:rPr>
          <w:rFonts w:hint="eastAsia" w:ascii="宋体" w:hAnsi="宋体" w:eastAsia="宋体" w:cs="宋体"/>
          <w:color w:val="auto"/>
          <w:szCs w:val="21"/>
          <w:highlight w:val="none"/>
        </w:rPr>
        <w:t>的法定代表人，现任</w:t>
      </w:r>
      <w:r>
        <w:rPr>
          <w:rFonts w:hint="eastAsia" w:ascii="宋体" w:hAnsi="宋体" w:eastAsia="宋体" w:cs="宋体"/>
          <w:i/>
          <w:color w:val="auto"/>
          <w:szCs w:val="21"/>
          <w:highlight w:val="none"/>
          <w:u w:val="single"/>
        </w:rPr>
        <w:t>（法定代表人职务）</w:t>
      </w:r>
      <w:r>
        <w:rPr>
          <w:rFonts w:hint="eastAsia" w:ascii="宋体" w:hAnsi="宋体" w:eastAsia="宋体" w:cs="宋体"/>
          <w:color w:val="auto"/>
          <w:szCs w:val="21"/>
          <w:highlight w:val="none"/>
        </w:rPr>
        <w:t>。在此授权</w:t>
      </w:r>
      <w:r>
        <w:rPr>
          <w:rFonts w:hint="eastAsia" w:ascii="宋体" w:hAnsi="宋体" w:eastAsia="宋体" w:cs="宋体"/>
          <w:i/>
          <w:color w:val="auto"/>
          <w:szCs w:val="21"/>
          <w:highlight w:val="none"/>
          <w:u w:val="single"/>
        </w:rPr>
        <w:t>（被授权人姓名、职务）</w:t>
      </w:r>
      <w:r>
        <w:rPr>
          <w:rFonts w:hint="eastAsia" w:ascii="宋体" w:hAnsi="宋体" w:eastAsia="宋体" w:cs="宋体"/>
          <w:color w:val="auto"/>
          <w:szCs w:val="21"/>
          <w:highlight w:val="none"/>
        </w:rPr>
        <w:t>作为我公司的全权代理人，在</w:t>
      </w:r>
      <w:r>
        <w:rPr>
          <w:rFonts w:hint="eastAsia" w:ascii="宋体" w:hAnsi="宋体" w:eastAsia="宋体" w:cs="宋体"/>
          <w:i/>
          <w:color w:val="auto"/>
          <w:szCs w:val="21"/>
          <w:highlight w:val="none"/>
          <w:u w:val="single"/>
        </w:rPr>
        <w:t>（项目名称）</w:t>
      </w:r>
      <w:r>
        <w:rPr>
          <w:rFonts w:hint="eastAsia" w:ascii="宋体" w:hAnsi="宋体" w:eastAsia="宋体" w:cs="宋体"/>
          <w:color w:val="auto"/>
          <w:szCs w:val="21"/>
          <w:highlight w:val="none"/>
        </w:rPr>
        <w:t>的报价（项目编号为：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）及其合同执行过程中，以我公司的名义处理一切与之有关的事务。</w:t>
      </w:r>
    </w:p>
    <w:p>
      <w:pPr>
        <w:spacing w:line="30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日签字生效，特此声明。</w:t>
      </w:r>
    </w:p>
    <w:p>
      <w:pPr>
        <w:spacing w:line="300" w:lineRule="auto"/>
        <w:ind w:firstLine="420" w:firstLineChars="200"/>
        <w:rPr>
          <w:rFonts w:hint="eastAsia" w:ascii="宋体" w:hAnsi="宋体" w:eastAsia="宋体" w:cs="宋体"/>
          <w:color w:val="auto"/>
          <w:szCs w:val="21"/>
          <w:highlight w:val="none"/>
        </w:rPr>
      </w:pPr>
    </w:p>
    <w:p>
      <w:pPr>
        <w:pStyle w:val="20"/>
        <w:spacing w:line="30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法定代表人</w:t>
      </w:r>
    </w:p>
    <w:p>
      <w:pPr>
        <w:spacing w:line="300" w:lineRule="auto"/>
        <w:ind w:firstLine="422" w:firstLineChars="20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居民身份证正反面复印件粘贴处</w:t>
      </w:r>
    </w:p>
    <w:p>
      <w:pPr>
        <w:spacing w:line="300" w:lineRule="auto"/>
        <w:ind w:firstLine="420" w:firstLineChars="200"/>
        <w:rPr>
          <w:rFonts w:hint="eastAsia" w:ascii="宋体" w:hAnsi="宋体" w:eastAsia="宋体" w:cs="宋体"/>
          <w:color w:val="auto"/>
          <w:szCs w:val="21"/>
          <w:highlight w:val="none"/>
        </w:rPr>
      </w:pPr>
    </w:p>
    <w:p>
      <w:pPr>
        <w:spacing w:line="300" w:lineRule="auto"/>
        <w:ind w:firstLine="420" w:firstLineChars="200"/>
        <w:rPr>
          <w:rFonts w:hint="eastAsia" w:ascii="宋体" w:hAnsi="宋体" w:eastAsia="宋体" w:cs="宋体"/>
          <w:color w:val="auto"/>
          <w:szCs w:val="21"/>
          <w:highlight w:val="none"/>
        </w:rPr>
      </w:pPr>
    </w:p>
    <w:p>
      <w:pPr>
        <w:spacing w:line="300" w:lineRule="auto"/>
        <w:ind w:firstLine="420" w:firstLineChars="200"/>
        <w:rPr>
          <w:rFonts w:hint="eastAsia" w:ascii="宋体" w:hAnsi="宋体" w:eastAsia="宋体" w:cs="宋体"/>
          <w:color w:val="auto"/>
          <w:szCs w:val="21"/>
          <w:highlight w:val="none"/>
        </w:rPr>
      </w:pPr>
    </w:p>
    <w:p>
      <w:pPr>
        <w:pStyle w:val="20"/>
        <w:spacing w:line="30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被授权人(</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授权代表)</w:t>
      </w:r>
    </w:p>
    <w:p>
      <w:pPr>
        <w:spacing w:line="300" w:lineRule="auto"/>
        <w:ind w:firstLine="422" w:firstLineChars="200"/>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居民身份证正反面复印件粘贴处</w:t>
      </w:r>
    </w:p>
    <w:p>
      <w:pPr>
        <w:spacing w:line="300" w:lineRule="auto"/>
        <w:ind w:firstLine="105" w:firstLineChars="50"/>
        <w:rPr>
          <w:rFonts w:hint="eastAsia" w:ascii="宋体" w:hAnsi="宋体" w:eastAsia="宋体" w:cs="宋体"/>
          <w:color w:val="auto"/>
          <w:szCs w:val="21"/>
          <w:highlight w:val="none"/>
        </w:rPr>
      </w:pPr>
    </w:p>
    <w:p>
      <w:pPr>
        <w:spacing w:line="300" w:lineRule="auto"/>
        <w:ind w:firstLine="105" w:firstLineChars="50"/>
        <w:rPr>
          <w:rFonts w:hint="eastAsia" w:ascii="宋体" w:hAnsi="宋体" w:eastAsia="宋体" w:cs="宋体"/>
          <w:color w:val="auto"/>
          <w:szCs w:val="21"/>
          <w:highlight w:val="none"/>
        </w:rPr>
      </w:pPr>
    </w:p>
    <w:p>
      <w:pPr>
        <w:spacing w:line="30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全称（加盖公章）：                     地       址：</w:t>
      </w:r>
    </w:p>
    <w:p>
      <w:pPr>
        <w:rPr>
          <w:rFonts w:hint="eastAsia" w:ascii="宋体" w:hAnsi="宋体" w:eastAsia="宋体" w:cs="宋体"/>
          <w:color w:val="auto"/>
          <w:highlight w:val="none"/>
        </w:rPr>
      </w:pPr>
      <w:r>
        <w:rPr>
          <w:rFonts w:hint="eastAsia" w:ascii="宋体" w:hAnsi="宋体" w:eastAsia="宋体" w:cs="宋体"/>
          <w:color w:val="auto"/>
          <w:szCs w:val="21"/>
          <w:highlight w:val="none"/>
        </w:rPr>
        <w:t>法定代表人（签字或签章）：                   被授权人(</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授权代表)（签字）：</w:t>
      </w: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pStyle w:val="3"/>
        <w:spacing w:before="0" w:after="120"/>
        <w:rPr>
          <w:rFonts w:hint="eastAsia" w:ascii="宋体" w:hAnsi="宋体" w:eastAsia="宋体" w:cs="宋体"/>
          <w:color w:val="auto"/>
          <w:highlight w:val="none"/>
        </w:rPr>
      </w:pPr>
      <w:bookmarkStart w:id="177" w:name="_Toc453695575"/>
      <w:bookmarkStart w:id="178" w:name="_Toc461991266"/>
      <w:bookmarkStart w:id="179" w:name="_Toc453695702"/>
      <w:r>
        <w:rPr>
          <w:rFonts w:hint="eastAsia" w:ascii="宋体" w:hAnsi="宋体" w:eastAsia="宋体" w:cs="宋体"/>
          <w:color w:val="auto"/>
          <w:highlight w:val="none"/>
        </w:rPr>
        <w:t>格式</w:t>
      </w:r>
      <w:r>
        <w:rPr>
          <w:rFonts w:hint="eastAsia" w:cs="宋体"/>
          <w:color w:val="auto"/>
          <w:highlight w:val="none"/>
          <w:lang w:val="en-US" w:eastAsia="zh-CN"/>
        </w:rPr>
        <w:t>4</w:t>
      </w:r>
      <w:r>
        <w:rPr>
          <w:rFonts w:hint="eastAsia" w:ascii="宋体" w:hAnsi="宋体" w:eastAsia="宋体" w:cs="宋体"/>
          <w:color w:val="auto"/>
          <w:highlight w:val="none"/>
        </w:rPr>
        <w:t xml:space="preserve">             实质性条款响应一览表</w:t>
      </w:r>
    </w:p>
    <w:p>
      <w:pPr>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kern w:val="28"/>
          <w:szCs w:val="21"/>
          <w:highlight w:val="none"/>
        </w:rPr>
        <w:t xml:space="preserve">：                                            </w:t>
      </w:r>
      <w:r>
        <w:rPr>
          <w:rFonts w:hint="eastAsia" w:ascii="宋体" w:hAnsi="宋体" w:eastAsia="宋体" w:cs="宋体"/>
          <w:color w:val="auto"/>
          <w:szCs w:val="21"/>
          <w:highlight w:val="none"/>
        </w:rPr>
        <w:t xml:space="preserve">项目编号： </w:t>
      </w:r>
      <w:r>
        <w:rPr>
          <w:rFonts w:hint="eastAsia" w:ascii="宋体" w:hAnsi="宋体" w:eastAsia="宋体" w:cs="宋体"/>
          <w:bCs/>
          <w:color w:val="auto"/>
          <w:szCs w:val="21"/>
          <w:highlight w:val="none"/>
        </w:rPr>
        <w:t xml:space="preserve">             </w:t>
      </w:r>
    </w:p>
    <w:tbl>
      <w:tblPr>
        <w:tblStyle w:val="39"/>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277"/>
        <w:gridCol w:w="1785"/>
        <w:gridCol w:w="1888"/>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871" w:type="dxa"/>
            <w:vAlign w:val="center"/>
          </w:tcPr>
          <w:p>
            <w:pPr>
              <w:spacing w:before="240" w:line="240" w:lineRule="exact"/>
              <w:ind w:left="902"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277" w:type="dxa"/>
            <w:tcBorders>
              <w:left w:val="single" w:color="000000" w:sz="4" w:space="0"/>
            </w:tcBorders>
            <w:vAlign w:val="center"/>
          </w:tcPr>
          <w:p>
            <w:pPr>
              <w:spacing w:before="240" w:line="240" w:lineRule="exact"/>
              <w:ind w:left="902"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带“★”号响应内容</w:t>
            </w:r>
          </w:p>
        </w:tc>
        <w:tc>
          <w:tcPr>
            <w:tcW w:w="1785" w:type="dxa"/>
            <w:vAlign w:val="center"/>
          </w:tcPr>
          <w:p>
            <w:pPr>
              <w:spacing w:before="240" w:line="240" w:lineRule="exact"/>
              <w:ind w:left="902"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1888" w:type="dxa"/>
            <w:vAlign w:val="center"/>
          </w:tcPr>
          <w:p>
            <w:pPr>
              <w:spacing w:before="240" w:line="240" w:lineRule="exact"/>
              <w:ind w:left="902"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c>
          <w:tcPr>
            <w:tcW w:w="1354" w:type="dxa"/>
            <w:vAlign w:val="center"/>
          </w:tcPr>
          <w:p>
            <w:pPr>
              <w:spacing w:before="240" w:line="240" w:lineRule="exact"/>
              <w:ind w:left="902"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71" w:type="dxa"/>
            <w:vAlign w:val="center"/>
          </w:tcPr>
          <w:p>
            <w:pPr>
              <w:spacing w:before="240" w:line="240" w:lineRule="exact"/>
              <w:ind w:left="902"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77" w:type="dxa"/>
            <w:tcBorders>
              <w:left w:val="single" w:color="000000" w:sz="4" w:space="0"/>
            </w:tcBorders>
            <w:vAlign w:val="center"/>
          </w:tcPr>
          <w:p>
            <w:pPr>
              <w:spacing w:line="24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rPr>
              <w:t>合格</w:t>
            </w:r>
            <w:r>
              <w:rPr>
                <w:rFonts w:hint="eastAsia" w:ascii="宋体" w:hAnsi="宋体" w:eastAsia="宋体" w:cs="宋体"/>
                <w:color w:val="auto"/>
                <w:szCs w:val="22"/>
                <w:highlight w:val="none"/>
                <w:lang w:eastAsia="zh-CN"/>
              </w:rPr>
              <w:t>供应商</w:t>
            </w:r>
            <w:r>
              <w:rPr>
                <w:rFonts w:hint="eastAsia" w:ascii="宋体" w:hAnsi="宋体" w:eastAsia="宋体" w:cs="宋体"/>
                <w:color w:val="auto"/>
                <w:szCs w:val="22"/>
                <w:highlight w:val="none"/>
              </w:rPr>
              <w:t>资格要求</w:t>
            </w:r>
          </w:p>
        </w:tc>
        <w:tc>
          <w:tcPr>
            <w:tcW w:w="1785" w:type="dxa"/>
            <w:vAlign w:val="top"/>
          </w:tcPr>
          <w:p>
            <w:pPr>
              <w:spacing w:before="240" w:line="240" w:lineRule="exact"/>
              <w:ind w:left="902" w:hanging="902"/>
              <w:rPr>
                <w:rFonts w:hint="eastAsia" w:ascii="宋体" w:hAnsi="宋体" w:eastAsia="宋体" w:cs="宋体"/>
                <w:color w:val="auto"/>
                <w:szCs w:val="21"/>
                <w:highlight w:val="none"/>
              </w:rPr>
            </w:pPr>
          </w:p>
        </w:tc>
        <w:tc>
          <w:tcPr>
            <w:tcW w:w="1888" w:type="dxa"/>
            <w:vAlign w:val="top"/>
          </w:tcPr>
          <w:p>
            <w:pPr>
              <w:spacing w:before="240" w:line="240" w:lineRule="exact"/>
              <w:ind w:left="902" w:hanging="902"/>
              <w:rPr>
                <w:rFonts w:hint="eastAsia" w:ascii="宋体" w:hAnsi="宋体" w:eastAsia="宋体" w:cs="宋体"/>
                <w:color w:val="auto"/>
                <w:szCs w:val="21"/>
                <w:highlight w:val="none"/>
              </w:rPr>
            </w:pPr>
          </w:p>
        </w:tc>
        <w:tc>
          <w:tcPr>
            <w:tcW w:w="1354" w:type="dxa"/>
            <w:vAlign w:val="top"/>
          </w:tcPr>
          <w:p>
            <w:pPr>
              <w:spacing w:before="240" w:line="240" w:lineRule="exac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871" w:type="dxa"/>
            <w:vAlign w:val="center"/>
          </w:tcPr>
          <w:p>
            <w:pPr>
              <w:spacing w:before="240" w:line="240" w:lineRule="exact"/>
              <w:ind w:left="902"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77" w:type="dxa"/>
            <w:tcBorders>
              <w:left w:val="single" w:color="000000" w:sz="4" w:space="0"/>
            </w:tcBorders>
            <w:vAlign w:val="center"/>
          </w:tcPr>
          <w:p>
            <w:pPr>
              <w:spacing w:line="240" w:lineRule="exact"/>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响应文件</w:t>
            </w:r>
            <w:r>
              <w:rPr>
                <w:rFonts w:hint="eastAsia" w:ascii="宋体" w:hAnsi="宋体" w:eastAsia="宋体" w:cs="宋体"/>
                <w:color w:val="auto"/>
                <w:szCs w:val="22"/>
                <w:highlight w:val="none"/>
              </w:rPr>
              <w:t>格式带“</w:t>
            </w:r>
            <w:r>
              <w:rPr>
                <w:rFonts w:hint="eastAsia" w:ascii="宋体" w:hAnsi="宋体" w:eastAsia="宋体" w:cs="宋体"/>
                <w:b w:val="0"/>
                <w:bCs w:val="0"/>
                <w:color w:val="auto"/>
                <w:szCs w:val="22"/>
                <w:highlight w:val="none"/>
              </w:rPr>
              <w:t>★</w:t>
            </w:r>
            <w:r>
              <w:rPr>
                <w:rFonts w:hint="eastAsia" w:ascii="宋体" w:hAnsi="宋体" w:eastAsia="宋体" w:cs="宋体"/>
                <w:color w:val="auto"/>
                <w:szCs w:val="22"/>
                <w:highlight w:val="none"/>
              </w:rPr>
              <w:t>”内容</w:t>
            </w:r>
          </w:p>
        </w:tc>
        <w:tc>
          <w:tcPr>
            <w:tcW w:w="1785" w:type="dxa"/>
            <w:vAlign w:val="top"/>
          </w:tcPr>
          <w:p>
            <w:pPr>
              <w:spacing w:before="240" w:line="240" w:lineRule="exact"/>
              <w:ind w:left="902" w:hanging="902"/>
              <w:rPr>
                <w:rFonts w:hint="eastAsia" w:ascii="宋体" w:hAnsi="宋体" w:eastAsia="宋体" w:cs="宋体"/>
                <w:color w:val="auto"/>
                <w:szCs w:val="21"/>
                <w:highlight w:val="none"/>
              </w:rPr>
            </w:pPr>
          </w:p>
        </w:tc>
        <w:tc>
          <w:tcPr>
            <w:tcW w:w="1888" w:type="dxa"/>
            <w:vAlign w:val="top"/>
          </w:tcPr>
          <w:p>
            <w:pPr>
              <w:spacing w:before="240" w:line="240" w:lineRule="exact"/>
              <w:ind w:left="902" w:hanging="902"/>
              <w:rPr>
                <w:rFonts w:hint="eastAsia" w:ascii="宋体" w:hAnsi="宋体" w:eastAsia="宋体" w:cs="宋体"/>
                <w:color w:val="auto"/>
                <w:szCs w:val="21"/>
                <w:highlight w:val="none"/>
              </w:rPr>
            </w:pPr>
          </w:p>
        </w:tc>
        <w:tc>
          <w:tcPr>
            <w:tcW w:w="1354" w:type="dxa"/>
            <w:vAlign w:val="top"/>
          </w:tcPr>
          <w:p>
            <w:pPr>
              <w:spacing w:before="240" w:line="240" w:lineRule="exact"/>
              <w:ind w:left="902" w:hanging="90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1" w:type="dxa"/>
            <w:vAlign w:val="center"/>
          </w:tcPr>
          <w:p>
            <w:pPr>
              <w:spacing w:before="240" w:line="240" w:lineRule="exact"/>
              <w:ind w:left="902"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77" w:type="dxa"/>
            <w:tcBorders>
              <w:left w:val="single" w:color="000000" w:sz="4" w:space="0"/>
            </w:tcBorders>
            <w:vAlign w:val="top"/>
          </w:tcPr>
          <w:p>
            <w:pPr>
              <w:spacing w:line="240" w:lineRule="exact"/>
              <w:rPr>
                <w:rFonts w:hint="eastAsia" w:ascii="宋体" w:hAnsi="宋体" w:eastAsia="宋体" w:cs="宋体"/>
                <w:color w:val="auto"/>
                <w:szCs w:val="22"/>
                <w:highlight w:val="none"/>
              </w:rPr>
            </w:pPr>
          </w:p>
        </w:tc>
        <w:tc>
          <w:tcPr>
            <w:tcW w:w="1785" w:type="dxa"/>
            <w:vAlign w:val="top"/>
          </w:tcPr>
          <w:p>
            <w:pPr>
              <w:spacing w:before="240" w:line="240" w:lineRule="exact"/>
              <w:ind w:left="902" w:hanging="902"/>
              <w:rPr>
                <w:rFonts w:hint="eastAsia" w:ascii="宋体" w:hAnsi="宋体" w:eastAsia="宋体" w:cs="宋体"/>
                <w:color w:val="auto"/>
                <w:szCs w:val="21"/>
                <w:highlight w:val="none"/>
              </w:rPr>
            </w:pPr>
          </w:p>
        </w:tc>
        <w:tc>
          <w:tcPr>
            <w:tcW w:w="1888" w:type="dxa"/>
            <w:vAlign w:val="top"/>
          </w:tcPr>
          <w:p>
            <w:pPr>
              <w:spacing w:before="240" w:line="240" w:lineRule="exact"/>
              <w:ind w:left="902" w:hanging="902"/>
              <w:rPr>
                <w:rFonts w:hint="eastAsia" w:ascii="宋体" w:hAnsi="宋体" w:eastAsia="宋体" w:cs="宋体"/>
                <w:color w:val="auto"/>
                <w:szCs w:val="21"/>
                <w:highlight w:val="none"/>
              </w:rPr>
            </w:pPr>
          </w:p>
        </w:tc>
        <w:tc>
          <w:tcPr>
            <w:tcW w:w="1354" w:type="dxa"/>
            <w:vAlign w:val="top"/>
          </w:tcPr>
          <w:p>
            <w:pPr>
              <w:spacing w:before="240" w:line="240" w:lineRule="exact"/>
              <w:ind w:left="902" w:hanging="90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1" w:type="dxa"/>
            <w:vAlign w:val="center"/>
          </w:tcPr>
          <w:p>
            <w:pPr>
              <w:spacing w:before="240" w:line="240" w:lineRule="exact"/>
              <w:ind w:left="902" w:hanging="902"/>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3277" w:type="dxa"/>
            <w:tcBorders>
              <w:left w:val="single" w:color="000000" w:sz="4" w:space="0"/>
            </w:tcBorders>
            <w:vAlign w:val="top"/>
          </w:tcPr>
          <w:p>
            <w:pPr>
              <w:spacing w:line="240" w:lineRule="exact"/>
              <w:rPr>
                <w:rFonts w:hint="eastAsia" w:ascii="宋体" w:hAnsi="宋体" w:eastAsia="宋体" w:cs="宋体"/>
                <w:b w:val="0"/>
                <w:color w:val="auto"/>
                <w:sz w:val="21"/>
                <w:szCs w:val="22"/>
                <w:highlight w:val="none"/>
                <w:lang w:val="en-US" w:eastAsia="zh-CN"/>
              </w:rPr>
            </w:pPr>
          </w:p>
        </w:tc>
        <w:tc>
          <w:tcPr>
            <w:tcW w:w="1785" w:type="dxa"/>
            <w:vAlign w:val="top"/>
          </w:tcPr>
          <w:p>
            <w:pPr>
              <w:spacing w:before="240" w:line="240" w:lineRule="exact"/>
              <w:ind w:left="902" w:hanging="902"/>
              <w:rPr>
                <w:rFonts w:hint="eastAsia" w:ascii="宋体" w:hAnsi="宋体" w:eastAsia="宋体" w:cs="宋体"/>
                <w:color w:val="auto"/>
                <w:szCs w:val="21"/>
                <w:highlight w:val="none"/>
              </w:rPr>
            </w:pPr>
          </w:p>
        </w:tc>
        <w:tc>
          <w:tcPr>
            <w:tcW w:w="1888" w:type="dxa"/>
            <w:vAlign w:val="top"/>
          </w:tcPr>
          <w:p>
            <w:pPr>
              <w:spacing w:before="240" w:line="240" w:lineRule="exact"/>
              <w:ind w:left="902" w:hanging="902"/>
              <w:rPr>
                <w:rFonts w:hint="eastAsia" w:ascii="宋体" w:hAnsi="宋体" w:eastAsia="宋体" w:cs="宋体"/>
                <w:color w:val="auto"/>
                <w:szCs w:val="21"/>
                <w:highlight w:val="none"/>
              </w:rPr>
            </w:pPr>
          </w:p>
        </w:tc>
        <w:tc>
          <w:tcPr>
            <w:tcW w:w="1354" w:type="dxa"/>
            <w:vAlign w:val="top"/>
          </w:tcPr>
          <w:p>
            <w:pPr>
              <w:spacing w:before="240" w:line="240" w:lineRule="exact"/>
              <w:ind w:left="902" w:hanging="90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1" w:type="dxa"/>
            <w:vAlign w:val="center"/>
          </w:tcPr>
          <w:p>
            <w:pPr>
              <w:spacing w:before="240" w:line="240" w:lineRule="exact"/>
              <w:ind w:left="902" w:hanging="902"/>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3277" w:type="dxa"/>
            <w:tcBorders>
              <w:left w:val="single" w:color="000000" w:sz="4" w:space="0"/>
            </w:tcBorders>
            <w:vAlign w:val="top"/>
          </w:tcPr>
          <w:p>
            <w:pPr>
              <w:spacing w:line="240" w:lineRule="exact"/>
              <w:rPr>
                <w:rFonts w:hint="eastAsia" w:ascii="宋体" w:hAnsi="宋体" w:eastAsia="宋体" w:cs="宋体"/>
                <w:b w:val="0"/>
                <w:color w:val="auto"/>
                <w:sz w:val="21"/>
                <w:szCs w:val="22"/>
                <w:highlight w:val="none"/>
                <w:lang w:val="en-US" w:eastAsia="zh-CN"/>
              </w:rPr>
            </w:pPr>
          </w:p>
        </w:tc>
        <w:tc>
          <w:tcPr>
            <w:tcW w:w="1785" w:type="dxa"/>
            <w:vAlign w:val="top"/>
          </w:tcPr>
          <w:p>
            <w:pPr>
              <w:spacing w:before="240" w:line="240" w:lineRule="exact"/>
              <w:ind w:left="902" w:hanging="902"/>
              <w:rPr>
                <w:rFonts w:hint="eastAsia" w:ascii="宋体" w:hAnsi="宋体" w:eastAsia="宋体" w:cs="宋体"/>
                <w:color w:val="auto"/>
                <w:szCs w:val="21"/>
                <w:highlight w:val="none"/>
              </w:rPr>
            </w:pPr>
          </w:p>
        </w:tc>
        <w:tc>
          <w:tcPr>
            <w:tcW w:w="1888" w:type="dxa"/>
            <w:vAlign w:val="top"/>
          </w:tcPr>
          <w:p>
            <w:pPr>
              <w:spacing w:before="240" w:line="240" w:lineRule="exact"/>
              <w:ind w:left="902" w:hanging="902"/>
              <w:rPr>
                <w:rFonts w:hint="eastAsia" w:ascii="宋体" w:hAnsi="宋体" w:eastAsia="宋体" w:cs="宋体"/>
                <w:color w:val="auto"/>
                <w:szCs w:val="21"/>
                <w:highlight w:val="none"/>
              </w:rPr>
            </w:pPr>
          </w:p>
        </w:tc>
        <w:tc>
          <w:tcPr>
            <w:tcW w:w="1354" w:type="dxa"/>
            <w:vAlign w:val="top"/>
          </w:tcPr>
          <w:p>
            <w:pPr>
              <w:spacing w:before="240" w:line="240" w:lineRule="exact"/>
              <w:ind w:left="902" w:hanging="90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1" w:type="dxa"/>
            <w:vAlign w:val="center"/>
          </w:tcPr>
          <w:p>
            <w:pPr>
              <w:spacing w:before="240" w:line="240" w:lineRule="exact"/>
              <w:ind w:left="902" w:hanging="902"/>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3277" w:type="dxa"/>
            <w:tcBorders>
              <w:left w:val="single" w:color="000000" w:sz="4" w:space="0"/>
            </w:tcBorders>
            <w:vAlign w:val="top"/>
          </w:tcPr>
          <w:p>
            <w:pPr>
              <w:spacing w:line="240" w:lineRule="exact"/>
              <w:rPr>
                <w:rFonts w:hint="eastAsia" w:ascii="宋体" w:hAnsi="宋体" w:eastAsia="宋体" w:cs="宋体"/>
                <w:b w:val="0"/>
                <w:bCs w:val="0"/>
                <w:color w:val="auto"/>
                <w:szCs w:val="22"/>
                <w:highlight w:val="none"/>
                <w:u w:val="none"/>
                <w:lang w:val="en-US" w:eastAsia="zh-CN"/>
              </w:rPr>
            </w:pPr>
          </w:p>
        </w:tc>
        <w:tc>
          <w:tcPr>
            <w:tcW w:w="1785" w:type="dxa"/>
            <w:vAlign w:val="top"/>
          </w:tcPr>
          <w:p>
            <w:pPr>
              <w:spacing w:before="240" w:line="240" w:lineRule="exact"/>
              <w:ind w:left="902" w:hanging="902"/>
              <w:rPr>
                <w:rFonts w:hint="eastAsia" w:ascii="宋体" w:hAnsi="宋体" w:eastAsia="宋体" w:cs="宋体"/>
                <w:color w:val="auto"/>
                <w:szCs w:val="21"/>
                <w:highlight w:val="none"/>
              </w:rPr>
            </w:pPr>
          </w:p>
        </w:tc>
        <w:tc>
          <w:tcPr>
            <w:tcW w:w="1888" w:type="dxa"/>
            <w:vAlign w:val="top"/>
          </w:tcPr>
          <w:p>
            <w:pPr>
              <w:spacing w:before="240" w:line="240" w:lineRule="exact"/>
              <w:ind w:left="902" w:hanging="902"/>
              <w:rPr>
                <w:rFonts w:hint="eastAsia" w:ascii="宋体" w:hAnsi="宋体" w:eastAsia="宋体" w:cs="宋体"/>
                <w:color w:val="auto"/>
                <w:szCs w:val="21"/>
                <w:highlight w:val="none"/>
              </w:rPr>
            </w:pPr>
          </w:p>
        </w:tc>
        <w:tc>
          <w:tcPr>
            <w:tcW w:w="1354" w:type="dxa"/>
            <w:vAlign w:val="top"/>
          </w:tcPr>
          <w:p>
            <w:pPr>
              <w:spacing w:before="240" w:line="240" w:lineRule="exact"/>
              <w:ind w:left="902" w:hanging="902"/>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1" w:type="dxa"/>
            <w:vAlign w:val="center"/>
          </w:tcPr>
          <w:p>
            <w:pPr>
              <w:spacing w:before="240" w:line="240" w:lineRule="exact"/>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77" w:type="dxa"/>
            <w:tcBorders>
              <w:left w:val="single" w:color="000000" w:sz="4" w:space="0"/>
            </w:tcBorders>
            <w:vAlign w:val="top"/>
          </w:tcPr>
          <w:p>
            <w:pPr>
              <w:spacing w:line="240" w:lineRule="exact"/>
              <w:rPr>
                <w:rFonts w:hint="eastAsia" w:ascii="宋体" w:hAnsi="宋体" w:eastAsia="宋体" w:cs="宋体"/>
                <w:color w:val="auto"/>
                <w:szCs w:val="21"/>
                <w:highlight w:val="none"/>
              </w:rPr>
            </w:pPr>
          </w:p>
        </w:tc>
        <w:tc>
          <w:tcPr>
            <w:tcW w:w="1785" w:type="dxa"/>
            <w:vAlign w:val="top"/>
          </w:tcPr>
          <w:p>
            <w:pPr>
              <w:spacing w:before="240" w:line="240" w:lineRule="exact"/>
              <w:ind w:left="902" w:hanging="902"/>
              <w:rPr>
                <w:rFonts w:hint="eastAsia" w:ascii="宋体" w:hAnsi="宋体" w:eastAsia="宋体" w:cs="宋体"/>
                <w:color w:val="auto"/>
                <w:szCs w:val="21"/>
                <w:highlight w:val="none"/>
              </w:rPr>
            </w:pPr>
          </w:p>
        </w:tc>
        <w:tc>
          <w:tcPr>
            <w:tcW w:w="1888" w:type="dxa"/>
            <w:vAlign w:val="top"/>
          </w:tcPr>
          <w:p>
            <w:pPr>
              <w:spacing w:before="240" w:line="240" w:lineRule="exact"/>
              <w:ind w:left="902" w:hanging="902"/>
              <w:rPr>
                <w:rFonts w:hint="eastAsia" w:ascii="宋体" w:hAnsi="宋体" w:eastAsia="宋体" w:cs="宋体"/>
                <w:color w:val="auto"/>
                <w:szCs w:val="21"/>
                <w:highlight w:val="none"/>
              </w:rPr>
            </w:pPr>
          </w:p>
        </w:tc>
        <w:tc>
          <w:tcPr>
            <w:tcW w:w="1354" w:type="dxa"/>
            <w:vAlign w:val="top"/>
          </w:tcPr>
          <w:p>
            <w:pPr>
              <w:spacing w:before="240" w:line="240" w:lineRule="exact"/>
              <w:ind w:left="902" w:hanging="902"/>
              <w:rPr>
                <w:rFonts w:hint="eastAsia" w:ascii="宋体" w:hAnsi="宋体" w:eastAsia="宋体" w:cs="宋体"/>
                <w:color w:val="auto"/>
                <w:szCs w:val="21"/>
                <w:highlight w:val="none"/>
              </w:rPr>
            </w:pPr>
          </w:p>
        </w:tc>
      </w:tr>
    </w:tbl>
    <w:p>
      <w:pP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说明：1、</w:t>
      </w:r>
      <w:r>
        <w:rPr>
          <w:rFonts w:hint="eastAsia" w:ascii="宋体" w:hAnsi="宋体" w:eastAsia="宋体" w:cs="宋体"/>
          <w:b/>
          <w:bCs/>
          <w:color w:val="auto"/>
          <w:szCs w:val="21"/>
          <w:highlight w:val="none"/>
          <w:lang w:eastAsia="zh-CN"/>
        </w:rPr>
        <w:t>供应商</w:t>
      </w:r>
      <w:r>
        <w:rPr>
          <w:rFonts w:hint="eastAsia" w:ascii="宋体" w:hAnsi="宋体" w:eastAsia="宋体" w:cs="宋体"/>
          <w:b/>
          <w:bCs/>
          <w:color w:val="auto"/>
          <w:szCs w:val="21"/>
          <w:highlight w:val="none"/>
        </w:rPr>
        <w:t>必须对应</w:t>
      </w:r>
      <w:r>
        <w:rPr>
          <w:rFonts w:hint="eastAsia" w:ascii="宋体" w:hAnsi="宋体" w:eastAsia="宋体" w:cs="宋体"/>
          <w:b/>
          <w:bCs/>
          <w:color w:val="auto"/>
          <w:szCs w:val="21"/>
          <w:highlight w:val="none"/>
          <w:lang w:eastAsia="zh-CN"/>
        </w:rPr>
        <w:t>磋商</w:t>
      </w:r>
      <w:r>
        <w:rPr>
          <w:rFonts w:hint="eastAsia" w:ascii="宋体" w:hAnsi="宋体" w:eastAsia="宋体" w:cs="宋体"/>
          <w:b/>
          <w:bCs/>
          <w:color w:val="auto"/>
          <w:szCs w:val="21"/>
          <w:highlight w:val="none"/>
        </w:rPr>
        <w:t>文件的 “★”号条款逐条应答并按要求填写下表。</w:t>
      </w:r>
    </w:p>
    <w:p>
      <w:pPr>
        <w:ind w:left="510" w:leftChars="243" w:firstLine="103" w:firstLineChars="4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2、对完全响应的条目在下表相应列中标注“○”。对有偏离的条目在下表相应列中标注“×”，并简述偏离内容。</w:t>
      </w:r>
    </w:p>
    <w:p>
      <w:pPr>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3、本表“是否响应”、“偏离说明”、“响应页码”不填写内容的视为完全响应。</w:t>
      </w:r>
    </w:p>
    <w:p>
      <w:pPr>
        <w:ind w:firstLine="422" w:firstLineChars="200"/>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bookmarkEnd w:id="146"/>
    <w:bookmarkEnd w:id="147"/>
    <w:bookmarkEnd w:id="148"/>
    <w:bookmarkEnd w:id="177"/>
    <w:bookmarkEnd w:id="178"/>
    <w:bookmarkEnd w:id="179"/>
    <w:p>
      <w:pPr>
        <w:pStyle w:val="3"/>
        <w:rPr>
          <w:rStyle w:val="51"/>
          <w:rFonts w:hint="eastAsia" w:ascii="宋体" w:hAnsi="宋体" w:eastAsia="宋体" w:cs="宋体"/>
          <w:b w:val="0"/>
          <w:color w:val="auto"/>
          <w:highlight w:val="none"/>
        </w:rPr>
      </w:pPr>
      <w:bookmarkStart w:id="180" w:name="_Toc238275005"/>
      <w:bookmarkStart w:id="181" w:name="_Toc453695696"/>
      <w:bookmarkStart w:id="182" w:name="_Toc453695569"/>
      <w:bookmarkStart w:id="183" w:name="_Toc461991260"/>
      <w:bookmarkStart w:id="184" w:name="_Toc338083273"/>
      <w:r>
        <w:rPr>
          <w:rFonts w:hint="eastAsia" w:ascii="宋体" w:hAnsi="宋体" w:eastAsia="宋体" w:cs="宋体"/>
          <w:color w:val="auto"/>
          <w:highlight w:val="none"/>
        </w:rPr>
        <w:t>格式</w:t>
      </w:r>
      <w:r>
        <w:rPr>
          <w:rFonts w:hint="eastAsia" w:cs="宋体"/>
          <w:color w:val="auto"/>
          <w:highlight w:val="none"/>
          <w:lang w:val="en-US" w:eastAsia="zh-CN"/>
        </w:rPr>
        <w:t>5</w:t>
      </w:r>
      <w:r>
        <w:rPr>
          <w:rFonts w:hint="eastAsia" w:ascii="宋体" w:hAnsi="宋体" w:eastAsia="宋体" w:cs="宋体"/>
          <w:color w:val="auto"/>
          <w:highlight w:val="none"/>
        </w:rPr>
        <w:t xml:space="preserve">                  </w:t>
      </w:r>
      <w:bookmarkEnd w:id="180"/>
      <w:r>
        <w:rPr>
          <w:rFonts w:hint="eastAsia" w:ascii="宋体" w:hAnsi="宋体" w:eastAsia="宋体" w:cs="宋体"/>
          <w:bCs w:val="0"/>
          <w:color w:val="auto"/>
          <w:szCs w:val="22"/>
          <w:highlight w:val="none"/>
        </w:rPr>
        <w:t>关于资格证明文件的声明函</w:t>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广州群生招标代理有限公司：</w:t>
      </w:r>
    </w:p>
    <w:p>
      <w:pPr>
        <w:spacing w:line="360" w:lineRule="auto"/>
        <w:ind w:firstLine="54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我方愿响应你方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日发布的</w:t>
      </w:r>
      <w:r>
        <w:rPr>
          <w:rFonts w:hint="eastAsia" w:ascii="宋体" w:hAnsi="宋体" w:eastAsia="宋体" w:cs="宋体"/>
          <w:color w:val="auto"/>
          <w:kern w:val="0"/>
          <w:szCs w:val="21"/>
          <w:highlight w:val="none"/>
          <w:u w:val="single"/>
        </w:rPr>
        <w:t xml:space="preserve">     项目</w:t>
      </w: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报价邀请，参与报价，提供采购人需求中规定的全部内容，并按采购文件要求提交所附资格文件且声明和保证如下：</w:t>
      </w:r>
    </w:p>
    <w:p>
      <w:pPr>
        <w:widowControl/>
        <w:numPr>
          <w:ilvl w:val="0"/>
          <w:numId w:val="7"/>
        </w:num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为本次报价所提交的所有证明我方提供货物和服务合格和我方资格的文件是真实的和正确的，并愿为其真实性和正确性承担法律责任；核验我方提供相关复印件与原件不一致的，或我方无法在规定时间内提供原件的，采购人或采购代理机构有权取消我方报价或成交资格；提供给采购人的货物及服务与报价承诺一致。</w:t>
      </w:r>
    </w:p>
    <w:p>
      <w:pPr>
        <w:widowControl/>
        <w:numPr>
          <w:ilvl w:val="0"/>
          <w:numId w:val="7"/>
        </w:num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我方在参与本次报价时，符合 《中华人民共和国政府采购法》第二十二条</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资格条件要求及其他法律法规规定</w:t>
      </w:r>
      <w:r>
        <w:rPr>
          <w:rFonts w:hint="eastAsia" w:ascii="宋体" w:hAnsi="宋体" w:eastAsia="宋体" w:cs="宋体"/>
          <w:color w:val="auto"/>
          <w:szCs w:val="21"/>
          <w:highlight w:val="none"/>
          <w:lang w:val="en-US" w:eastAsia="zh-CN"/>
        </w:rPr>
        <w:t>的其他条件</w:t>
      </w:r>
      <w:r>
        <w:rPr>
          <w:rFonts w:hint="eastAsia" w:ascii="宋体" w:hAnsi="宋体" w:eastAsia="宋体" w:cs="宋体"/>
          <w:color w:val="auto"/>
          <w:szCs w:val="21"/>
          <w:highlight w:val="none"/>
        </w:rPr>
        <w:t>。</w:t>
      </w:r>
    </w:p>
    <w:p>
      <w:pPr>
        <w:widowControl/>
        <w:numPr>
          <w:ilvl w:val="0"/>
          <w:numId w:val="7"/>
        </w:num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我方具有履行合同所必须的设备和专业技术能力。</w:t>
      </w:r>
    </w:p>
    <w:p>
      <w:pPr>
        <w:widowControl/>
        <w:numPr>
          <w:ilvl w:val="0"/>
          <w:numId w:val="7"/>
        </w:num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我方参加政府采购活动前三年内在经营活动中没有重大违法记录。</w:t>
      </w:r>
    </w:p>
    <w:p>
      <w:pPr>
        <w:widowControl/>
        <w:numPr>
          <w:ilvl w:val="0"/>
          <w:numId w:val="7"/>
        </w:num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我方如</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，除不可抗力原因外，将在规定时间内与采购人签订合同。</w:t>
      </w:r>
    </w:p>
    <w:p>
      <w:pPr>
        <w:widowControl/>
        <w:spacing w:line="360" w:lineRule="auto"/>
        <w:ind w:firstLine="525" w:firstLineChars="2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如有违反上述声明之情形</w:t>
      </w:r>
      <w:r>
        <w:rPr>
          <w:rFonts w:hint="eastAsia" w:ascii="宋体" w:hAnsi="宋体" w:eastAsia="宋体" w:cs="宋体"/>
          <w:color w:val="auto"/>
          <w:szCs w:val="21"/>
          <w:highlight w:val="none"/>
          <w:lang w:val="en-US" w:eastAsia="zh-CN"/>
        </w:rPr>
        <w:t>或我方声明与事实不符，</w:t>
      </w:r>
      <w:r>
        <w:rPr>
          <w:rFonts w:hint="eastAsia" w:ascii="宋体" w:hAnsi="宋体" w:eastAsia="宋体" w:cs="宋体"/>
          <w:color w:val="auto"/>
          <w:szCs w:val="21"/>
          <w:highlight w:val="none"/>
        </w:rPr>
        <w:t>我方</w:t>
      </w:r>
      <w:r>
        <w:rPr>
          <w:rFonts w:hint="eastAsia" w:ascii="宋体" w:hAnsi="宋体" w:eastAsia="宋体" w:cs="宋体"/>
          <w:color w:val="auto"/>
          <w:szCs w:val="21"/>
          <w:highlight w:val="none"/>
          <w:lang w:val="en-US" w:eastAsia="zh-CN"/>
        </w:rPr>
        <w:t>对被取消成交</w:t>
      </w:r>
      <w:r>
        <w:rPr>
          <w:rFonts w:hint="eastAsia" w:ascii="宋体" w:hAnsi="宋体" w:eastAsia="宋体" w:cs="宋体"/>
          <w:color w:val="auto"/>
          <w:szCs w:val="21"/>
          <w:highlight w:val="none"/>
        </w:rPr>
        <w:t>资格</w:t>
      </w:r>
      <w:r>
        <w:rPr>
          <w:rFonts w:hint="eastAsia" w:ascii="宋体" w:hAnsi="宋体" w:eastAsia="宋体" w:cs="宋体"/>
          <w:color w:val="auto"/>
          <w:szCs w:val="21"/>
          <w:highlight w:val="none"/>
          <w:lang w:val="en-US" w:eastAsia="zh-CN"/>
        </w:rPr>
        <w:t>无异议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同时，我方无条件接受相关部门以提供虚假材料谋取成交处理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全称（加盖公章）: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授权代表(签字)：                   日    期：     年   月   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left"/>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pStyle w:val="3"/>
        <w:rPr>
          <w:rStyle w:val="51"/>
          <w:rFonts w:hint="eastAsia" w:ascii="宋体" w:hAnsi="宋体" w:eastAsia="宋体" w:cs="宋体"/>
          <w:b w:val="0"/>
          <w:color w:val="auto"/>
          <w:highlight w:val="none"/>
        </w:rPr>
      </w:pPr>
      <w:r>
        <w:rPr>
          <w:rFonts w:hint="eastAsia" w:ascii="宋体" w:hAnsi="宋体" w:eastAsia="宋体" w:cs="宋体"/>
          <w:color w:val="auto"/>
          <w:highlight w:val="none"/>
        </w:rPr>
        <w:t>格式</w:t>
      </w:r>
      <w:r>
        <w:rPr>
          <w:rFonts w:hint="eastAsia" w:cs="宋体"/>
          <w:color w:val="auto"/>
          <w:highlight w:val="none"/>
          <w:lang w:val="en-US" w:eastAsia="zh-CN"/>
        </w:rPr>
        <w:t>6</w:t>
      </w:r>
      <w:r>
        <w:rPr>
          <w:rFonts w:hint="eastAsia" w:ascii="宋体" w:hAnsi="宋体" w:eastAsia="宋体" w:cs="宋体"/>
          <w:color w:val="auto"/>
          <w:highlight w:val="none"/>
        </w:rPr>
        <w:t xml:space="preserve">                  </w:t>
      </w:r>
      <w:r>
        <w:rPr>
          <w:rFonts w:hint="eastAsia" w:ascii="宋体" w:hAnsi="宋体" w:eastAsia="宋体" w:cs="宋体"/>
          <w:color w:val="auto"/>
          <w:szCs w:val="22"/>
          <w:highlight w:val="none"/>
        </w:rPr>
        <w:t>设备及专业技术能力情况表</w:t>
      </w:r>
    </w:p>
    <w:tbl>
      <w:tblPr>
        <w:tblStyle w:val="3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286" w:type="dxa"/>
            <w:gridSpan w:val="4"/>
            <w:vAlign w:val="bottom"/>
          </w:tcPr>
          <w:p>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我单位为本项目实施提供以下设备和专业技术人员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Align w:val="bottom"/>
          </w:tcPr>
          <w:p>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683" w:type="dxa"/>
            <w:vAlign w:val="bottom"/>
          </w:tcPr>
          <w:p>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设备名称或专业技术人员</w:t>
            </w:r>
          </w:p>
        </w:tc>
        <w:tc>
          <w:tcPr>
            <w:tcW w:w="2322" w:type="dxa"/>
            <w:vAlign w:val="bottom"/>
          </w:tcPr>
          <w:p>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数量及单位</w:t>
            </w:r>
          </w:p>
        </w:tc>
        <w:tc>
          <w:tcPr>
            <w:tcW w:w="2322" w:type="dxa"/>
            <w:vAlign w:val="bottom"/>
          </w:tcPr>
          <w:p>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683" w:type="dxa"/>
            <w:vAlign w:val="bottom"/>
          </w:tcPr>
          <w:p>
            <w:pPr>
              <w:adjustRightInd w:val="0"/>
              <w:snapToGrid w:val="0"/>
              <w:spacing w:line="360" w:lineRule="auto"/>
              <w:jc w:val="center"/>
              <w:rPr>
                <w:rFonts w:hint="eastAsia" w:ascii="宋体" w:hAnsi="宋体" w:eastAsia="宋体" w:cs="宋体"/>
                <w:color w:val="auto"/>
                <w:highlight w:val="none"/>
              </w:rPr>
            </w:pPr>
          </w:p>
        </w:tc>
        <w:tc>
          <w:tcPr>
            <w:tcW w:w="2322" w:type="dxa"/>
            <w:vAlign w:val="bottom"/>
          </w:tcPr>
          <w:p>
            <w:pPr>
              <w:adjustRightInd w:val="0"/>
              <w:snapToGrid w:val="0"/>
              <w:spacing w:line="360" w:lineRule="auto"/>
              <w:jc w:val="center"/>
              <w:rPr>
                <w:rFonts w:hint="eastAsia" w:ascii="宋体" w:hAnsi="宋体" w:eastAsia="宋体" w:cs="宋体"/>
                <w:color w:val="auto"/>
                <w:highlight w:val="none"/>
              </w:rPr>
            </w:pPr>
          </w:p>
        </w:tc>
        <w:tc>
          <w:tcPr>
            <w:tcW w:w="2322" w:type="dxa"/>
            <w:vAlign w:val="bottom"/>
          </w:tcPr>
          <w:p>
            <w:pPr>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683" w:type="dxa"/>
            <w:vAlign w:val="bottom"/>
          </w:tcPr>
          <w:p>
            <w:pPr>
              <w:adjustRightInd w:val="0"/>
              <w:snapToGrid w:val="0"/>
              <w:spacing w:line="360" w:lineRule="auto"/>
              <w:jc w:val="center"/>
              <w:rPr>
                <w:rFonts w:hint="eastAsia" w:ascii="宋体" w:hAnsi="宋体" w:eastAsia="宋体" w:cs="宋体"/>
                <w:color w:val="auto"/>
                <w:highlight w:val="none"/>
              </w:rPr>
            </w:pPr>
          </w:p>
        </w:tc>
        <w:tc>
          <w:tcPr>
            <w:tcW w:w="2322" w:type="dxa"/>
            <w:vAlign w:val="bottom"/>
          </w:tcPr>
          <w:p>
            <w:pPr>
              <w:adjustRightInd w:val="0"/>
              <w:snapToGrid w:val="0"/>
              <w:spacing w:line="360" w:lineRule="auto"/>
              <w:jc w:val="center"/>
              <w:rPr>
                <w:rFonts w:hint="eastAsia" w:ascii="宋体" w:hAnsi="宋体" w:eastAsia="宋体" w:cs="宋体"/>
                <w:color w:val="auto"/>
                <w:highlight w:val="none"/>
              </w:rPr>
            </w:pPr>
          </w:p>
        </w:tc>
        <w:tc>
          <w:tcPr>
            <w:tcW w:w="2322" w:type="dxa"/>
            <w:vAlign w:val="bottom"/>
          </w:tcPr>
          <w:p>
            <w:pPr>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683" w:type="dxa"/>
            <w:vAlign w:val="bottom"/>
          </w:tcPr>
          <w:p>
            <w:pPr>
              <w:adjustRightInd w:val="0"/>
              <w:snapToGrid w:val="0"/>
              <w:spacing w:line="360" w:lineRule="auto"/>
              <w:jc w:val="center"/>
              <w:rPr>
                <w:rFonts w:hint="eastAsia" w:ascii="宋体" w:hAnsi="宋体" w:eastAsia="宋体" w:cs="宋体"/>
                <w:color w:val="auto"/>
                <w:highlight w:val="none"/>
              </w:rPr>
            </w:pPr>
          </w:p>
        </w:tc>
        <w:tc>
          <w:tcPr>
            <w:tcW w:w="2322" w:type="dxa"/>
            <w:vAlign w:val="bottom"/>
          </w:tcPr>
          <w:p>
            <w:pPr>
              <w:adjustRightInd w:val="0"/>
              <w:snapToGrid w:val="0"/>
              <w:spacing w:line="360" w:lineRule="auto"/>
              <w:jc w:val="center"/>
              <w:rPr>
                <w:rFonts w:hint="eastAsia" w:ascii="宋体" w:hAnsi="宋体" w:eastAsia="宋体" w:cs="宋体"/>
                <w:color w:val="auto"/>
                <w:highlight w:val="none"/>
              </w:rPr>
            </w:pPr>
          </w:p>
        </w:tc>
        <w:tc>
          <w:tcPr>
            <w:tcW w:w="2322" w:type="dxa"/>
            <w:vAlign w:val="bottom"/>
          </w:tcPr>
          <w:p>
            <w:pPr>
              <w:adjustRightInd w:val="0"/>
              <w:snapToGrid w:val="0"/>
              <w:spacing w:line="360" w:lineRule="auto"/>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3683" w:type="dxa"/>
            <w:vAlign w:val="bottom"/>
          </w:tcPr>
          <w:p>
            <w:pPr>
              <w:adjustRightInd w:val="0"/>
              <w:snapToGrid w:val="0"/>
              <w:spacing w:line="360" w:lineRule="auto"/>
              <w:jc w:val="center"/>
              <w:rPr>
                <w:rFonts w:hint="eastAsia" w:ascii="宋体" w:hAnsi="宋体" w:eastAsia="宋体" w:cs="宋体"/>
                <w:color w:val="auto"/>
                <w:highlight w:val="none"/>
              </w:rPr>
            </w:pPr>
          </w:p>
        </w:tc>
        <w:tc>
          <w:tcPr>
            <w:tcW w:w="2322" w:type="dxa"/>
            <w:vAlign w:val="bottom"/>
          </w:tcPr>
          <w:p>
            <w:pPr>
              <w:adjustRightInd w:val="0"/>
              <w:snapToGrid w:val="0"/>
              <w:spacing w:line="360" w:lineRule="auto"/>
              <w:jc w:val="center"/>
              <w:rPr>
                <w:rFonts w:hint="eastAsia" w:ascii="宋体" w:hAnsi="宋体" w:eastAsia="宋体" w:cs="宋体"/>
                <w:color w:val="auto"/>
                <w:highlight w:val="none"/>
              </w:rPr>
            </w:pPr>
          </w:p>
        </w:tc>
        <w:tc>
          <w:tcPr>
            <w:tcW w:w="2322" w:type="dxa"/>
            <w:vAlign w:val="bottom"/>
          </w:tcPr>
          <w:p>
            <w:pPr>
              <w:adjustRightInd w:val="0"/>
              <w:snapToGrid w:val="0"/>
              <w:spacing w:line="360" w:lineRule="auto"/>
              <w:jc w:val="center"/>
              <w:rPr>
                <w:rFonts w:hint="eastAsia" w:ascii="宋体" w:hAnsi="宋体" w:eastAsia="宋体" w:cs="宋体"/>
                <w:color w:val="auto"/>
                <w:highlight w:val="none"/>
              </w:rPr>
            </w:pPr>
          </w:p>
        </w:tc>
      </w:tr>
    </w:tbl>
    <w:p>
      <w:pPr>
        <w:adjustRightInd w:val="0"/>
        <w:snapToGrid w:val="0"/>
        <w:spacing w:line="360" w:lineRule="auto"/>
        <w:ind w:firstLine="315" w:firstLineChars="15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全称（加盖公章）:</w:t>
      </w:r>
    </w:p>
    <w:p>
      <w:pPr>
        <w:spacing w:line="360" w:lineRule="auto"/>
        <w:ind w:left="210" w:leftChars="100" w:firstLine="105" w:firstLineChars="50"/>
        <w:rPr>
          <w:rFonts w:hint="eastAsia" w:ascii="宋体" w:hAnsi="宋体" w:eastAsia="宋体" w:cs="宋体"/>
          <w:iCs/>
          <w:color w:val="auto"/>
          <w:szCs w:val="21"/>
          <w:highlight w:val="none"/>
        </w:rPr>
      </w:pPr>
      <w:r>
        <w:rPr>
          <w:rFonts w:hint="eastAsia" w:ascii="宋体" w:hAnsi="宋体" w:eastAsia="宋体" w:cs="宋体"/>
          <w:color w:val="auto"/>
          <w:szCs w:val="21"/>
          <w:highlight w:val="none"/>
        </w:rPr>
        <w:t>法定代表人或其</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授权代表(签字)：                   日    期：     年   月   日</w:t>
      </w:r>
    </w:p>
    <w:p>
      <w:pPr>
        <w:adjustRightInd w:val="0"/>
        <w:snapToGrid w:val="0"/>
        <w:spacing w:line="360" w:lineRule="auto"/>
        <w:ind w:firstLine="6930" w:firstLineChars="3300"/>
        <w:rPr>
          <w:rFonts w:hint="eastAsia" w:ascii="宋体" w:hAnsi="宋体" w:eastAsia="宋体" w:cs="宋体"/>
          <w:color w:val="auto"/>
          <w:szCs w:val="21"/>
          <w:highlight w:val="none"/>
        </w:rPr>
      </w:pPr>
    </w:p>
    <w:p>
      <w:pPr>
        <w:rPr>
          <w:rFonts w:hint="eastAsia" w:ascii="宋体" w:hAnsi="宋体" w:eastAsia="宋体" w:cs="宋体"/>
          <w:color w:val="auto"/>
          <w:highlight w:val="none"/>
        </w:rPr>
      </w:pPr>
      <w:r>
        <w:rPr>
          <w:rFonts w:hint="eastAsia" w:ascii="宋体" w:hAnsi="宋体" w:eastAsia="宋体" w:cs="宋体"/>
          <w:b/>
          <w:color w:val="auto"/>
          <w:sz w:val="32"/>
          <w:szCs w:val="32"/>
          <w:highlight w:val="none"/>
        </w:rPr>
        <w:br w:type="page"/>
      </w:r>
      <w:bookmarkEnd w:id="181"/>
      <w:bookmarkEnd w:id="182"/>
      <w:bookmarkEnd w:id="183"/>
      <w:bookmarkEnd w:id="184"/>
    </w:p>
    <w:bookmarkEnd w:id="149"/>
    <w:bookmarkEnd w:id="150"/>
    <w:bookmarkEnd w:id="151"/>
    <w:p>
      <w:pPr>
        <w:pStyle w:val="3"/>
        <w:spacing w:before="0" w:after="120"/>
        <w:rPr>
          <w:rFonts w:hint="eastAsia" w:ascii="宋体" w:hAnsi="宋体" w:eastAsia="宋体" w:cs="宋体"/>
          <w:color w:val="auto"/>
          <w:highlight w:val="none"/>
        </w:rPr>
      </w:pPr>
      <w:bookmarkStart w:id="185" w:name="_Toc238275009"/>
      <w:bookmarkStart w:id="186" w:name="_Toc234746281"/>
      <w:bookmarkStart w:id="187" w:name="_Toc231010438"/>
      <w:bookmarkStart w:id="188" w:name="_Toc453695570"/>
      <w:bookmarkStart w:id="189" w:name="_Toc461991261"/>
      <w:bookmarkStart w:id="190" w:name="_Toc338083274"/>
      <w:bookmarkStart w:id="191" w:name="_Toc453695697"/>
      <w:r>
        <w:rPr>
          <w:rFonts w:hint="eastAsia" w:ascii="宋体" w:hAnsi="宋体" w:eastAsia="宋体" w:cs="宋体"/>
          <w:color w:val="auto"/>
          <w:highlight w:val="none"/>
        </w:rPr>
        <w:t>格式</w:t>
      </w:r>
      <w:bookmarkEnd w:id="185"/>
      <w:bookmarkEnd w:id="186"/>
      <w:bookmarkEnd w:id="187"/>
      <w:bookmarkStart w:id="192" w:name="_Toc238282352"/>
      <w:bookmarkStart w:id="193" w:name="_Toc225565975"/>
      <w:bookmarkStart w:id="194" w:name="_Toc224435749"/>
      <w:bookmarkStart w:id="195" w:name="_Toc228899523"/>
      <w:bookmarkStart w:id="196" w:name="_Toc228644999"/>
      <w:bookmarkStart w:id="197" w:name="_Toc223939129"/>
      <w:r>
        <w:rPr>
          <w:rFonts w:hint="eastAsia" w:cs="宋体"/>
          <w:color w:val="auto"/>
          <w:highlight w:val="none"/>
          <w:lang w:val="en-US" w:eastAsia="zh-CN"/>
        </w:rPr>
        <w:t>7</w:t>
      </w:r>
      <w:r>
        <w:rPr>
          <w:rFonts w:hint="eastAsia" w:ascii="宋体" w:hAnsi="宋体" w:eastAsia="宋体" w:cs="宋体"/>
          <w:color w:val="auto"/>
          <w:highlight w:val="none"/>
        </w:rPr>
        <w:t xml:space="preserve">                商务评审索引表</w:t>
      </w:r>
      <w:bookmarkEnd w:id="188"/>
      <w:bookmarkEnd w:id="189"/>
      <w:bookmarkEnd w:id="190"/>
      <w:bookmarkEnd w:id="191"/>
      <w:bookmarkEnd w:id="192"/>
      <w:bookmarkEnd w:id="193"/>
      <w:bookmarkEnd w:id="194"/>
      <w:bookmarkEnd w:id="195"/>
      <w:bookmarkEnd w:id="196"/>
      <w:bookmarkEnd w:id="197"/>
      <w:r>
        <w:rPr>
          <w:rFonts w:hint="eastAsia" w:ascii="宋体" w:hAnsi="宋体" w:eastAsia="宋体" w:cs="宋体"/>
          <w:color w:val="auto"/>
          <w:highlight w:val="none"/>
        </w:rPr>
        <w:t xml:space="preserve"> </w:t>
      </w:r>
    </w:p>
    <w:tbl>
      <w:tblPr>
        <w:tblStyle w:val="39"/>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4016"/>
        <w:gridCol w:w="2710"/>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48" w:type="dxa"/>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01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（注：此部分可直接引用</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章评审细则相应内容）</w:t>
            </w:r>
          </w:p>
        </w:tc>
        <w:tc>
          <w:tcPr>
            <w:tcW w:w="271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响应情况</w:t>
            </w:r>
          </w:p>
        </w:tc>
        <w:tc>
          <w:tcPr>
            <w:tcW w:w="220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rPr>
              <w:t>响应内容对应页码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4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016" w:type="dxa"/>
            <w:vAlign w:val="center"/>
          </w:tcPr>
          <w:p>
            <w:pPr>
              <w:rPr>
                <w:rFonts w:hint="eastAsia" w:ascii="宋体" w:hAnsi="宋体" w:eastAsia="宋体" w:cs="宋体"/>
                <w:color w:val="auto"/>
                <w:szCs w:val="21"/>
                <w:highlight w:val="none"/>
              </w:rPr>
            </w:pPr>
          </w:p>
        </w:tc>
        <w:tc>
          <w:tcPr>
            <w:tcW w:w="2710" w:type="dxa"/>
            <w:vAlign w:val="center"/>
          </w:tcPr>
          <w:p>
            <w:pPr>
              <w:rPr>
                <w:rFonts w:hint="eastAsia" w:ascii="宋体" w:hAnsi="宋体" w:eastAsia="宋体" w:cs="宋体"/>
                <w:color w:val="auto"/>
                <w:szCs w:val="21"/>
                <w:highlight w:val="none"/>
              </w:rPr>
            </w:pPr>
          </w:p>
        </w:tc>
        <w:tc>
          <w:tcPr>
            <w:tcW w:w="2206"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4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016" w:type="dxa"/>
            <w:vAlign w:val="center"/>
          </w:tcPr>
          <w:p>
            <w:pPr>
              <w:rPr>
                <w:rFonts w:hint="eastAsia" w:ascii="宋体" w:hAnsi="宋体" w:eastAsia="宋体" w:cs="宋体"/>
                <w:color w:val="auto"/>
                <w:szCs w:val="21"/>
                <w:highlight w:val="none"/>
              </w:rPr>
            </w:pPr>
          </w:p>
        </w:tc>
        <w:tc>
          <w:tcPr>
            <w:tcW w:w="2710" w:type="dxa"/>
            <w:vAlign w:val="center"/>
          </w:tcPr>
          <w:p>
            <w:pPr>
              <w:rPr>
                <w:rFonts w:hint="eastAsia" w:ascii="宋体" w:hAnsi="宋体" w:eastAsia="宋体" w:cs="宋体"/>
                <w:color w:val="auto"/>
                <w:szCs w:val="21"/>
                <w:highlight w:val="none"/>
              </w:rPr>
            </w:pPr>
          </w:p>
        </w:tc>
        <w:tc>
          <w:tcPr>
            <w:tcW w:w="2206"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4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016" w:type="dxa"/>
            <w:vAlign w:val="center"/>
          </w:tcPr>
          <w:p>
            <w:pPr>
              <w:rPr>
                <w:rFonts w:hint="eastAsia" w:ascii="宋体" w:hAnsi="宋体" w:eastAsia="宋体" w:cs="宋体"/>
                <w:color w:val="auto"/>
                <w:szCs w:val="21"/>
                <w:highlight w:val="none"/>
              </w:rPr>
            </w:pPr>
          </w:p>
        </w:tc>
        <w:tc>
          <w:tcPr>
            <w:tcW w:w="2710" w:type="dxa"/>
            <w:vAlign w:val="center"/>
          </w:tcPr>
          <w:p>
            <w:pPr>
              <w:rPr>
                <w:rFonts w:hint="eastAsia" w:ascii="宋体" w:hAnsi="宋体" w:eastAsia="宋体" w:cs="宋体"/>
                <w:color w:val="auto"/>
                <w:szCs w:val="21"/>
                <w:highlight w:val="none"/>
              </w:rPr>
            </w:pPr>
          </w:p>
        </w:tc>
        <w:tc>
          <w:tcPr>
            <w:tcW w:w="2206" w:type="dxa"/>
            <w:vAlign w:val="center"/>
          </w:tcPr>
          <w:p>
            <w:pPr>
              <w:jc w:val="center"/>
              <w:rPr>
                <w:rFonts w:hint="eastAsia" w:ascii="宋体" w:hAnsi="宋体" w:eastAsia="宋体" w:cs="宋体"/>
                <w:color w:val="auto"/>
                <w:szCs w:val="21"/>
                <w:highlight w:val="none"/>
              </w:rPr>
            </w:pPr>
          </w:p>
        </w:tc>
      </w:tr>
    </w:tbl>
    <w:p>
      <w:pPr>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bookmarkStart w:id="198" w:name="_Toc234746286"/>
      <w:bookmarkStart w:id="199" w:name="_Toc231010444"/>
      <w:bookmarkStart w:id="200" w:name="_Toc238275010"/>
    </w:p>
    <w:p>
      <w:pPr>
        <w:spacing w:line="360" w:lineRule="auto"/>
        <w:rPr>
          <w:rFonts w:hint="eastAsia" w:ascii="宋体" w:hAnsi="宋体" w:eastAsia="宋体" w:cs="宋体"/>
          <w:color w:val="auto"/>
          <w:highlight w:val="none"/>
        </w:rPr>
      </w:pPr>
    </w:p>
    <w:p>
      <w:pPr>
        <w:spacing w:line="240" w:lineRule="auto"/>
        <w:ind w:firstLine="3313" w:firstLineChars="1100"/>
        <w:jc w:val="both"/>
        <w:rPr>
          <w:rFonts w:hint="eastAsia" w:ascii="宋体" w:hAnsi="宋体" w:eastAsia="宋体" w:cs="宋体"/>
          <w:b/>
          <w:bCs/>
          <w:color w:val="auto"/>
          <w:sz w:val="30"/>
          <w:szCs w:val="30"/>
          <w:highlight w:val="none"/>
        </w:rPr>
      </w:pPr>
      <w:bookmarkStart w:id="201" w:name="_Toc29073"/>
      <w:bookmarkStart w:id="202" w:name="_Toc209"/>
      <w:r>
        <w:rPr>
          <w:rFonts w:hint="eastAsia" w:ascii="宋体" w:hAnsi="宋体" w:eastAsia="宋体" w:cs="宋体"/>
          <w:b/>
          <w:bCs/>
          <w:color w:val="auto"/>
          <w:sz w:val="30"/>
          <w:szCs w:val="30"/>
          <w:highlight w:val="none"/>
          <w:lang w:val="en-US" w:eastAsia="zh-CN"/>
        </w:rPr>
        <w:t>服务</w:t>
      </w:r>
      <w:r>
        <w:rPr>
          <w:rFonts w:hint="eastAsia" w:ascii="宋体" w:hAnsi="宋体" w:eastAsia="宋体" w:cs="宋体"/>
          <w:b/>
          <w:bCs/>
          <w:color w:val="auto"/>
          <w:sz w:val="30"/>
          <w:szCs w:val="30"/>
          <w:highlight w:val="none"/>
        </w:rPr>
        <w:t>评审索引表</w:t>
      </w:r>
      <w:bookmarkEnd w:id="201"/>
      <w:bookmarkEnd w:id="202"/>
    </w:p>
    <w:tbl>
      <w:tblPr>
        <w:tblStyle w:val="39"/>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4016"/>
        <w:gridCol w:w="2710"/>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48" w:type="dxa"/>
            <w:vAlign w:val="top"/>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01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评审内容</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（注：此部分可直接引用</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文件第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章评审细则相应内容）</w:t>
            </w:r>
          </w:p>
        </w:tc>
        <w:tc>
          <w:tcPr>
            <w:tcW w:w="2710"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响应情况</w:t>
            </w:r>
          </w:p>
        </w:tc>
        <w:tc>
          <w:tcPr>
            <w:tcW w:w="2206"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响应文件</w:t>
            </w:r>
            <w:r>
              <w:rPr>
                <w:rFonts w:hint="eastAsia" w:ascii="宋体" w:hAnsi="宋体" w:eastAsia="宋体" w:cs="宋体"/>
                <w:color w:val="auto"/>
                <w:szCs w:val="21"/>
                <w:highlight w:val="none"/>
              </w:rPr>
              <w:t>响应内容对应页码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4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016" w:type="dxa"/>
            <w:vAlign w:val="center"/>
          </w:tcPr>
          <w:p>
            <w:pPr>
              <w:rPr>
                <w:rFonts w:hint="eastAsia" w:ascii="宋体" w:hAnsi="宋体" w:eastAsia="宋体" w:cs="宋体"/>
                <w:color w:val="auto"/>
                <w:szCs w:val="21"/>
                <w:highlight w:val="none"/>
              </w:rPr>
            </w:pPr>
          </w:p>
        </w:tc>
        <w:tc>
          <w:tcPr>
            <w:tcW w:w="2710" w:type="dxa"/>
            <w:vAlign w:val="center"/>
          </w:tcPr>
          <w:p>
            <w:pPr>
              <w:rPr>
                <w:rFonts w:hint="eastAsia" w:ascii="宋体" w:hAnsi="宋体" w:eastAsia="宋体" w:cs="宋体"/>
                <w:color w:val="auto"/>
                <w:szCs w:val="21"/>
                <w:highlight w:val="none"/>
              </w:rPr>
            </w:pPr>
          </w:p>
        </w:tc>
        <w:tc>
          <w:tcPr>
            <w:tcW w:w="2206"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4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016" w:type="dxa"/>
            <w:vAlign w:val="center"/>
          </w:tcPr>
          <w:p>
            <w:pPr>
              <w:rPr>
                <w:rFonts w:hint="eastAsia" w:ascii="宋体" w:hAnsi="宋体" w:eastAsia="宋体" w:cs="宋体"/>
                <w:color w:val="auto"/>
                <w:szCs w:val="21"/>
                <w:highlight w:val="none"/>
              </w:rPr>
            </w:pPr>
          </w:p>
        </w:tc>
        <w:tc>
          <w:tcPr>
            <w:tcW w:w="2710" w:type="dxa"/>
            <w:vAlign w:val="center"/>
          </w:tcPr>
          <w:p>
            <w:pPr>
              <w:rPr>
                <w:rFonts w:hint="eastAsia" w:ascii="宋体" w:hAnsi="宋体" w:eastAsia="宋体" w:cs="宋体"/>
                <w:color w:val="auto"/>
                <w:szCs w:val="21"/>
                <w:highlight w:val="none"/>
              </w:rPr>
            </w:pPr>
          </w:p>
        </w:tc>
        <w:tc>
          <w:tcPr>
            <w:tcW w:w="2206" w:type="dxa"/>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148" w:type="dxa"/>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016" w:type="dxa"/>
            <w:vAlign w:val="center"/>
          </w:tcPr>
          <w:p>
            <w:pPr>
              <w:rPr>
                <w:rFonts w:hint="eastAsia" w:ascii="宋体" w:hAnsi="宋体" w:eastAsia="宋体" w:cs="宋体"/>
                <w:color w:val="auto"/>
                <w:szCs w:val="21"/>
                <w:highlight w:val="none"/>
              </w:rPr>
            </w:pPr>
          </w:p>
        </w:tc>
        <w:tc>
          <w:tcPr>
            <w:tcW w:w="2710" w:type="dxa"/>
            <w:vAlign w:val="center"/>
          </w:tcPr>
          <w:p>
            <w:pPr>
              <w:rPr>
                <w:rFonts w:hint="eastAsia" w:ascii="宋体" w:hAnsi="宋体" w:eastAsia="宋体" w:cs="宋体"/>
                <w:color w:val="auto"/>
                <w:szCs w:val="21"/>
                <w:highlight w:val="none"/>
              </w:rPr>
            </w:pPr>
          </w:p>
        </w:tc>
        <w:tc>
          <w:tcPr>
            <w:tcW w:w="2206" w:type="dxa"/>
            <w:vAlign w:val="center"/>
          </w:tcPr>
          <w:p>
            <w:pPr>
              <w:jc w:val="center"/>
              <w:rPr>
                <w:rFonts w:hint="eastAsia" w:ascii="宋体" w:hAnsi="宋体" w:eastAsia="宋体" w:cs="宋体"/>
                <w:color w:val="auto"/>
                <w:szCs w:val="21"/>
                <w:highlight w:val="none"/>
              </w:rPr>
            </w:pPr>
          </w:p>
        </w:tc>
      </w:tr>
    </w:tbl>
    <w:p>
      <w:pPr>
        <w:ind w:firstLine="422" w:firstLineChars="200"/>
        <w:rPr>
          <w:rFonts w:hint="eastAsia" w:ascii="宋体" w:hAnsi="宋体" w:eastAsia="宋体" w:cs="宋体"/>
          <w:b/>
          <w:bCs/>
          <w:color w:val="auto"/>
          <w:szCs w:val="21"/>
          <w:highlight w:val="none"/>
        </w:rPr>
      </w:pPr>
    </w:p>
    <w:p>
      <w:pPr>
        <w:ind w:firstLine="422" w:firstLineChars="200"/>
        <w:rPr>
          <w:rFonts w:hint="eastAsia" w:ascii="宋体" w:hAnsi="宋体" w:eastAsia="宋体" w:cs="宋体"/>
          <w:b/>
          <w:bCs/>
          <w:color w:val="auto"/>
          <w:szCs w:val="21"/>
          <w:highlight w:val="none"/>
        </w:rPr>
      </w:pPr>
    </w:p>
    <w:p>
      <w:pPr>
        <w:spacing w:line="360" w:lineRule="auto"/>
        <w:rPr>
          <w:rFonts w:hint="eastAsia" w:ascii="宋体" w:hAnsi="宋体" w:eastAsia="宋体" w:cs="宋体"/>
          <w:color w:val="auto"/>
          <w:highlight w:val="none"/>
        </w:rPr>
      </w:pPr>
    </w:p>
    <w:p>
      <w:pPr>
        <w:pStyle w:val="3"/>
        <w:spacing w:before="0" w:after="120"/>
        <w:rPr>
          <w:rFonts w:hint="eastAsia" w:ascii="宋体" w:hAnsi="宋体" w:eastAsia="宋体" w:cs="宋体"/>
          <w:color w:val="auto"/>
          <w:highlight w:val="none"/>
        </w:rPr>
      </w:pPr>
      <w:bookmarkStart w:id="203" w:name="_Toc453695698"/>
      <w:bookmarkStart w:id="204" w:name="_Toc453695571"/>
      <w:bookmarkStart w:id="205" w:name="_Toc461991262"/>
      <w:bookmarkStart w:id="206" w:name="_Toc338083275"/>
      <w:r>
        <w:rPr>
          <w:rFonts w:hint="eastAsia" w:ascii="宋体" w:hAnsi="宋体" w:eastAsia="宋体" w:cs="宋体"/>
          <w:color w:val="auto"/>
          <w:highlight w:val="none"/>
        </w:rPr>
        <w:t>格式</w:t>
      </w:r>
      <w:r>
        <w:rPr>
          <w:rFonts w:hint="eastAsia" w:cs="宋体"/>
          <w:color w:val="auto"/>
          <w:highlight w:val="none"/>
          <w:lang w:val="en-US" w:eastAsia="zh-CN"/>
        </w:rPr>
        <w:t>8</w:t>
      </w:r>
      <w:r>
        <w:rPr>
          <w:rFonts w:hint="eastAsia" w:ascii="宋体" w:hAnsi="宋体" w:eastAsia="宋体" w:cs="宋体"/>
          <w:color w:val="auto"/>
          <w:highlight w:val="none"/>
        </w:rPr>
        <w:t xml:space="preserve">                  同类项目业绩表</w:t>
      </w:r>
      <w:bookmarkEnd w:id="203"/>
      <w:bookmarkEnd w:id="204"/>
      <w:bookmarkEnd w:id="205"/>
      <w:bookmarkEnd w:id="206"/>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项目编号：                       </w:t>
      </w:r>
    </w:p>
    <w:tbl>
      <w:tblPr>
        <w:tblStyle w:val="39"/>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344"/>
        <w:gridCol w:w="1344"/>
        <w:gridCol w:w="1727"/>
        <w:gridCol w:w="1344"/>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37"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344"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业主名称</w:t>
            </w:r>
          </w:p>
        </w:tc>
        <w:tc>
          <w:tcPr>
            <w:tcW w:w="1344"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727"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合同总价</w:t>
            </w:r>
          </w:p>
        </w:tc>
        <w:tc>
          <w:tcPr>
            <w:tcW w:w="1344"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完成时间</w:t>
            </w:r>
          </w:p>
        </w:tc>
        <w:tc>
          <w:tcPr>
            <w:tcW w:w="2119" w:type="dxa"/>
            <w:vAlign w:val="center"/>
          </w:tcPr>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业主单位</w:t>
            </w:r>
          </w:p>
          <w:p>
            <w:pPr>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237"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344" w:type="dxa"/>
            <w:vAlign w:val="center"/>
          </w:tcPr>
          <w:p>
            <w:pPr>
              <w:spacing w:line="360" w:lineRule="auto"/>
              <w:jc w:val="center"/>
              <w:rPr>
                <w:rFonts w:hint="eastAsia" w:ascii="宋体" w:hAnsi="宋体" w:eastAsia="宋体" w:cs="宋体"/>
                <w:color w:val="auto"/>
                <w:szCs w:val="21"/>
                <w:highlight w:val="none"/>
              </w:rPr>
            </w:pPr>
          </w:p>
        </w:tc>
        <w:tc>
          <w:tcPr>
            <w:tcW w:w="1344" w:type="dxa"/>
            <w:vAlign w:val="center"/>
          </w:tcPr>
          <w:p>
            <w:pPr>
              <w:spacing w:line="360" w:lineRule="auto"/>
              <w:jc w:val="center"/>
              <w:rPr>
                <w:rFonts w:hint="eastAsia" w:ascii="宋体" w:hAnsi="宋体" w:eastAsia="宋体" w:cs="宋体"/>
                <w:color w:val="auto"/>
                <w:szCs w:val="21"/>
                <w:highlight w:val="none"/>
              </w:rPr>
            </w:pPr>
          </w:p>
        </w:tc>
        <w:tc>
          <w:tcPr>
            <w:tcW w:w="1727" w:type="dxa"/>
            <w:vAlign w:val="center"/>
          </w:tcPr>
          <w:p>
            <w:pPr>
              <w:spacing w:line="360" w:lineRule="auto"/>
              <w:jc w:val="center"/>
              <w:rPr>
                <w:rFonts w:hint="eastAsia" w:ascii="宋体" w:hAnsi="宋体" w:eastAsia="宋体" w:cs="宋体"/>
                <w:color w:val="auto"/>
                <w:szCs w:val="21"/>
                <w:highlight w:val="none"/>
              </w:rPr>
            </w:pPr>
          </w:p>
        </w:tc>
        <w:tc>
          <w:tcPr>
            <w:tcW w:w="1344" w:type="dxa"/>
            <w:vAlign w:val="center"/>
          </w:tcPr>
          <w:p>
            <w:pPr>
              <w:spacing w:line="360" w:lineRule="auto"/>
              <w:jc w:val="center"/>
              <w:rPr>
                <w:rFonts w:hint="eastAsia" w:ascii="宋体" w:hAnsi="宋体" w:eastAsia="宋体" w:cs="宋体"/>
                <w:color w:val="auto"/>
                <w:szCs w:val="21"/>
                <w:highlight w:val="none"/>
              </w:rPr>
            </w:pPr>
          </w:p>
        </w:tc>
        <w:tc>
          <w:tcPr>
            <w:tcW w:w="2119"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237"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44" w:type="dxa"/>
            <w:vAlign w:val="center"/>
          </w:tcPr>
          <w:p>
            <w:pPr>
              <w:spacing w:line="360" w:lineRule="auto"/>
              <w:jc w:val="center"/>
              <w:rPr>
                <w:rFonts w:hint="eastAsia" w:ascii="宋体" w:hAnsi="宋体" w:eastAsia="宋体" w:cs="宋体"/>
                <w:color w:val="auto"/>
                <w:szCs w:val="21"/>
                <w:highlight w:val="none"/>
              </w:rPr>
            </w:pPr>
          </w:p>
        </w:tc>
        <w:tc>
          <w:tcPr>
            <w:tcW w:w="1344" w:type="dxa"/>
            <w:vAlign w:val="center"/>
          </w:tcPr>
          <w:p>
            <w:pPr>
              <w:spacing w:line="360" w:lineRule="auto"/>
              <w:jc w:val="center"/>
              <w:rPr>
                <w:rFonts w:hint="eastAsia" w:ascii="宋体" w:hAnsi="宋体" w:eastAsia="宋体" w:cs="宋体"/>
                <w:color w:val="auto"/>
                <w:szCs w:val="21"/>
                <w:highlight w:val="none"/>
              </w:rPr>
            </w:pPr>
          </w:p>
        </w:tc>
        <w:tc>
          <w:tcPr>
            <w:tcW w:w="1727" w:type="dxa"/>
            <w:vAlign w:val="center"/>
          </w:tcPr>
          <w:p>
            <w:pPr>
              <w:spacing w:line="360" w:lineRule="auto"/>
              <w:jc w:val="center"/>
              <w:rPr>
                <w:rFonts w:hint="eastAsia" w:ascii="宋体" w:hAnsi="宋体" w:eastAsia="宋体" w:cs="宋体"/>
                <w:color w:val="auto"/>
                <w:szCs w:val="21"/>
                <w:highlight w:val="none"/>
              </w:rPr>
            </w:pPr>
          </w:p>
        </w:tc>
        <w:tc>
          <w:tcPr>
            <w:tcW w:w="1344" w:type="dxa"/>
            <w:vAlign w:val="center"/>
          </w:tcPr>
          <w:p>
            <w:pPr>
              <w:spacing w:line="360" w:lineRule="auto"/>
              <w:jc w:val="center"/>
              <w:rPr>
                <w:rFonts w:hint="eastAsia" w:ascii="宋体" w:hAnsi="宋体" w:eastAsia="宋体" w:cs="宋体"/>
                <w:color w:val="auto"/>
                <w:szCs w:val="21"/>
                <w:highlight w:val="none"/>
              </w:rPr>
            </w:pPr>
          </w:p>
        </w:tc>
        <w:tc>
          <w:tcPr>
            <w:tcW w:w="2119"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237"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44" w:type="dxa"/>
            <w:vAlign w:val="center"/>
          </w:tcPr>
          <w:p>
            <w:pPr>
              <w:spacing w:line="360" w:lineRule="auto"/>
              <w:jc w:val="center"/>
              <w:rPr>
                <w:rFonts w:hint="eastAsia" w:ascii="宋体" w:hAnsi="宋体" w:eastAsia="宋体" w:cs="宋体"/>
                <w:color w:val="auto"/>
                <w:szCs w:val="21"/>
                <w:highlight w:val="none"/>
              </w:rPr>
            </w:pPr>
          </w:p>
        </w:tc>
        <w:tc>
          <w:tcPr>
            <w:tcW w:w="1344" w:type="dxa"/>
            <w:vAlign w:val="center"/>
          </w:tcPr>
          <w:p>
            <w:pPr>
              <w:spacing w:line="360" w:lineRule="auto"/>
              <w:jc w:val="center"/>
              <w:rPr>
                <w:rFonts w:hint="eastAsia" w:ascii="宋体" w:hAnsi="宋体" w:eastAsia="宋体" w:cs="宋体"/>
                <w:color w:val="auto"/>
                <w:szCs w:val="21"/>
                <w:highlight w:val="none"/>
              </w:rPr>
            </w:pPr>
          </w:p>
        </w:tc>
        <w:tc>
          <w:tcPr>
            <w:tcW w:w="1727" w:type="dxa"/>
            <w:vAlign w:val="center"/>
          </w:tcPr>
          <w:p>
            <w:pPr>
              <w:spacing w:line="360" w:lineRule="auto"/>
              <w:jc w:val="center"/>
              <w:rPr>
                <w:rFonts w:hint="eastAsia" w:ascii="宋体" w:hAnsi="宋体" w:eastAsia="宋体" w:cs="宋体"/>
                <w:color w:val="auto"/>
                <w:szCs w:val="21"/>
                <w:highlight w:val="none"/>
              </w:rPr>
            </w:pPr>
          </w:p>
        </w:tc>
        <w:tc>
          <w:tcPr>
            <w:tcW w:w="1344" w:type="dxa"/>
            <w:vAlign w:val="center"/>
          </w:tcPr>
          <w:p>
            <w:pPr>
              <w:spacing w:line="360" w:lineRule="auto"/>
              <w:jc w:val="center"/>
              <w:rPr>
                <w:rFonts w:hint="eastAsia" w:ascii="宋体" w:hAnsi="宋体" w:eastAsia="宋体" w:cs="宋体"/>
                <w:color w:val="auto"/>
                <w:szCs w:val="21"/>
                <w:highlight w:val="none"/>
              </w:rPr>
            </w:pPr>
          </w:p>
        </w:tc>
        <w:tc>
          <w:tcPr>
            <w:tcW w:w="2119"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237"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小计</w:t>
            </w:r>
          </w:p>
        </w:tc>
        <w:tc>
          <w:tcPr>
            <w:tcW w:w="1344" w:type="dxa"/>
            <w:vAlign w:val="center"/>
          </w:tcPr>
          <w:p>
            <w:pPr>
              <w:spacing w:line="360" w:lineRule="auto"/>
              <w:jc w:val="center"/>
              <w:rPr>
                <w:rFonts w:hint="eastAsia" w:ascii="宋体" w:hAnsi="宋体" w:eastAsia="宋体" w:cs="宋体"/>
                <w:color w:val="auto"/>
                <w:szCs w:val="21"/>
                <w:highlight w:val="none"/>
              </w:rPr>
            </w:pPr>
          </w:p>
        </w:tc>
        <w:tc>
          <w:tcPr>
            <w:tcW w:w="1344" w:type="dxa"/>
            <w:vAlign w:val="center"/>
          </w:tcPr>
          <w:p>
            <w:pPr>
              <w:spacing w:line="360" w:lineRule="auto"/>
              <w:jc w:val="center"/>
              <w:rPr>
                <w:rFonts w:hint="eastAsia" w:ascii="宋体" w:hAnsi="宋体" w:eastAsia="宋体" w:cs="宋体"/>
                <w:color w:val="auto"/>
                <w:szCs w:val="21"/>
                <w:highlight w:val="none"/>
              </w:rPr>
            </w:pPr>
          </w:p>
        </w:tc>
        <w:tc>
          <w:tcPr>
            <w:tcW w:w="1727" w:type="dxa"/>
            <w:vAlign w:val="center"/>
          </w:tcPr>
          <w:p>
            <w:pPr>
              <w:spacing w:line="360" w:lineRule="auto"/>
              <w:jc w:val="center"/>
              <w:rPr>
                <w:rFonts w:hint="eastAsia" w:ascii="宋体" w:hAnsi="宋体" w:eastAsia="宋体" w:cs="宋体"/>
                <w:color w:val="auto"/>
                <w:szCs w:val="21"/>
                <w:highlight w:val="none"/>
              </w:rPr>
            </w:pPr>
          </w:p>
        </w:tc>
        <w:tc>
          <w:tcPr>
            <w:tcW w:w="1344" w:type="dxa"/>
            <w:vAlign w:val="center"/>
          </w:tcPr>
          <w:p>
            <w:pPr>
              <w:spacing w:line="360" w:lineRule="auto"/>
              <w:jc w:val="center"/>
              <w:rPr>
                <w:rFonts w:hint="eastAsia" w:ascii="宋体" w:hAnsi="宋体" w:eastAsia="宋体" w:cs="宋体"/>
                <w:color w:val="auto"/>
                <w:szCs w:val="21"/>
                <w:highlight w:val="none"/>
              </w:rPr>
            </w:pPr>
          </w:p>
        </w:tc>
        <w:tc>
          <w:tcPr>
            <w:tcW w:w="2119" w:type="dxa"/>
            <w:vAlign w:val="center"/>
          </w:tcPr>
          <w:p>
            <w:pPr>
              <w:spacing w:line="360" w:lineRule="auto"/>
              <w:jc w:val="center"/>
              <w:rPr>
                <w:rFonts w:hint="eastAsia" w:ascii="宋体" w:hAnsi="宋体" w:eastAsia="宋体" w:cs="宋体"/>
                <w:color w:val="auto"/>
                <w:szCs w:val="21"/>
                <w:highlight w:val="none"/>
              </w:rPr>
            </w:pPr>
          </w:p>
        </w:tc>
      </w:tr>
    </w:tbl>
    <w:p>
      <w:pPr>
        <w:ind w:left="526" w:leftChars="150" w:hanging="211" w:hanging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应提供相关证明附件。</w:t>
      </w:r>
    </w:p>
    <w:p>
      <w:pPr>
        <w:pStyle w:val="2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全称（加盖公章）：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法定代表或其授权代表（签字）：                       日    期：     年   月   日</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3"/>
        <w:spacing w:before="20" w:after="20" w:line="440" w:lineRule="exact"/>
        <w:rPr>
          <w:rFonts w:hint="default" w:ascii="宋体" w:hAnsi="宋体" w:eastAsia="宋体" w:cs="宋体"/>
          <w:color w:val="auto"/>
          <w:sz w:val="32"/>
          <w:szCs w:val="32"/>
          <w:highlight w:val="none"/>
          <w:lang w:val="en-US" w:eastAsia="zh-CN"/>
        </w:rPr>
      </w:pPr>
      <w:r>
        <w:rPr>
          <w:rFonts w:hint="eastAsia" w:ascii="宋体" w:hAnsi="宋体" w:eastAsia="宋体" w:cs="宋体"/>
          <w:color w:val="auto"/>
          <w:highlight w:val="none"/>
        </w:rPr>
        <w:t>格式</w:t>
      </w:r>
      <w:r>
        <w:rPr>
          <w:rFonts w:hint="eastAsia" w:cs="宋体"/>
          <w:color w:val="auto"/>
          <w:highlight w:val="none"/>
          <w:lang w:val="en-US" w:eastAsia="zh-CN"/>
        </w:rPr>
        <w:t>9</w:t>
      </w:r>
      <w:r>
        <w:rPr>
          <w:rFonts w:hint="eastAsia" w:ascii="宋体" w:hAnsi="宋体" w:eastAsia="宋体" w:cs="宋体"/>
          <w:color w:val="auto"/>
          <w:highlight w:val="none"/>
        </w:rPr>
        <w:t xml:space="preserve">           </w:t>
      </w:r>
      <w:r>
        <w:rPr>
          <w:rFonts w:hint="eastAsia" w:cs="宋体"/>
          <w:color w:val="auto"/>
          <w:highlight w:val="none"/>
          <w:lang w:val="en-US" w:eastAsia="zh-CN"/>
        </w:rPr>
        <w:t xml:space="preserve">     </w:t>
      </w:r>
      <w:r>
        <w:rPr>
          <w:rFonts w:hint="eastAsia" w:cs="宋体"/>
          <w:color w:val="auto"/>
          <w:highlight w:val="none"/>
        </w:rPr>
        <w:t>拟投入车辆驾驶员情况一览表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项目编号：                       </w:t>
      </w:r>
    </w:p>
    <w:tbl>
      <w:tblPr>
        <w:tblStyle w:val="39"/>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2132"/>
        <w:gridCol w:w="1970"/>
        <w:gridCol w:w="1737"/>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37"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132" w:type="dxa"/>
            <w:vAlign w:val="center"/>
          </w:tcPr>
          <w:p>
            <w:pPr>
              <w:spacing w:line="360" w:lineRule="auto"/>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姓名</w:t>
            </w:r>
          </w:p>
        </w:tc>
        <w:tc>
          <w:tcPr>
            <w:tcW w:w="1970" w:type="dxa"/>
            <w:vAlign w:val="center"/>
          </w:tcPr>
          <w:p>
            <w:pPr>
              <w:spacing w:line="360" w:lineRule="auto"/>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驾驶经验（年）</w:t>
            </w:r>
          </w:p>
        </w:tc>
        <w:tc>
          <w:tcPr>
            <w:tcW w:w="1737" w:type="dxa"/>
            <w:vAlign w:val="center"/>
          </w:tcPr>
          <w:p>
            <w:pPr>
              <w:spacing w:line="360" w:lineRule="auto"/>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准驾车型</w:t>
            </w:r>
          </w:p>
        </w:tc>
        <w:tc>
          <w:tcPr>
            <w:tcW w:w="2204" w:type="dxa"/>
            <w:vAlign w:val="center"/>
          </w:tcPr>
          <w:p>
            <w:pPr>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37"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32" w:type="dxa"/>
            <w:vAlign w:val="center"/>
          </w:tcPr>
          <w:p>
            <w:pPr>
              <w:spacing w:line="360" w:lineRule="auto"/>
              <w:jc w:val="center"/>
              <w:rPr>
                <w:rFonts w:hint="eastAsia" w:ascii="宋体" w:hAnsi="宋体" w:eastAsia="宋体" w:cs="宋体"/>
                <w:color w:val="auto"/>
                <w:szCs w:val="21"/>
                <w:highlight w:val="none"/>
              </w:rPr>
            </w:pPr>
          </w:p>
        </w:tc>
        <w:tc>
          <w:tcPr>
            <w:tcW w:w="1970" w:type="dxa"/>
            <w:vAlign w:val="center"/>
          </w:tcPr>
          <w:p>
            <w:pPr>
              <w:spacing w:line="360" w:lineRule="auto"/>
              <w:jc w:val="center"/>
              <w:rPr>
                <w:rFonts w:hint="eastAsia" w:ascii="宋体" w:hAnsi="宋体" w:eastAsia="宋体" w:cs="宋体"/>
                <w:color w:val="auto"/>
                <w:szCs w:val="21"/>
                <w:highlight w:val="none"/>
              </w:rPr>
            </w:pPr>
          </w:p>
        </w:tc>
        <w:tc>
          <w:tcPr>
            <w:tcW w:w="1737" w:type="dxa"/>
            <w:vAlign w:val="center"/>
          </w:tcPr>
          <w:p>
            <w:pPr>
              <w:spacing w:line="360" w:lineRule="auto"/>
              <w:jc w:val="center"/>
              <w:rPr>
                <w:rFonts w:hint="eastAsia" w:ascii="宋体" w:hAnsi="宋体" w:eastAsia="宋体" w:cs="宋体"/>
                <w:color w:val="auto"/>
                <w:szCs w:val="21"/>
                <w:highlight w:val="none"/>
              </w:rPr>
            </w:pPr>
          </w:p>
        </w:tc>
        <w:tc>
          <w:tcPr>
            <w:tcW w:w="2204"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637"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32" w:type="dxa"/>
            <w:vAlign w:val="center"/>
          </w:tcPr>
          <w:p>
            <w:pPr>
              <w:spacing w:line="360" w:lineRule="auto"/>
              <w:jc w:val="center"/>
              <w:rPr>
                <w:rFonts w:hint="eastAsia" w:ascii="宋体" w:hAnsi="宋体" w:eastAsia="宋体" w:cs="宋体"/>
                <w:color w:val="auto"/>
                <w:szCs w:val="21"/>
                <w:highlight w:val="none"/>
              </w:rPr>
            </w:pPr>
          </w:p>
        </w:tc>
        <w:tc>
          <w:tcPr>
            <w:tcW w:w="1970" w:type="dxa"/>
            <w:vAlign w:val="center"/>
          </w:tcPr>
          <w:p>
            <w:pPr>
              <w:spacing w:line="360" w:lineRule="auto"/>
              <w:jc w:val="center"/>
              <w:rPr>
                <w:rFonts w:hint="eastAsia" w:ascii="宋体" w:hAnsi="宋体" w:eastAsia="宋体" w:cs="宋体"/>
                <w:color w:val="auto"/>
                <w:szCs w:val="21"/>
                <w:highlight w:val="none"/>
              </w:rPr>
            </w:pPr>
          </w:p>
        </w:tc>
        <w:tc>
          <w:tcPr>
            <w:tcW w:w="1737" w:type="dxa"/>
            <w:vAlign w:val="center"/>
          </w:tcPr>
          <w:p>
            <w:pPr>
              <w:spacing w:line="360" w:lineRule="auto"/>
              <w:jc w:val="center"/>
              <w:rPr>
                <w:rFonts w:hint="eastAsia" w:ascii="宋体" w:hAnsi="宋体" w:eastAsia="宋体" w:cs="宋体"/>
                <w:color w:val="auto"/>
                <w:szCs w:val="21"/>
                <w:highlight w:val="none"/>
              </w:rPr>
            </w:pPr>
          </w:p>
        </w:tc>
        <w:tc>
          <w:tcPr>
            <w:tcW w:w="2204"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637"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132" w:type="dxa"/>
            <w:vAlign w:val="center"/>
          </w:tcPr>
          <w:p>
            <w:pPr>
              <w:spacing w:line="360" w:lineRule="auto"/>
              <w:jc w:val="center"/>
              <w:rPr>
                <w:rFonts w:hint="eastAsia" w:ascii="宋体" w:hAnsi="宋体" w:eastAsia="宋体" w:cs="宋体"/>
                <w:color w:val="auto"/>
                <w:szCs w:val="21"/>
                <w:highlight w:val="none"/>
              </w:rPr>
            </w:pPr>
          </w:p>
        </w:tc>
        <w:tc>
          <w:tcPr>
            <w:tcW w:w="1970" w:type="dxa"/>
            <w:vAlign w:val="center"/>
          </w:tcPr>
          <w:p>
            <w:pPr>
              <w:spacing w:line="360" w:lineRule="auto"/>
              <w:jc w:val="center"/>
              <w:rPr>
                <w:rFonts w:hint="eastAsia" w:ascii="宋体" w:hAnsi="宋体" w:eastAsia="宋体" w:cs="宋体"/>
                <w:color w:val="auto"/>
                <w:szCs w:val="21"/>
                <w:highlight w:val="none"/>
              </w:rPr>
            </w:pPr>
          </w:p>
        </w:tc>
        <w:tc>
          <w:tcPr>
            <w:tcW w:w="1737" w:type="dxa"/>
            <w:vAlign w:val="center"/>
          </w:tcPr>
          <w:p>
            <w:pPr>
              <w:spacing w:line="360" w:lineRule="auto"/>
              <w:jc w:val="center"/>
              <w:rPr>
                <w:rFonts w:hint="eastAsia" w:ascii="宋体" w:hAnsi="宋体" w:eastAsia="宋体" w:cs="宋体"/>
                <w:color w:val="auto"/>
                <w:szCs w:val="21"/>
                <w:highlight w:val="none"/>
              </w:rPr>
            </w:pPr>
          </w:p>
        </w:tc>
        <w:tc>
          <w:tcPr>
            <w:tcW w:w="2204"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637"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小计</w:t>
            </w:r>
          </w:p>
        </w:tc>
        <w:tc>
          <w:tcPr>
            <w:tcW w:w="2132" w:type="dxa"/>
            <w:vAlign w:val="center"/>
          </w:tcPr>
          <w:p>
            <w:pPr>
              <w:spacing w:line="360" w:lineRule="auto"/>
              <w:jc w:val="center"/>
              <w:rPr>
                <w:rFonts w:hint="eastAsia" w:ascii="宋体" w:hAnsi="宋体" w:eastAsia="宋体" w:cs="宋体"/>
                <w:color w:val="auto"/>
                <w:szCs w:val="21"/>
                <w:highlight w:val="none"/>
              </w:rPr>
            </w:pPr>
          </w:p>
        </w:tc>
        <w:tc>
          <w:tcPr>
            <w:tcW w:w="1970" w:type="dxa"/>
            <w:vAlign w:val="center"/>
          </w:tcPr>
          <w:p>
            <w:pPr>
              <w:spacing w:line="360" w:lineRule="auto"/>
              <w:jc w:val="center"/>
              <w:rPr>
                <w:rFonts w:hint="eastAsia" w:ascii="宋体" w:hAnsi="宋体" w:eastAsia="宋体" w:cs="宋体"/>
                <w:color w:val="auto"/>
                <w:szCs w:val="21"/>
                <w:highlight w:val="none"/>
              </w:rPr>
            </w:pPr>
          </w:p>
        </w:tc>
        <w:tc>
          <w:tcPr>
            <w:tcW w:w="1737" w:type="dxa"/>
            <w:vAlign w:val="center"/>
          </w:tcPr>
          <w:p>
            <w:pPr>
              <w:spacing w:line="360" w:lineRule="auto"/>
              <w:jc w:val="center"/>
              <w:rPr>
                <w:rFonts w:hint="eastAsia" w:ascii="宋体" w:hAnsi="宋体" w:eastAsia="宋体" w:cs="宋体"/>
                <w:color w:val="auto"/>
                <w:szCs w:val="21"/>
                <w:highlight w:val="none"/>
              </w:rPr>
            </w:pPr>
          </w:p>
        </w:tc>
        <w:tc>
          <w:tcPr>
            <w:tcW w:w="2204" w:type="dxa"/>
            <w:vAlign w:val="center"/>
          </w:tcPr>
          <w:p>
            <w:pPr>
              <w:spacing w:line="360" w:lineRule="auto"/>
              <w:jc w:val="center"/>
              <w:rPr>
                <w:rFonts w:hint="eastAsia" w:ascii="宋体" w:hAnsi="宋体" w:eastAsia="宋体" w:cs="宋体"/>
                <w:color w:val="auto"/>
                <w:szCs w:val="21"/>
                <w:highlight w:val="none"/>
              </w:rPr>
            </w:pPr>
          </w:p>
        </w:tc>
      </w:tr>
    </w:tbl>
    <w:p>
      <w:pPr>
        <w:ind w:left="526" w:leftChars="150" w:hanging="211" w:hanging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应</w:t>
      </w:r>
      <w:r>
        <w:rPr>
          <w:rFonts w:hint="eastAsia" w:ascii="宋体" w:hAnsi="宋体" w:cs="宋体"/>
          <w:b/>
          <w:color w:val="auto"/>
          <w:szCs w:val="21"/>
          <w:highlight w:val="none"/>
          <w:lang w:val="en-US" w:eastAsia="zh-CN"/>
        </w:rPr>
        <w:t>根据</w:t>
      </w:r>
      <w:r>
        <w:rPr>
          <w:rFonts w:hint="eastAsia" w:ascii="宋体" w:hAnsi="宋体" w:eastAsia="宋体" w:cs="宋体"/>
          <w:b/>
          <w:color w:val="auto"/>
          <w:szCs w:val="21"/>
          <w:highlight w:val="none"/>
        </w:rPr>
        <w:t>提供相关证明附件。</w:t>
      </w:r>
    </w:p>
    <w:p>
      <w:pPr>
        <w:pStyle w:val="2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全称（加盖公章）： </w:t>
      </w:r>
    </w:p>
    <w:p>
      <w:pPr>
        <w:spacing w:line="360" w:lineRule="auto"/>
        <w:rPr>
          <w:rFonts w:hint="eastAsia" w:ascii="宋体" w:hAnsi="宋体" w:eastAsia="宋体" w:cs="宋体"/>
          <w:bCs/>
          <w:color w:val="auto"/>
          <w:sz w:val="13"/>
          <w:szCs w:val="13"/>
          <w:highlight w:val="none"/>
        </w:rPr>
      </w:pPr>
      <w:r>
        <w:rPr>
          <w:rFonts w:hint="eastAsia" w:ascii="宋体" w:hAnsi="宋体" w:eastAsia="宋体" w:cs="宋体"/>
          <w:color w:val="auto"/>
          <w:highlight w:val="none"/>
        </w:rPr>
        <w:t>法定代表或其授权代表（签字）：                       日    期：     年   月   日</w:t>
      </w:r>
    </w:p>
    <w:p>
      <w:pPr>
        <w:spacing w:line="360" w:lineRule="auto"/>
        <w:rPr>
          <w:rFonts w:hint="eastAsia" w:ascii="宋体" w:hAnsi="宋体" w:eastAsia="宋体" w:cs="宋体"/>
          <w:color w:val="auto"/>
          <w:highlight w:val="none"/>
        </w:rPr>
      </w:pPr>
    </w:p>
    <w:p>
      <w:pPr>
        <w:pStyle w:val="3"/>
        <w:spacing w:before="0" w:after="120"/>
        <w:rPr>
          <w:rFonts w:hint="eastAsia" w:ascii="宋体" w:hAnsi="宋体" w:eastAsia="宋体" w:cs="宋体"/>
          <w:color w:val="auto"/>
          <w:highlight w:val="none"/>
        </w:rPr>
      </w:pPr>
      <w:bookmarkStart w:id="207" w:name="_Toc453695572"/>
      <w:bookmarkStart w:id="208" w:name="_Toc461991263"/>
      <w:bookmarkStart w:id="209" w:name="_Toc453695699"/>
      <w:bookmarkStart w:id="210" w:name="_Toc338083276"/>
      <w:r>
        <w:rPr>
          <w:rFonts w:hint="eastAsia" w:ascii="宋体" w:hAnsi="宋体" w:eastAsia="宋体" w:cs="宋体"/>
          <w:color w:val="auto"/>
          <w:highlight w:val="none"/>
        </w:rPr>
        <w:t>格式</w:t>
      </w:r>
      <w:bookmarkEnd w:id="198"/>
      <w:bookmarkEnd w:id="199"/>
      <w:r>
        <w:rPr>
          <w:rFonts w:hint="eastAsia" w:cs="宋体"/>
          <w:color w:val="auto"/>
          <w:highlight w:val="none"/>
          <w:lang w:val="en-US" w:eastAsia="zh-CN"/>
        </w:rPr>
        <w:t>10</w:t>
      </w:r>
      <w:r>
        <w:rPr>
          <w:rFonts w:hint="eastAsia" w:ascii="宋体" w:hAnsi="宋体" w:eastAsia="宋体" w:cs="宋体"/>
          <w:color w:val="auto"/>
          <w:highlight w:val="none"/>
        </w:rPr>
        <w:t xml:space="preserve">           与采购人需求差异表</w:t>
      </w:r>
      <w:bookmarkEnd w:id="200"/>
      <w:bookmarkEnd w:id="207"/>
      <w:bookmarkEnd w:id="208"/>
      <w:bookmarkEnd w:id="209"/>
      <w:bookmarkEnd w:id="210"/>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项目编号：                       </w:t>
      </w:r>
    </w:p>
    <w:tbl>
      <w:tblPr>
        <w:tblStyle w:val="39"/>
        <w:tblW w:w="9302" w:type="dxa"/>
        <w:tblInd w:w="0" w:type="dxa"/>
        <w:tblLayout w:type="fixed"/>
        <w:tblCellMar>
          <w:top w:w="0" w:type="dxa"/>
          <w:left w:w="30" w:type="dxa"/>
          <w:bottom w:w="0" w:type="dxa"/>
          <w:right w:w="30" w:type="dxa"/>
        </w:tblCellMar>
      </w:tblPr>
      <w:tblGrid>
        <w:gridCol w:w="1500"/>
        <w:gridCol w:w="840"/>
        <w:gridCol w:w="3242"/>
        <w:gridCol w:w="1860"/>
        <w:gridCol w:w="1860"/>
      </w:tblGrid>
      <w:tr>
        <w:tblPrEx>
          <w:tblCellMar>
            <w:top w:w="0" w:type="dxa"/>
            <w:left w:w="30" w:type="dxa"/>
            <w:bottom w:w="0" w:type="dxa"/>
            <w:right w:w="30" w:type="dxa"/>
          </w:tblCellMar>
        </w:tblPrEx>
        <w:trPr>
          <w:cantSplit/>
          <w:trHeight w:val="283" w:hRule="atLeast"/>
        </w:trPr>
        <w:tc>
          <w:tcPr>
            <w:tcW w:w="1500" w:type="dxa"/>
            <w:vMerge w:val="restart"/>
            <w:tcBorders>
              <w:top w:val="single" w:color="auto" w:sz="12" w:space="0"/>
              <w:left w:val="single" w:color="auto" w:sz="12" w:space="0"/>
              <w:right w:val="single" w:color="auto" w:sz="6" w:space="0"/>
            </w:tcBorders>
            <w:vAlign w:val="center"/>
          </w:tcPr>
          <w:p>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082" w:type="dxa"/>
            <w:gridSpan w:val="2"/>
            <w:tcBorders>
              <w:top w:val="single" w:color="auto" w:sz="12" w:space="0"/>
              <w:left w:val="single" w:color="auto" w:sz="6" w:space="0"/>
              <w:bottom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文件要求</w:t>
            </w:r>
          </w:p>
        </w:tc>
        <w:tc>
          <w:tcPr>
            <w:tcW w:w="3720" w:type="dxa"/>
            <w:gridSpan w:val="2"/>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内容</w:t>
            </w:r>
          </w:p>
        </w:tc>
      </w:tr>
      <w:tr>
        <w:tblPrEx>
          <w:tblCellMar>
            <w:top w:w="0" w:type="dxa"/>
            <w:left w:w="30" w:type="dxa"/>
            <w:bottom w:w="0" w:type="dxa"/>
            <w:right w:w="30" w:type="dxa"/>
          </w:tblCellMar>
        </w:tblPrEx>
        <w:trPr>
          <w:cantSplit/>
          <w:trHeight w:val="146" w:hRule="atLeast"/>
        </w:trPr>
        <w:tc>
          <w:tcPr>
            <w:tcW w:w="1500" w:type="dxa"/>
            <w:vMerge w:val="continue"/>
            <w:tcBorders>
              <w:left w:val="single" w:color="auto" w:sz="12" w:space="0"/>
              <w:bottom w:val="single" w:color="auto" w:sz="6" w:space="0"/>
              <w:right w:val="single" w:color="auto" w:sz="6" w:space="0"/>
            </w:tcBorders>
            <w:vAlign w:val="center"/>
          </w:tcPr>
          <w:p>
            <w:pPr>
              <w:autoSpaceDE w:val="0"/>
              <w:autoSpaceDN w:val="0"/>
              <w:adjustRightInd w:val="0"/>
              <w:rPr>
                <w:rFonts w:hint="eastAsia" w:ascii="宋体" w:hAnsi="宋体" w:eastAsia="宋体" w:cs="宋体"/>
                <w:color w:val="auto"/>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原条目</w:t>
            </w:r>
          </w:p>
        </w:tc>
        <w:tc>
          <w:tcPr>
            <w:tcW w:w="32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简要内容</w:t>
            </w:r>
          </w:p>
        </w:tc>
        <w:tc>
          <w:tcPr>
            <w:tcW w:w="1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186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CellMar>
            <w:top w:w="0" w:type="dxa"/>
            <w:left w:w="30" w:type="dxa"/>
            <w:bottom w:w="0" w:type="dxa"/>
            <w:right w:w="30" w:type="dxa"/>
          </w:tblCellMar>
        </w:tblPrEx>
        <w:trPr>
          <w:cantSplit/>
          <w:trHeight w:val="326" w:hRule="exact"/>
        </w:trPr>
        <w:tc>
          <w:tcPr>
            <w:tcW w:w="150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hint="eastAsia" w:ascii="宋体" w:hAnsi="宋体" w:eastAsia="宋体" w:cs="宋体"/>
                <w:color w:val="auto"/>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2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eastAsia="宋体" w:cs="宋体"/>
                <w:color w:val="auto"/>
                <w:szCs w:val="21"/>
                <w:highlight w:val="none"/>
              </w:rPr>
            </w:pPr>
          </w:p>
        </w:tc>
        <w:tc>
          <w:tcPr>
            <w:tcW w:w="186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hint="eastAsia" w:ascii="宋体" w:hAnsi="宋体" w:eastAsia="宋体" w:cs="宋体"/>
                <w:color w:val="auto"/>
                <w:szCs w:val="21"/>
                <w:highlight w:val="none"/>
              </w:rPr>
            </w:pPr>
          </w:p>
        </w:tc>
      </w:tr>
      <w:tr>
        <w:tblPrEx>
          <w:tblCellMar>
            <w:top w:w="0" w:type="dxa"/>
            <w:left w:w="30" w:type="dxa"/>
            <w:bottom w:w="0" w:type="dxa"/>
            <w:right w:w="30" w:type="dxa"/>
          </w:tblCellMar>
        </w:tblPrEx>
        <w:trPr>
          <w:cantSplit/>
          <w:trHeight w:val="302" w:hRule="exact"/>
        </w:trPr>
        <w:tc>
          <w:tcPr>
            <w:tcW w:w="150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hint="eastAsia" w:ascii="宋体" w:hAnsi="宋体" w:eastAsia="宋体" w:cs="宋体"/>
                <w:color w:val="auto"/>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2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eastAsia="宋体" w:cs="宋体"/>
                <w:color w:val="auto"/>
                <w:szCs w:val="21"/>
                <w:highlight w:val="none"/>
              </w:rPr>
            </w:pPr>
          </w:p>
        </w:tc>
        <w:tc>
          <w:tcPr>
            <w:tcW w:w="186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hint="eastAsia" w:ascii="宋体" w:hAnsi="宋体" w:eastAsia="宋体" w:cs="宋体"/>
                <w:color w:val="auto"/>
                <w:szCs w:val="21"/>
                <w:highlight w:val="none"/>
              </w:rPr>
            </w:pPr>
          </w:p>
        </w:tc>
      </w:tr>
      <w:tr>
        <w:tblPrEx>
          <w:tblCellMar>
            <w:top w:w="0" w:type="dxa"/>
            <w:left w:w="30" w:type="dxa"/>
            <w:bottom w:w="0" w:type="dxa"/>
            <w:right w:w="30" w:type="dxa"/>
          </w:tblCellMar>
        </w:tblPrEx>
        <w:trPr>
          <w:cantSplit/>
          <w:trHeight w:val="306" w:hRule="exact"/>
        </w:trPr>
        <w:tc>
          <w:tcPr>
            <w:tcW w:w="150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rPr>
                <w:rFonts w:hint="eastAsia" w:ascii="宋体" w:hAnsi="宋体" w:eastAsia="宋体" w:cs="宋体"/>
                <w:color w:val="auto"/>
                <w:szCs w:val="21"/>
                <w:highlight w:val="none"/>
              </w:rPr>
            </w:pPr>
          </w:p>
        </w:tc>
        <w:tc>
          <w:tcPr>
            <w:tcW w:w="8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3242" w:type="dxa"/>
            <w:tcBorders>
              <w:top w:val="single" w:color="auto" w:sz="6" w:space="0"/>
              <w:left w:val="single" w:color="auto" w:sz="6" w:space="0"/>
              <w:bottom w:val="single" w:color="auto" w:sz="6" w:space="0"/>
              <w:right w:val="single" w:color="auto" w:sz="6" w:space="0"/>
            </w:tcBorders>
            <w:vAlign w:val="center"/>
          </w:tcPr>
          <w:p>
            <w:pPr>
              <w:spacing w:line="360" w:lineRule="auto"/>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hAnsi="宋体" w:eastAsia="宋体" w:cs="宋体"/>
                <w:color w:val="auto"/>
                <w:szCs w:val="21"/>
                <w:highlight w:val="none"/>
              </w:rPr>
            </w:pPr>
          </w:p>
        </w:tc>
        <w:tc>
          <w:tcPr>
            <w:tcW w:w="1860"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hint="eastAsia" w:ascii="宋体" w:hAnsi="宋体" w:eastAsia="宋体" w:cs="宋体"/>
                <w:color w:val="auto"/>
                <w:szCs w:val="21"/>
                <w:highlight w:val="none"/>
              </w:rPr>
            </w:pPr>
          </w:p>
        </w:tc>
      </w:tr>
    </w:tbl>
    <w:p>
      <w:pPr>
        <w:spacing w:line="360" w:lineRule="auto"/>
        <w:ind w:left="527" w:leftChars="50" w:hanging="422" w:hanging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应根据其提供的货物和服务，逐条对照</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文件《采购人需求》的内容要求填写，有差异的，不论是技术或商务上，均须在此表中列明两者的简要内容，以便查对和评审。除“偏离说明”栏所列的内容外，其余按《采购人需求》的内容执行。本表提供空表的视为完全响应。</w:t>
      </w:r>
    </w:p>
    <w:p>
      <w:pPr>
        <w:pStyle w:val="2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全称（加盖公章）：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法定代表或其授权代表（签字）：                       日    期：     年   月   日</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3"/>
        <w:spacing w:before="0" w:after="120"/>
        <w:rPr>
          <w:rFonts w:hint="eastAsia" w:ascii="宋体" w:hAnsi="宋体" w:eastAsia="宋体" w:cs="宋体"/>
          <w:color w:val="auto"/>
          <w:highlight w:val="none"/>
        </w:rPr>
      </w:pPr>
      <w:bookmarkStart w:id="211" w:name="_Toc24877743"/>
      <w:bookmarkStart w:id="212" w:name="_Toc24702376"/>
      <w:bookmarkStart w:id="213" w:name="_Toc453695573"/>
      <w:bookmarkStart w:id="214" w:name="_Toc461991264"/>
      <w:bookmarkStart w:id="215" w:name="_Toc231010445"/>
      <w:bookmarkStart w:id="216" w:name="_Toc338083277"/>
      <w:bookmarkStart w:id="217" w:name="_Toc238275011"/>
      <w:bookmarkStart w:id="218" w:name="_Toc453695700"/>
      <w:bookmarkStart w:id="219" w:name="_Toc234746287"/>
      <w:bookmarkStart w:id="220" w:name="_Toc17252711"/>
      <w:bookmarkStart w:id="221" w:name="_Toc30476694"/>
      <w:bookmarkStart w:id="222" w:name="_Toc14450850"/>
      <w:r>
        <w:rPr>
          <w:rFonts w:hint="eastAsia" w:ascii="宋体" w:hAnsi="宋体" w:eastAsia="宋体" w:cs="宋体"/>
          <w:color w:val="auto"/>
          <w:highlight w:val="none"/>
        </w:rPr>
        <w:t>格式</w:t>
      </w:r>
      <w:bookmarkEnd w:id="211"/>
      <w:bookmarkEnd w:id="212"/>
      <w:r>
        <w:rPr>
          <w:rFonts w:hint="eastAsia" w:ascii="宋体" w:hAnsi="宋体" w:eastAsia="宋体" w:cs="宋体"/>
          <w:color w:val="auto"/>
          <w:highlight w:val="none"/>
        </w:rPr>
        <w:t>1</w:t>
      </w:r>
      <w:r>
        <w:rPr>
          <w:rFonts w:hint="eastAsia" w:cs="宋体"/>
          <w:color w:val="auto"/>
          <w:highlight w:val="none"/>
          <w:lang w:val="en-US" w:eastAsia="zh-CN"/>
        </w:rPr>
        <w:t>1</w:t>
      </w:r>
      <w:r>
        <w:rPr>
          <w:rFonts w:hint="eastAsia" w:ascii="宋体" w:hAnsi="宋体" w:eastAsia="宋体" w:cs="宋体"/>
          <w:color w:val="auto"/>
          <w:highlight w:val="none"/>
        </w:rPr>
        <w:t xml:space="preserve">                合同条款响应一览表</w:t>
      </w:r>
      <w:bookmarkEnd w:id="213"/>
      <w:bookmarkEnd w:id="214"/>
      <w:bookmarkEnd w:id="215"/>
      <w:bookmarkEnd w:id="216"/>
      <w:bookmarkEnd w:id="217"/>
      <w:bookmarkEnd w:id="218"/>
      <w:bookmarkEnd w:id="219"/>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项目编号：                       </w:t>
      </w:r>
    </w:p>
    <w:tbl>
      <w:tblPr>
        <w:tblStyle w:val="39"/>
        <w:tblW w:w="9301" w:type="dxa"/>
        <w:jc w:val="center"/>
        <w:tblLayout w:type="fixed"/>
        <w:tblCellMar>
          <w:top w:w="0" w:type="dxa"/>
          <w:left w:w="30" w:type="dxa"/>
          <w:bottom w:w="0" w:type="dxa"/>
          <w:right w:w="30" w:type="dxa"/>
        </w:tblCellMar>
      </w:tblPr>
      <w:tblGrid>
        <w:gridCol w:w="1828"/>
        <w:gridCol w:w="2919"/>
        <w:gridCol w:w="1762"/>
        <w:gridCol w:w="2792"/>
      </w:tblGrid>
      <w:tr>
        <w:tblPrEx>
          <w:tblCellMar>
            <w:top w:w="0" w:type="dxa"/>
            <w:left w:w="30" w:type="dxa"/>
            <w:bottom w:w="0" w:type="dxa"/>
            <w:right w:w="30" w:type="dxa"/>
          </w:tblCellMar>
        </w:tblPrEx>
        <w:trPr>
          <w:cantSplit/>
          <w:trHeight w:val="340" w:hRule="atLeast"/>
          <w:jc w:val="center"/>
        </w:trPr>
        <w:tc>
          <w:tcPr>
            <w:tcW w:w="1828" w:type="dxa"/>
            <w:vMerge w:val="restart"/>
            <w:tcBorders>
              <w:top w:val="single" w:color="auto" w:sz="6" w:space="0"/>
              <w:left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919" w:type="dxa"/>
            <w:tcBorders>
              <w:top w:val="single" w:color="auto" w:sz="6" w:space="0"/>
              <w:left w:val="single" w:color="auto" w:sz="4" w:space="0"/>
              <w:bottom w:val="single" w:color="auto" w:sz="4" w:space="0"/>
            </w:tcBorders>
            <w:vAlign w:val="center"/>
          </w:tcPr>
          <w:p>
            <w:pPr>
              <w:autoSpaceDE w:val="0"/>
              <w:autoSpaceDN w:val="0"/>
              <w:adjustRightInd w:val="0"/>
              <w:spacing w:line="360" w:lineRule="auto"/>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文件合同要求</w:t>
            </w:r>
          </w:p>
        </w:tc>
        <w:tc>
          <w:tcPr>
            <w:tcW w:w="455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响应文件</w:t>
            </w:r>
            <w:r>
              <w:rPr>
                <w:rFonts w:hint="eastAsia" w:ascii="宋体" w:hAnsi="宋体" w:eastAsia="宋体" w:cs="宋体"/>
                <w:color w:val="auto"/>
                <w:szCs w:val="21"/>
                <w:highlight w:val="none"/>
              </w:rPr>
              <w:t>内容</w:t>
            </w:r>
          </w:p>
        </w:tc>
      </w:tr>
      <w:tr>
        <w:tblPrEx>
          <w:tblCellMar>
            <w:top w:w="0" w:type="dxa"/>
            <w:left w:w="30" w:type="dxa"/>
            <w:bottom w:w="0" w:type="dxa"/>
            <w:right w:w="30" w:type="dxa"/>
          </w:tblCellMar>
        </w:tblPrEx>
        <w:trPr>
          <w:cantSplit/>
          <w:trHeight w:val="340" w:hRule="atLeast"/>
          <w:jc w:val="center"/>
        </w:trPr>
        <w:tc>
          <w:tcPr>
            <w:tcW w:w="1828" w:type="dxa"/>
            <w:vMerge w:val="continue"/>
            <w:tcBorders>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szCs w:val="21"/>
                <w:highlight w:val="none"/>
              </w:rPr>
            </w:pPr>
          </w:p>
        </w:tc>
        <w:tc>
          <w:tcPr>
            <w:tcW w:w="2919"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1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2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差异说明</w:t>
            </w:r>
          </w:p>
        </w:tc>
      </w:tr>
      <w:tr>
        <w:tblPrEx>
          <w:tblCellMar>
            <w:top w:w="0" w:type="dxa"/>
            <w:left w:w="30" w:type="dxa"/>
            <w:bottom w:w="0" w:type="dxa"/>
            <w:right w:w="30" w:type="dxa"/>
          </w:tblCellMar>
        </w:tblPrEx>
        <w:trPr>
          <w:cantSplit/>
          <w:trHeight w:val="392" w:hRule="exact"/>
          <w:jc w:val="center"/>
        </w:trPr>
        <w:tc>
          <w:tcPr>
            <w:tcW w:w="1828"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rPr>
                <w:rFonts w:hint="eastAsia" w:ascii="宋体" w:hAnsi="宋体" w:eastAsia="宋体" w:cs="宋体"/>
                <w:color w:val="auto"/>
                <w:szCs w:val="21"/>
                <w:highlight w:val="none"/>
              </w:rPr>
            </w:pPr>
          </w:p>
        </w:tc>
        <w:tc>
          <w:tcPr>
            <w:tcW w:w="2919" w:type="dxa"/>
            <w:tcBorders>
              <w:top w:val="single" w:color="auto" w:sz="6" w:space="0"/>
              <w:left w:val="single" w:color="auto" w:sz="6" w:space="0"/>
              <w:bottom w:val="single" w:color="auto" w:sz="6" w:space="0"/>
              <w:right w:val="single" w:color="auto" w:sz="6" w:space="0"/>
            </w:tcBorders>
            <w:vAlign w:val="center"/>
          </w:tcPr>
          <w:p>
            <w:pPr>
              <w:spacing w:line="360" w:lineRule="auto"/>
              <w:rPr>
                <w:rFonts w:hint="eastAsia" w:ascii="宋体" w:hAnsi="宋体" w:eastAsia="宋体" w:cs="宋体"/>
                <w:color w:val="auto"/>
                <w:szCs w:val="21"/>
                <w:highlight w:val="none"/>
              </w:rPr>
            </w:pPr>
          </w:p>
        </w:tc>
        <w:tc>
          <w:tcPr>
            <w:tcW w:w="1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hint="eastAsia" w:ascii="宋体" w:hAnsi="宋体" w:eastAsia="宋体" w:cs="宋体"/>
                <w:color w:val="auto"/>
                <w:szCs w:val="21"/>
                <w:highlight w:val="none"/>
              </w:rPr>
            </w:pPr>
          </w:p>
        </w:tc>
        <w:tc>
          <w:tcPr>
            <w:tcW w:w="2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hint="eastAsia" w:ascii="宋体" w:hAnsi="宋体" w:eastAsia="宋体" w:cs="宋体"/>
                <w:color w:val="auto"/>
                <w:szCs w:val="21"/>
                <w:highlight w:val="none"/>
              </w:rPr>
            </w:pPr>
          </w:p>
        </w:tc>
      </w:tr>
      <w:tr>
        <w:tblPrEx>
          <w:tblCellMar>
            <w:top w:w="0" w:type="dxa"/>
            <w:left w:w="30" w:type="dxa"/>
            <w:bottom w:w="0" w:type="dxa"/>
            <w:right w:w="30" w:type="dxa"/>
          </w:tblCellMar>
        </w:tblPrEx>
        <w:trPr>
          <w:cantSplit/>
          <w:trHeight w:val="312" w:hRule="exact"/>
          <w:jc w:val="center"/>
        </w:trPr>
        <w:tc>
          <w:tcPr>
            <w:tcW w:w="1828"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rPr>
                <w:rFonts w:hint="eastAsia" w:ascii="宋体" w:hAnsi="宋体" w:eastAsia="宋体" w:cs="宋体"/>
                <w:color w:val="auto"/>
                <w:szCs w:val="21"/>
                <w:highlight w:val="none"/>
              </w:rPr>
            </w:pPr>
          </w:p>
        </w:tc>
        <w:tc>
          <w:tcPr>
            <w:tcW w:w="29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szCs w:val="21"/>
                <w:highlight w:val="none"/>
              </w:rPr>
            </w:pPr>
          </w:p>
        </w:tc>
        <w:tc>
          <w:tcPr>
            <w:tcW w:w="17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hint="eastAsia" w:ascii="宋体" w:hAnsi="宋体" w:eastAsia="宋体" w:cs="宋体"/>
                <w:color w:val="auto"/>
                <w:szCs w:val="21"/>
                <w:highlight w:val="none"/>
              </w:rPr>
            </w:pPr>
          </w:p>
        </w:tc>
        <w:tc>
          <w:tcPr>
            <w:tcW w:w="2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hint="eastAsia" w:ascii="宋体" w:hAnsi="宋体" w:eastAsia="宋体" w:cs="宋体"/>
                <w:color w:val="auto"/>
                <w:szCs w:val="21"/>
                <w:highlight w:val="none"/>
              </w:rPr>
            </w:pPr>
          </w:p>
        </w:tc>
      </w:tr>
      <w:tr>
        <w:tblPrEx>
          <w:tblCellMar>
            <w:top w:w="0" w:type="dxa"/>
            <w:left w:w="30" w:type="dxa"/>
            <w:bottom w:w="0" w:type="dxa"/>
            <w:right w:w="30" w:type="dxa"/>
          </w:tblCellMar>
        </w:tblPrEx>
        <w:trPr>
          <w:cantSplit/>
          <w:trHeight w:val="302" w:hRule="exact"/>
          <w:jc w:val="center"/>
        </w:trPr>
        <w:tc>
          <w:tcPr>
            <w:tcW w:w="1828" w:type="dxa"/>
            <w:tcBorders>
              <w:top w:val="single" w:color="auto" w:sz="6" w:space="0"/>
              <w:left w:val="single" w:color="auto" w:sz="6" w:space="0"/>
              <w:bottom w:val="single" w:color="auto" w:sz="6" w:space="0"/>
              <w:right w:val="single" w:color="auto" w:sz="6" w:space="0"/>
            </w:tcBorders>
            <w:vAlign w:val="center"/>
          </w:tcPr>
          <w:p>
            <w:pPr>
              <w:widowControl/>
              <w:autoSpaceDE w:val="0"/>
              <w:autoSpaceDN w:val="0"/>
              <w:adjustRightInd w:val="0"/>
              <w:rPr>
                <w:rFonts w:hint="eastAsia" w:ascii="宋体" w:hAnsi="宋体" w:eastAsia="宋体" w:cs="宋体"/>
                <w:color w:val="auto"/>
                <w:szCs w:val="21"/>
                <w:highlight w:val="none"/>
              </w:rPr>
            </w:pPr>
          </w:p>
        </w:tc>
        <w:tc>
          <w:tcPr>
            <w:tcW w:w="29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rPr>
                <w:rFonts w:hint="eastAsia" w:ascii="宋体" w:hAnsi="宋体" w:eastAsia="宋体" w:cs="宋体"/>
                <w:color w:val="auto"/>
                <w:szCs w:val="21"/>
                <w:highlight w:val="none"/>
              </w:rPr>
            </w:pPr>
          </w:p>
        </w:tc>
        <w:tc>
          <w:tcPr>
            <w:tcW w:w="1762" w:type="dxa"/>
            <w:tcBorders>
              <w:top w:val="single" w:color="auto" w:sz="6" w:space="0"/>
              <w:left w:val="single" w:color="auto" w:sz="6" w:space="0"/>
              <w:bottom w:val="single" w:color="auto" w:sz="6" w:space="0"/>
              <w:right w:val="single" w:color="auto" w:sz="6" w:space="0"/>
            </w:tcBorders>
            <w:vAlign w:val="center"/>
          </w:tcPr>
          <w:p>
            <w:pPr>
              <w:spacing w:line="360" w:lineRule="auto"/>
              <w:ind w:firstLine="420" w:firstLineChars="200"/>
              <w:rPr>
                <w:rFonts w:hint="eastAsia" w:ascii="宋体" w:hAnsi="宋体" w:eastAsia="宋体" w:cs="宋体"/>
                <w:color w:val="auto"/>
                <w:szCs w:val="21"/>
                <w:highlight w:val="none"/>
              </w:rPr>
            </w:pPr>
          </w:p>
        </w:tc>
        <w:tc>
          <w:tcPr>
            <w:tcW w:w="2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hint="eastAsia" w:ascii="宋体" w:hAnsi="宋体" w:eastAsia="宋体" w:cs="宋体"/>
                <w:color w:val="auto"/>
                <w:szCs w:val="21"/>
                <w:highlight w:val="none"/>
              </w:rPr>
            </w:pPr>
          </w:p>
        </w:tc>
      </w:tr>
    </w:tbl>
    <w:p>
      <w:pPr>
        <w:spacing w:before="120" w:line="360" w:lineRule="auto"/>
        <w:ind w:left="723" w:hanging="723" w:hangingChars="343"/>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应对照</w:t>
      </w:r>
      <w:r>
        <w:rPr>
          <w:rFonts w:hint="eastAsia" w:ascii="宋体" w:hAnsi="宋体" w:eastAsia="宋体" w:cs="宋体"/>
          <w:b/>
          <w:color w:val="auto"/>
          <w:szCs w:val="21"/>
          <w:highlight w:val="none"/>
          <w:lang w:eastAsia="zh-CN"/>
        </w:rPr>
        <w:t>磋商</w:t>
      </w:r>
      <w:r>
        <w:rPr>
          <w:rFonts w:hint="eastAsia" w:ascii="宋体" w:hAnsi="宋体" w:eastAsia="宋体" w:cs="宋体"/>
          <w:b/>
          <w:color w:val="auto"/>
          <w:szCs w:val="21"/>
          <w:highlight w:val="none"/>
        </w:rPr>
        <w:t>文件第四章合同条款所列内容逐条对应填写，完全满足的在“是否响应”栏中填“响应”；有差异的则在“差异说明”栏中列出差异的具体内容。本表提供空表的视为完全响应。</w:t>
      </w:r>
    </w:p>
    <w:p>
      <w:pPr>
        <w:spacing w:before="120"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2.除“差异说明”栏所列的内容以外，其余按《合同书》格式中的条款执行。</w:t>
      </w:r>
    </w:p>
    <w:p>
      <w:pPr>
        <w:spacing w:line="360" w:lineRule="auto"/>
        <w:rPr>
          <w:rFonts w:hint="eastAsia" w:ascii="宋体" w:hAnsi="宋体" w:eastAsia="宋体" w:cs="宋体"/>
          <w:color w:val="auto"/>
          <w:highlight w:val="none"/>
        </w:rPr>
      </w:pPr>
    </w:p>
    <w:p>
      <w:pPr>
        <w:pStyle w:val="2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全称（加盖公章）：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法定代表或其授权代表（签字）：                       日    期：     年   月   日</w:t>
      </w:r>
    </w:p>
    <w:bookmarkEnd w:id="220"/>
    <w:bookmarkEnd w:id="221"/>
    <w:bookmarkEnd w:id="222"/>
    <w:p>
      <w:pPr>
        <w:ind w:left="420" w:hanging="420" w:hangingChars="200"/>
        <w:rPr>
          <w:rFonts w:hint="eastAsia" w:ascii="宋体" w:hAnsi="宋体" w:eastAsia="宋体" w:cs="宋体"/>
          <w:color w:val="auto"/>
          <w:highlight w:val="none"/>
        </w:rPr>
      </w:pPr>
      <w:bookmarkStart w:id="223" w:name="_Toc338083279"/>
    </w:p>
    <w:p>
      <w:pPr>
        <w:ind w:left="0" w:firstLine="0" w:firstLineChars="0"/>
        <w:rPr>
          <w:rFonts w:hint="eastAsia" w:ascii="宋体" w:hAnsi="宋体" w:eastAsia="宋体" w:cs="宋体"/>
          <w:b/>
          <w:color w:val="auto"/>
          <w:szCs w:val="21"/>
          <w:highlight w:val="none"/>
        </w:rPr>
      </w:pPr>
    </w:p>
    <w:p>
      <w:pPr>
        <w:pStyle w:val="3"/>
        <w:spacing w:before="0" w:after="120"/>
        <w:rPr>
          <w:rFonts w:hint="eastAsia" w:ascii="宋体" w:hAnsi="宋体" w:eastAsia="宋体" w:cs="宋体"/>
          <w:color w:val="auto"/>
          <w:highlight w:val="none"/>
        </w:rPr>
      </w:pPr>
      <w:bookmarkStart w:id="224" w:name="_Toc461991265"/>
      <w:bookmarkStart w:id="225" w:name="_Toc453695574"/>
      <w:bookmarkStart w:id="226" w:name="_Toc453695701"/>
      <w:r>
        <w:rPr>
          <w:rFonts w:hint="eastAsia" w:ascii="宋体" w:hAnsi="宋体" w:eastAsia="宋体" w:cs="宋体"/>
          <w:color w:val="auto"/>
          <w:highlight w:val="none"/>
        </w:rPr>
        <w:t>格式1</w:t>
      </w:r>
      <w:r>
        <w:rPr>
          <w:rFonts w:hint="eastAsia" w:cs="宋体"/>
          <w:color w:val="auto"/>
          <w:highlight w:val="none"/>
          <w:lang w:val="en-US" w:eastAsia="zh-CN"/>
        </w:rPr>
        <w:t>2</w:t>
      </w:r>
      <w:r>
        <w:rPr>
          <w:rFonts w:hint="eastAsia" w:ascii="宋体" w:hAnsi="宋体" w:eastAsia="宋体" w:cs="宋体"/>
          <w:color w:val="auto"/>
          <w:highlight w:val="none"/>
        </w:rPr>
        <w:t xml:space="preserve">            缴交采购代理服务费承诺书</w:t>
      </w:r>
      <w:bookmarkEnd w:id="223"/>
      <w:bookmarkEnd w:id="224"/>
      <w:bookmarkEnd w:id="225"/>
      <w:bookmarkEnd w:id="226"/>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致：广州群生招标代理有限公司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如果我方在贵公司组织的项目名称：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采购项目中被确定为成交供应商候选人，我方保证在收到《成交通知书》前，按照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文件的规定向贵公司交纳采购代理服务费。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我方如违约，愿凭贵公司开出的违约通知，按上述承诺金额的200％在采购人与我方签订的采购合同款项中扣付，并在此同意和要求采购人（应广州群生招标代理有限公司的要求）办理支付手续。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pPr>
        <w:pStyle w:val="2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全称（加盖公章）： </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法定代表或其授权代表（签字）：                       日    期：     年   月   日</w:t>
      </w:r>
    </w:p>
    <w:p>
      <w:pPr>
        <w:spacing w:line="360" w:lineRule="auto"/>
        <w:rPr>
          <w:rFonts w:hint="eastAsia" w:ascii="宋体" w:hAnsi="宋体" w:eastAsia="宋体" w:cs="宋体"/>
          <w:color w:val="auto"/>
          <w:sz w:val="24"/>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rPr>
          <w:rFonts w:hint="eastAsia" w:ascii="宋体" w:hAnsi="宋体" w:eastAsia="宋体" w:cs="宋体"/>
          <w:b/>
          <w:bCs/>
          <w:color w:val="auto"/>
          <w:szCs w:val="21"/>
          <w:highlight w:val="none"/>
        </w:rPr>
      </w:pPr>
    </w:p>
    <w:p>
      <w:pPr>
        <w:pStyle w:val="3"/>
        <w:spacing w:before="20" w:after="20" w:line="440" w:lineRule="exact"/>
        <w:rPr>
          <w:rFonts w:hint="eastAsia" w:ascii="宋体" w:hAnsi="宋体" w:eastAsia="宋体" w:cs="宋体"/>
          <w:color w:val="auto"/>
          <w:sz w:val="32"/>
          <w:szCs w:val="32"/>
          <w:highlight w:val="none"/>
        </w:rPr>
      </w:pPr>
      <w:bookmarkStart w:id="227" w:name="_Toc32560"/>
      <w:bookmarkStart w:id="228" w:name="_Toc25813"/>
      <w:bookmarkStart w:id="229" w:name="_Toc19778"/>
      <w:bookmarkStart w:id="230" w:name="_Toc24361"/>
      <w:bookmarkStart w:id="231" w:name="_Toc10372"/>
      <w:bookmarkStart w:id="232" w:name="_Toc3318"/>
      <w:bookmarkStart w:id="233" w:name="_Toc6396"/>
      <w:bookmarkStart w:id="234" w:name="_Toc17157"/>
      <w:r>
        <w:rPr>
          <w:rFonts w:hint="eastAsia" w:ascii="宋体" w:hAnsi="宋体" w:eastAsia="宋体" w:cs="宋体"/>
          <w:color w:val="auto"/>
          <w:highlight w:val="none"/>
        </w:rPr>
        <w:t>格式1</w:t>
      </w:r>
      <w:r>
        <w:rPr>
          <w:rFonts w:hint="eastAsia" w:cs="宋体"/>
          <w:color w:val="auto"/>
          <w:highlight w:val="none"/>
          <w:lang w:val="en-US" w:eastAsia="zh-CN"/>
        </w:rPr>
        <w:t>3</w:t>
      </w:r>
      <w:r>
        <w:rPr>
          <w:rFonts w:hint="eastAsia" w:ascii="宋体" w:hAnsi="宋体" w:eastAsia="宋体" w:cs="宋体"/>
          <w:color w:val="auto"/>
          <w:highlight w:val="none"/>
        </w:rPr>
        <w:t xml:space="preserve">               同意</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文件条款说明</w:t>
      </w:r>
      <w:bookmarkEnd w:id="227"/>
      <w:bookmarkEnd w:id="228"/>
      <w:bookmarkEnd w:id="229"/>
      <w:bookmarkEnd w:id="230"/>
      <w:bookmarkEnd w:id="231"/>
      <w:bookmarkEnd w:id="232"/>
      <w:bookmarkEnd w:id="233"/>
      <w:bookmarkEnd w:id="234"/>
    </w:p>
    <w:p>
      <w:pPr>
        <w:widowControl/>
        <w:spacing w:line="48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致：广州群生招标代理有限公司</w:t>
      </w:r>
    </w:p>
    <w:p>
      <w:pPr>
        <w:spacing w:line="480" w:lineRule="auto"/>
        <w:ind w:firstLine="478" w:firstLineChars="228"/>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为响应你方组织的项目名称：</w:t>
      </w:r>
      <w:r>
        <w:rPr>
          <w:rFonts w:hint="eastAsia" w:ascii="宋体" w:hAnsi="宋体" w:eastAsia="宋体" w:cs="宋体"/>
          <w:color w:val="auto"/>
          <w:kern w:val="28"/>
          <w:szCs w:val="21"/>
          <w:highlight w:val="none"/>
          <w:u w:val="single"/>
        </w:rPr>
        <w:t xml:space="preserve">                   </w:t>
      </w:r>
      <w:r>
        <w:rPr>
          <w:rFonts w:hint="eastAsia" w:ascii="宋体" w:hAnsi="宋体" w:eastAsia="宋体" w:cs="宋体"/>
          <w:color w:val="auto"/>
          <w:kern w:val="0"/>
          <w:szCs w:val="21"/>
          <w:highlight w:val="none"/>
        </w:rPr>
        <w:t>项目的竞争性</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【项目编号：</w:t>
      </w:r>
      <w:r>
        <w:rPr>
          <w:rFonts w:hint="eastAsia" w:ascii="宋体" w:hAnsi="宋体" w:eastAsia="宋体" w:cs="宋体"/>
          <w:color w:val="auto"/>
          <w:kern w:val="28"/>
          <w:szCs w:val="21"/>
          <w:highlight w:val="none"/>
          <w:u w:val="single"/>
        </w:rPr>
        <w:t xml:space="preserve">                       </w:t>
      </w:r>
      <w:r>
        <w:rPr>
          <w:rFonts w:hint="eastAsia" w:ascii="宋体" w:hAnsi="宋体" w:eastAsia="宋体" w:cs="宋体"/>
          <w:color w:val="auto"/>
          <w:kern w:val="0"/>
          <w:szCs w:val="21"/>
          <w:highlight w:val="none"/>
        </w:rPr>
        <w:t>】，我方在参与报价前已详细研究了</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文件的所有内容，包括修改文件（如果有的话）和所有已提供的参考资料以及有关附件，我方完全明白并认为此</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文件没有倾向性，也没有存在排斥潜在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的内容，我方并同意</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文件的相关条款。</w:t>
      </w:r>
    </w:p>
    <w:p>
      <w:pPr>
        <w:spacing w:line="480" w:lineRule="auto"/>
        <w:ind w:firstLine="478" w:firstLineChars="228"/>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特此声明。</w:t>
      </w:r>
    </w:p>
    <w:p>
      <w:pPr>
        <w:pStyle w:val="22"/>
        <w:spacing w:line="48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全称（加盖公章）： </w:t>
      </w:r>
    </w:p>
    <w:p>
      <w:pPr>
        <w:rPr>
          <w:rFonts w:hint="eastAsia" w:ascii="宋体" w:hAnsi="宋体" w:eastAsia="宋体" w:cs="宋体"/>
          <w:b/>
          <w:bCs/>
          <w:color w:val="auto"/>
          <w:szCs w:val="21"/>
          <w:highlight w:val="none"/>
        </w:rPr>
      </w:pPr>
      <w:r>
        <w:rPr>
          <w:rFonts w:hint="eastAsia" w:ascii="宋体" w:hAnsi="宋体" w:eastAsia="宋体" w:cs="宋体"/>
          <w:color w:val="auto"/>
          <w:highlight w:val="none"/>
        </w:rPr>
        <w:t>法定代表或其授权代表（签字）：                       日    期：     年   月   日</w:t>
      </w:r>
    </w:p>
    <w:p>
      <w:pPr>
        <w:rPr>
          <w:rFonts w:hint="eastAsia" w:ascii="宋体" w:hAnsi="宋体" w:eastAsia="宋体" w:cs="宋体"/>
          <w:bCs/>
          <w:color w:val="auto"/>
          <w:sz w:val="13"/>
          <w:szCs w:val="13"/>
          <w:highlight w:val="none"/>
        </w:rPr>
      </w:pPr>
      <w:r>
        <w:rPr>
          <w:rFonts w:hint="eastAsia" w:ascii="宋体" w:hAnsi="宋体" w:eastAsia="宋体" w:cs="宋体"/>
          <w:bCs/>
          <w:color w:val="auto"/>
          <w:sz w:val="13"/>
          <w:szCs w:val="13"/>
          <w:highlight w:val="none"/>
        </w:rPr>
        <w:br w:type="page"/>
      </w:r>
    </w:p>
    <w:p>
      <w:pPr>
        <w:pStyle w:val="3"/>
        <w:spacing w:before="20" w:after="20" w:line="440" w:lineRule="exact"/>
        <w:rPr>
          <w:rFonts w:hint="default" w:ascii="宋体" w:hAnsi="宋体" w:eastAsia="宋体" w:cs="宋体"/>
          <w:color w:val="auto"/>
          <w:sz w:val="32"/>
          <w:szCs w:val="32"/>
          <w:highlight w:val="none"/>
          <w:lang w:val="en-US" w:eastAsia="zh-CN"/>
        </w:rPr>
      </w:pPr>
      <w:bookmarkStart w:id="235" w:name="_GoBack"/>
      <w:bookmarkEnd w:id="235"/>
      <w:r>
        <w:rPr>
          <w:rFonts w:hint="eastAsia" w:ascii="宋体" w:hAnsi="宋体" w:eastAsia="宋体" w:cs="宋体"/>
          <w:color w:val="auto"/>
          <w:highlight w:val="none"/>
        </w:rPr>
        <w:t>格式1</w:t>
      </w:r>
      <w:r>
        <w:rPr>
          <w:rFonts w:hint="eastAsia" w:cs="宋体"/>
          <w:color w:val="auto"/>
          <w:highlight w:val="none"/>
          <w:lang w:val="en-US" w:eastAsia="zh-CN"/>
        </w:rPr>
        <w:t>4</w:t>
      </w:r>
      <w:r>
        <w:rPr>
          <w:rFonts w:hint="eastAsia" w:ascii="宋体" w:hAnsi="宋体" w:eastAsia="宋体" w:cs="宋体"/>
          <w:color w:val="auto"/>
          <w:highlight w:val="none"/>
        </w:rPr>
        <w:t xml:space="preserve">           </w:t>
      </w:r>
      <w:r>
        <w:rPr>
          <w:rFonts w:hint="eastAsia" w:cs="宋体"/>
          <w:color w:val="auto"/>
          <w:highlight w:val="none"/>
          <w:lang w:val="en-US" w:eastAsia="zh-CN"/>
        </w:rPr>
        <w:t xml:space="preserve">     拟投入本项目车辆一览表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项目名称：                           项目编号：                       </w:t>
      </w:r>
    </w:p>
    <w:tbl>
      <w:tblPr>
        <w:tblStyle w:val="3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446"/>
        <w:gridCol w:w="1336"/>
        <w:gridCol w:w="1179"/>
        <w:gridCol w:w="1615"/>
        <w:gridCol w:w="1495"/>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0" w:type="dxa"/>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446" w:type="dxa"/>
            <w:vAlign w:val="center"/>
          </w:tcPr>
          <w:p>
            <w:pPr>
              <w:spacing w:line="360" w:lineRule="auto"/>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号牌号码</w:t>
            </w:r>
          </w:p>
        </w:tc>
        <w:tc>
          <w:tcPr>
            <w:tcW w:w="1336" w:type="dxa"/>
            <w:vAlign w:val="center"/>
          </w:tcPr>
          <w:p>
            <w:pPr>
              <w:spacing w:line="360" w:lineRule="auto"/>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车辆类型</w:t>
            </w:r>
          </w:p>
        </w:tc>
        <w:tc>
          <w:tcPr>
            <w:tcW w:w="1179" w:type="dxa"/>
            <w:vAlign w:val="center"/>
          </w:tcPr>
          <w:p>
            <w:pPr>
              <w:spacing w:line="360" w:lineRule="auto"/>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品牌型号</w:t>
            </w:r>
          </w:p>
        </w:tc>
        <w:tc>
          <w:tcPr>
            <w:tcW w:w="1615" w:type="dxa"/>
            <w:vAlign w:val="center"/>
          </w:tcPr>
          <w:p>
            <w:pPr>
              <w:spacing w:line="360" w:lineRule="auto"/>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车辆生产时间</w:t>
            </w:r>
          </w:p>
        </w:tc>
        <w:tc>
          <w:tcPr>
            <w:tcW w:w="1495" w:type="dxa"/>
            <w:vAlign w:val="center"/>
          </w:tcPr>
          <w:p>
            <w:pPr>
              <w:jc w:val="center"/>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车辆座位数量</w:t>
            </w:r>
          </w:p>
        </w:tc>
        <w:tc>
          <w:tcPr>
            <w:tcW w:w="1495" w:type="dxa"/>
            <w:vAlign w:val="center"/>
          </w:tcPr>
          <w:p>
            <w:pPr>
              <w:jc w:val="center"/>
              <w:rPr>
                <w:rFonts w:hint="default"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11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46" w:type="dxa"/>
            <w:vAlign w:val="center"/>
          </w:tcPr>
          <w:p>
            <w:pPr>
              <w:spacing w:line="360" w:lineRule="auto"/>
              <w:jc w:val="center"/>
              <w:rPr>
                <w:rFonts w:hint="eastAsia" w:ascii="宋体" w:hAnsi="宋体" w:eastAsia="宋体" w:cs="宋体"/>
                <w:color w:val="auto"/>
                <w:szCs w:val="21"/>
                <w:highlight w:val="none"/>
              </w:rPr>
            </w:pPr>
          </w:p>
        </w:tc>
        <w:tc>
          <w:tcPr>
            <w:tcW w:w="1336" w:type="dxa"/>
            <w:vAlign w:val="center"/>
          </w:tcPr>
          <w:p>
            <w:pPr>
              <w:spacing w:line="360" w:lineRule="auto"/>
              <w:jc w:val="center"/>
              <w:rPr>
                <w:rFonts w:hint="eastAsia" w:ascii="宋体" w:hAnsi="宋体" w:eastAsia="宋体" w:cs="宋体"/>
                <w:color w:val="auto"/>
                <w:szCs w:val="21"/>
                <w:highlight w:val="none"/>
              </w:rPr>
            </w:pPr>
          </w:p>
        </w:tc>
        <w:tc>
          <w:tcPr>
            <w:tcW w:w="1179" w:type="dxa"/>
            <w:vAlign w:val="center"/>
          </w:tcPr>
          <w:p>
            <w:pPr>
              <w:spacing w:line="360" w:lineRule="auto"/>
              <w:jc w:val="center"/>
              <w:rPr>
                <w:rFonts w:hint="eastAsia" w:ascii="宋体" w:hAnsi="宋体" w:eastAsia="宋体" w:cs="宋体"/>
                <w:color w:val="auto"/>
                <w:szCs w:val="21"/>
                <w:highlight w:val="none"/>
              </w:rPr>
            </w:pPr>
          </w:p>
        </w:tc>
        <w:tc>
          <w:tcPr>
            <w:tcW w:w="1615" w:type="dxa"/>
            <w:vAlign w:val="center"/>
          </w:tcPr>
          <w:p>
            <w:pPr>
              <w:spacing w:line="360" w:lineRule="auto"/>
              <w:jc w:val="center"/>
              <w:rPr>
                <w:rFonts w:hint="eastAsia" w:ascii="宋体" w:hAnsi="宋体" w:eastAsia="宋体" w:cs="宋体"/>
                <w:color w:val="auto"/>
                <w:szCs w:val="21"/>
                <w:highlight w:val="none"/>
              </w:rPr>
            </w:pPr>
          </w:p>
        </w:tc>
        <w:tc>
          <w:tcPr>
            <w:tcW w:w="1495" w:type="dxa"/>
            <w:vAlign w:val="center"/>
          </w:tcPr>
          <w:p>
            <w:pPr>
              <w:spacing w:line="360" w:lineRule="auto"/>
              <w:jc w:val="center"/>
              <w:rPr>
                <w:rFonts w:hint="eastAsia" w:ascii="宋体" w:hAnsi="宋体" w:eastAsia="宋体" w:cs="宋体"/>
                <w:color w:val="auto"/>
                <w:szCs w:val="21"/>
                <w:highlight w:val="none"/>
              </w:rPr>
            </w:pPr>
          </w:p>
        </w:tc>
        <w:tc>
          <w:tcPr>
            <w:tcW w:w="1495"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11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446" w:type="dxa"/>
            <w:vAlign w:val="center"/>
          </w:tcPr>
          <w:p>
            <w:pPr>
              <w:spacing w:line="360" w:lineRule="auto"/>
              <w:jc w:val="center"/>
              <w:rPr>
                <w:rFonts w:hint="eastAsia" w:ascii="宋体" w:hAnsi="宋体" w:eastAsia="宋体" w:cs="宋体"/>
                <w:color w:val="auto"/>
                <w:szCs w:val="21"/>
                <w:highlight w:val="none"/>
              </w:rPr>
            </w:pPr>
          </w:p>
        </w:tc>
        <w:tc>
          <w:tcPr>
            <w:tcW w:w="1336" w:type="dxa"/>
            <w:vAlign w:val="center"/>
          </w:tcPr>
          <w:p>
            <w:pPr>
              <w:spacing w:line="360" w:lineRule="auto"/>
              <w:jc w:val="center"/>
              <w:rPr>
                <w:rFonts w:hint="eastAsia" w:ascii="宋体" w:hAnsi="宋体" w:eastAsia="宋体" w:cs="宋体"/>
                <w:color w:val="auto"/>
                <w:szCs w:val="21"/>
                <w:highlight w:val="none"/>
              </w:rPr>
            </w:pPr>
          </w:p>
        </w:tc>
        <w:tc>
          <w:tcPr>
            <w:tcW w:w="1179" w:type="dxa"/>
            <w:vAlign w:val="center"/>
          </w:tcPr>
          <w:p>
            <w:pPr>
              <w:spacing w:line="360" w:lineRule="auto"/>
              <w:jc w:val="center"/>
              <w:rPr>
                <w:rFonts w:hint="eastAsia" w:ascii="宋体" w:hAnsi="宋体" w:eastAsia="宋体" w:cs="宋体"/>
                <w:color w:val="auto"/>
                <w:szCs w:val="21"/>
                <w:highlight w:val="none"/>
              </w:rPr>
            </w:pPr>
          </w:p>
        </w:tc>
        <w:tc>
          <w:tcPr>
            <w:tcW w:w="1615" w:type="dxa"/>
            <w:vAlign w:val="center"/>
          </w:tcPr>
          <w:p>
            <w:pPr>
              <w:spacing w:line="360" w:lineRule="auto"/>
              <w:jc w:val="center"/>
              <w:rPr>
                <w:rFonts w:hint="eastAsia" w:ascii="宋体" w:hAnsi="宋体" w:eastAsia="宋体" w:cs="宋体"/>
                <w:color w:val="auto"/>
                <w:szCs w:val="21"/>
                <w:highlight w:val="none"/>
              </w:rPr>
            </w:pPr>
          </w:p>
        </w:tc>
        <w:tc>
          <w:tcPr>
            <w:tcW w:w="1495" w:type="dxa"/>
            <w:vAlign w:val="center"/>
          </w:tcPr>
          <w:p>
            <w:pPr>
              <w:spacing w:line="360" w:lineRule="auto"/>
              <w:jc w:val="center"/>
              <w:rPr>
                <w:rFonts w:hint="eastAsia" w:ascii="宋体" w:hAnsi="宋体" w:eastAsia="宋体" w:cs="宋体"/>
                <w:color w:val="auto"/>
                <w:szCs w:val="21"/>
                <w:highlight w:val="none"/>
              </w:rPr>
            </w:pPr>
          </w:p>
        </w:tc>
        <w:tc>
          <w:tcPr>
            <w:tcW w:w="1495"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111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46" w:type="dxa"/>
            <w:vAlign w:val="center"/>
          </w:tcPr>
          <w:p>
            <w:pPr>
              <w:spacing w:line="360" w:lineRule="auto"/>
              <w:jc w:val="center"/>
              <w:rPr>
                <w:rFonts w:hint="eastAsia" w:ascii="宋体" w:hAnsi="宋体" w:eastAsia="宋体" w:cs="宋体"/>
                <w:color w:val="auto"/>
                <w:szCs w:val="21"/>
                <w:highlight w:val="none"/>
              </w:rPr>
            </w:pPr>
          </w:p>
        </w:tc>
        <w:tc>
          <w:tcPr>
            <w:tcW w:w="1336" w:type="dxa"/>
            <w:vAlign w:val="center"/>
          </w:tcPr>
          <w:p>
            <w:pPr>
              <w:spacing w:line="360" w:lineRule="auto"/>
              <w:jc w:val="center"/>
              <w:rPr>
                <w:rFonts w:hint="eastAsia" w:ascii="宋体" w:hAnsi="宋体" w:eastAsia="宋体" w:cs="宋体"/>
                <w:color w:val="auto"/>
                <w:szCs w:val="21"/>
                <w:highlight w:val="none"/>
              </w:rPr>
            </w:pPr>
          </w:p>
        </w:tc>
        <w:tc>
          <w:tcPr>
            <w:tcW w:w="1179" w:type="dxa"/>
            <w:vAlign w:val="center"/>
          </w:tcPr>
          <w:p>
            <w:pPr>
              <w:spacing w:line="360" w:lineRule="auto"/>
              <w:jc w:val="center"/>
              <w:rPr>
                <w:rFonts w:hint="eastAsia" w:ascii="宋体" w:hAnsi="宋体" w:eastAsia="宋体" w:cs="宋体"/>
                <w:color w:val="auto"/>
                <w:szCs w:val="21"/>
                <w:highlight w:val="none"/>
              </w:rPr>
            </w:pPr>
          </w:p>
        </w:tc>
        <w:tc>
          <w:tcPr>
            <w:tcW w:w="1615" w:type="dxa"/>
            <w:vAlign w:val="center"/>
          </w:tcPr>
          <w:p>
            <w:pPr>
              <w:spacing w:line="360" w:lineRule="auto"/>
              <w:jc w:val="center"/>
              <w:rPr>
                <w:rFonts w:hint="eastAsia" w:ascii="宋体" w:hAnsi="宋体" w:eastAsia="宋体" w:cs="宋体"/>
                <w:color w:val="auto"/>
                <w:szCs w:val="21"/>
                <w:highlight w:val="none"/>
              </w:rPr>
            </w:pPr>
          </w:p>
        </w:tc>
        <w:tc>
          <w:tcPr>
            <w:tcW w:w="1495" w:type="dxa"/>
            <w:vAlign w:val="center"/>
          </w:tcPr>
          <w:p>
            <w:pPr>
              <w:spacing w:line="360" w:lineRule="auto"/>
              <w:jc w:val="center"/>
              <w:rPr>
                <w:rFonts w:hint="eastAsia" w:ascii="宋体" w:hAnsi="宋体" w:eastAsia="宋体" w:cs="宋体"/>
                <w:color w:val="auto"/>
                <w:szCs w:val="21"/>
                <w:highlight w:val="none"/>
              </w:rPr>
            </w:pPr>
          </w:p>
        </w:tc>
        <w:tc>
          <w:tcPr>
            <w:tcW w:w="1495"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110"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小计</w:t>
            </w:r>
          </w:p>
        </w:tc>
        <w:tc>
          <w:tcPr>
            <w:tcW w:w="1446" w:type="dxa"/>
            <w:vAlign w:val="center"/>
          </w:tcPr>
          <w:p>
            <w:pPr>
              <w:spacing w:line="360" w:lineRule="auto"/>
              <w:jc w:val="center"/>
              <w:rPr>
                <w:rFonts w:hint="eastAsia" w:ascii="宋体" w:hAnsi="宋体" w:eastAsia="宋体" w:cs="宋体"/>
                <w:color w:val="auto"/>
                <w:szCs w:val="21"/>
                <w:highlight w:val="none"/>
              </w:rPr>
            </w:pPr>
          </w:p>
        </w:tc>
        <w:tc>
          <w:tcPr>
            <w:tcW w:w="1336" w:type="dxa"/>
            <w:vAlign w:val="center"/>
          </w:tcPr>
          <w:p>
            <w:pPr>
              <w:spacing w:line="360" w:lineRule="auto"/>
              <w:jc w:val="center"/>
              <w:rPr>
                <w:rFonts w:hint="eastAsia" w:ascii="宋体" w:hAnsi="宋体" w:eastAsia="宋体" w:cs="宋体"/>
                <w:color w:val="auto"/>
                <w:szCs w:val="21"/>
                <w:highlight w:val="none"/>
              </w:rPr>
            </w:pPr>
          </w:p>
        </w:tc>
        <w:tc>
          <w:tcPr>
            <w:tcW w:w="1179" w:type="dxa"/>
            <w:vAlign w:val="center"/>
          </w:tcPr>
          <w:p>
            <w:pPr>
              <w:spacing w:line="360" w:lineRule="auto"/>
              <w:jc w:val="center"/>
              <w:rPr>
                <w:rFonts w:hint="eastAsia" w:ascii="宋体" w:hAnsi="宋体" w:eastAsia="宋体" w:cs="宋体"/>
                <w:color w:val="auto"/>
                <w:szCs w:val="21"/>
                <w:highlight w:val="none"/>
              </w:rPr>
            </w:pPr>
          </w:p>
        </w:tc>
        <w:tc>
          <w:tcPr>
            <w:tcW w:w="1615" w:type="dxa"/>
            <w:vAlign w:val="center"/>
          </w:tcPr>
          <w:p>
            <w:pPr>
              <w:spacing w:line="360" w:lineRule="auto"/>
              <w:jc w:val="center"/>
              <w:rPr>
                <w:rFonts w:hint="eastAsia" w:ascii="宋体" w:hAnsi="宋体" w:eastAsia="宋体" w:cs="宋体"/>
                <w:color w:val="auto"/>
                <w:szCs w:val="21"/>
                <w:highlight w:val="none"/>
              </w:rPr>
            </w:pPr>
          </w:p>
        </w:tc>
        <w:tc>
          <w:tcPr>
            <w:tcW w:w="1495" w:type="dxa"/>
            <w:vAlign w:val="center"/>
          </w:tcPr>
          <w:p>
            <w:pPr>
              <w:spacing w:line="360" w:lineRule="auto"/>
              <w:jc w:val="center"/>
              <w:rPr>
                <w:rFonts w:hint="eastAsia" w:ascii="宋体" w:hAnsi="宋体" w:eastAsia="宋体" w:cs="宋体"/>
                <w:color w:val="auto"/>
                <w:szCs w:val="21"/>
                <w:highlight w:val="none"/>
              </w:rPr>
            </w:pPr>
          </w:p>
        </w:tc>
        <w:tc>
          <w:tcPr>
            <w:tcW w:w="1495" w:type="dxa"/>
            <w:vAlign w:val="center"/>
          </w:tcPr>
          <w:p>
            <w:pPr>
              <w:spacing w:line="360" w:lineRule="auto"/>
              <w:jc w:val="center"/>
              <w:rPr>
                <w:rFonts w:hint="eastAsia" w:ascii="宋体" w:hAnsi="宋体" w:eastAsia="宋体" w:cs="宋体"/>
                <w:color w:val="auto"/>
                <w:szCs w:val="21"/>
                <w:highlight w:val="none"/>
              </w:rPr>
            </w:pPr>
          </w:p>
        </w:tc>
      </w:tr>
    </w:tbl>
    <w:p>
      <w:pPr>
        <w:ind w:left="526" w:leftChars="150" w:hanging="211" w:hangingChars="1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r>
        <w:rPr>
          <w:rFonts w:hint="eastAsia" w:ascii="宋体" w:hAnsi="宋体" w:eastAsia="宋体" w:cs="宋体"/>
          <w:b/>
          <w:color w:val="auto"/>
          <w:szCs w:val="21"/>
          <w:highlight w:val="none"/>
          <w:lang w:eastAsia="zh-CN"/>
        </w:rPr>
        <w:t>供应商</w:t>
      </w:r>
      <w:r>
        <w:rPr>
          <w:rFonts w:hint="eastAsia" w:ascii="宋体" w:hAnsi="宋体" w:eastAsia="宋体" w:cs="宋体"/>
          <w:b/>
          <w:color w:val="auto"/>
          <w:szCs w:val="21"/>
          <w:highlight w:val="none"/>
        </w:rPr>
        <w:t>应提供相关证明附件。</w:t>
      </w:r>
    </w:p>
    <w:p>
      <w:pPr>
        <w:pStyle w:val="22"/>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 xml:space="preserve">全称（加盖公章）： </w:t>
      </w:r>
    </w:p>
    <w:p>
      <w:pPr>
        <w:spacing w:line="360" w:lineRule="auto"/>
        <w:rPr>
          <w:rFonts w:hint="eastAsia" w:ascii="宋体" w:hAnsi="宋体" w:eastAsia="宋体" w:cs="宋体"/>
          <w:bCs/>
          <w:color w:val="auto"/>
          <w:sz w:val="13"/>
          <w:szCs w:val="13"/>
          <w:highlight w:val="none"/>
        </w:rPr>
      </w:pPr>
      <w:r>
        <w:rPr>
          <w:rFonts w:hint="eastAsia" w:ascii="宋体" w:hAnsi="宋体" w:eastAsia="宋体" w:cs="宋体"/>
          <w:color w:val="auto"/>
          <w:highlight w:val="none"/>
        </w:rPr>
        <w:t>法定代表或其授权代表（签字）：                       日    期：     年   月   日</w:t>
      </w:r>
    </w:p>
    <w:p>
      <w:pPr>
        <w:rPr>
          <w:rFonts w:hint="eastAsia"/>
          <w:color w:val="auto"/>
          <w:highlight w:val="none"/>
        </w:rPr>
      </w:pPr>
    </w:p>
    <w:p>
      <w:pPr>
        <w:pStyle w:val="3"/>
        <w:spacing w:before="20" w:after="20" w:line="440" w:lineRule="exact"/>
        <w:rPr>
          <w:rFonts w:hint="eastAsia" w:ascii="宋体" w:hAnsi="宋体" w:eastAsia="宋体" w:cs="宋体"/>
          <w:color w:val="auto"/>
          <w:sz w:val="32"/>
          <w:szCs w:val="32"/>
          <w:highlight w:val="none"/>
        </w:rPr>
      </w:pPr>
      <w:r>
        <w:rPr>
          <w:rFonts w:hint="eastAsia" w:ascii="宋体" w:hAnsi="宋体" w:eastAsia="宋体" w:cs="宋体"/>
          <w:color w:val="auto"/>
          <w:highlight w:val="none"/>
        </w:rPr>
        <w:t>格式1</w:t>
      </w:r>
      <w:r>
        <w:rPr>
          <w:rFonts w:hint="eastAsia" w:cs="宋体"/>
          <w:color w:val="auto"/>
          <w:highlight w:val="none"/>
          <w:lang w:val="en-US" w:eastAsia="zh-CN"/>
        </w:rPr>
        <w:t>5</w:t>
      </w:r>
      <w:r>
        <w:rPr>
          <w:rFonts w:hint="eastAsia" w:ascii="宋体" w:hAnsi="宋体" w:eastAsia="宋体" w:cs="宋体"/>
          <w:color w:val="auto"/>
          <w:highlight w:val="none"/>
        </w:rPr>
        <w:t xml:space="preserve">           中小企业声明函（工程、服务）</w:t>
      </w:r>
    </w:p>
    <w:p>
      <w:pPr>
        <w:rPr>
          <w:rFonts w:hint="eastAsia" w:ascii="宋体" w:hAnsi="宋体" w:eastAsia="宋体" w:cs="宋体"/>
          <w:color w:val="auto"/>
          <w:highlight w:val="none"/>
        </w:rPr>
      </w:pP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中小企业声明函（承建本项目工程为中小企业或者承接本项目服务为中小企业时提交本函，所属行业应符合磋商文件中明确的本项目所属行业）</w:t>
      </w:r>
    </w:p>
    <w:p>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4"/>
          <w:highlight w:val="none"/>
        </w:rPr>
        <w:t>中小企业声明函（工程、服务）</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w:t>
      </w:r>
      <w:r>
        <w:rPr>
          <w:rFonts w:hint="eastAsia" w:ascii="宋体" w:hAnsi="宋体" w:eastAsia="宋体" w:cs="宋体"/>
          <w:color w:val="auto"/>
          <w:highlight w:val="none"/>
        </w:rPr>
        <w:tab/>
      </w:r>
      <w:r>
        <w:rPr>
          <w:rFonts w:hint="eastAsia" w:ascii="宋体" w:hAnsi="宋体" w:eastAsia="宋体" w:cs="宋体"/>
          <w:color w:val="auto"/>
          <w:highlight w:val="none"/>
        </w:rPr>
        <w:tab/>
      </w:r>
      <w:r>
        <w:rPr>
          <w:rFonts w:hint="eastAsia" w:ascii="宋体" w:hAnsi="宋体" w:eastAsia="宋体" w:cs="宋体"/>
          <w:color w:val="auto"/>
          <w:highlight w:val="none"/>
        </w:rPr>
        <w:t xml:space="preserve"> 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1.（标的名称），属于（磋商文件中明确的所属行业）行业；承建（承接）企业为（企业名称），从业人员__________________人，营业收入为__________________万元，资产总额为__________________万元</w:t>
      </w:r>
      <w:r>
        <w:rPr>
          <w:rFonts w:hint="eastAsia" w:ascii="宋体" w:hAnsi="宋体" w:eastAsia="宋体" w:cs="宋体"/>
          <w:color w:val="auto"/>
          <w:sz w:val="7"/>
          <w:highlight w:val="none"/>
        </w:rPr>
        <w:t>1</w:t>
      </w:r>
      <w:r>
        <w:rPr>
          <w:rFonts w:hint="eastAsia" w:ascii="宋体" w:hAnsi="宋体" w:eastAsia="宋体" w:cs="宋体"/>
          <w:color w:val="auto"/>
          <w:highlight w:val="none"/>
        </w:rPr>
        <w:t>，属于（中型企业、小型企业、微型企业）；</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2.（标的名称），属于（磋商文件中明确的所属行业）行业；承建（承接）企业为（企业名称），从业人员__________________人，营业收入为__________________万元，资产总额为__________________万元</w:t>
      </w:r>
      <w:r>
        <w:rPr>
          <w:rFonts w:hint="eastAsia" w:ascii="宋体" w:hAnsi="宋体" w:eastAsia="宋体" w:cs="宋体"/>
          <w:color w:val="auto"/>
          <w:sz w:val="7"/>
          <w:highlight w:val="none"/>
        </w:rPr>
        <w:t>1</w:t>
      </w:r>
      <w:r>
        <w:rPr>
          <w:rFonts w:hint="eastAsia" w:ascii="宋体" w:hAnsi="宋体" w:eastAsia="宋体" w:cs="宋体"/>
          <w:color w:val="auto"/>
          <w:highlight w:val="none"/>
        </w:rPr>
        <w:t>，属于（中型企业、小型企业、微型企业）；</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企业名称（盖章）：__________________</w:t>
      </w:r>
    </w:p>
    <w:p>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日  期：__________________</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1：从业人员、营业收入、资产总额填报上一年度数据，无上一年度数据的新成立企业可不填报。</w:t>
      </w:r>
    </w:p>
    <w:p>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2：供应商应当自行核实是否属于小微企业，并认真填写声明函，若有虚假将追究其责任。</w:t>
      </w:r>
    </w:p>
    <w:p>
      <w:pPr>
        <w:spacing w:line="360" w:lineRule="auto"/>
        <w:rPr>
          <w:rFonts w:hint="eastAsia" w:ascii="宋体" w:hAnsi="宋体" w:eastAsia="宋体" w:cs="宋体"/>
          <w:bCs/>
          <w:color w:val="auto"/>
          <w:sz w:val="13"/>
          <w:szCs w:val="13"/>
          <w:highlight w:val="none"/>
        </w:rPr>
      </w:pPr>
    </w:p>
    <w:p>
      <w:pPr>
        <w:spacing w:line="360" w:lineRule="auto"/>
        <w:rPr>
          <w:rFonts w:hint="eastAsia" w:ascii="宋体" w:hAnsi="宋体" w:eastAsia="宋体" w:cs="宋体"/>
          <w:bCs/>
          <w:color w:val="auto"/>
          <w:sz w:val="13"/>
          <w:szCs w:val="13"/>
          <w:highlight w:val="none"/>
        </w:rPr>
      </w:pPr>
    </w:p>
    <w:p>
      <w:pPr>
        <w:spacing w:line="360" w:lineRule="auto"/>
        <w:rPr>
          <w:rFonts w:hint="eastAsia" w:ascii="宋体" w:hAnsi="宋体" w:eastAsia="宋体" w:cs="宋体"/>
          <w:bCs/>
          <w:color w:val="auto"/>
          <w:sz w:val="13"/>
          <w:szCs w:val="13"/>
          <w:highlight w:val="none"/>
        </w:rPr>
      </w:pPr>
    </w:p>
    <w:p>
      <w:pPr>
        <w:spacing w:line="360" w:lineRule="auto"/>
        <w:rPr>
          <w:rFonts w:hint="eastAsia" w:ascii="宋体" w:hAnsi="宋体" w:eastAsia="宋体" w:cs="宋体"/>
          <w:bCs/>
          <w:color w:val="auto"/>
          <w:sz w:val="13"/>
          <w:szCs w:val="13"/>
          <w:highlight w:val="none"/>
        </w:rPr>
      </w:pPr>
    </w:p>
    <w:p>
      <w:pPr>
        <w:spacing w:line="360" w:lineRule="auto"/>
        <w:rPr>
          <w:rFonts w:hint="eastAsia" w:ascii="宋体" w:hAnsi="宋体" w:eastAsia="宋体" w:cs="宋体"/>
          <w:bCs/>
          <w:color w:val="auto"/>
          <w:sz w:val="13"/>
          <w:szCs w:val="13"/>
          <w:highlight w:val="none"/>
        </w:rPr>
      </w:pPr>
    </w:p>
    <w:p>
      <w:pPr>
        <w:spacing w:line="360" w:lineRule="auto"/>
        <w:rPr>
          <w:rFonts w:hint="eastAsia" w:ascii="宋体" w:hAnsi="宋体" w:eastAsia="宋体" w:cs="宋体"/>
          <w:bCs/>
          <w:color w:val="auto"/>
          <w:sz w:val="13"/>
          <w:szCs w:val="13"/>
          <w:highlight w:val="none"/>
        </w:rPr>
      </w:pPr>
    </w:p>
    <w:p>
      <w:pPr>
        <w:spacing w:line="360" w:lineRule="auto"/>
        <w:rPr>
          <w:rFonts w:hint="eastAsia" w:ascii="宋体" w:hAnsi="宋体" w:eastAsia="宋体" w:cs="宋体"/>
          <w:bCs/>
          <w:color w:val="auto"/>
          <w:sz w:val="13"/>
          <w:szCs w:val="13"/>
          <w:highlight w:val="none"/>
        </w:rPr>
      </w:pPr>
    </w:p>
    <w:p>
      <w:pPr>
        <w:spacing w:line="360" w:lineRule="auto"/>
        <w:rPr>
          <w:rFonts w:hint="eastAsia" w:ascii="宋体" w:hAnsi="宋体" w:eastAsia="宋体" w:cs="宋体"/>
          <w:bCs/>
          <w:color w:val="auto"/>
          <w:sz w:val="13"/>
          <w:szCs w:val="13"/>
          <w:highlight w:val="none"/>
        </w:rPr>
      </w:pPr>
    </w:p>
    <w:p>
      <w:pPr>
        <w:spacing w:line="360" w:lineRule="auto"/>
        <w:rPr>
          <w:rFonts w:hint="eastAsia" w:ascii="宋体" w:hAnsi="宋体" w:eastAsia="宋体" w:cs="宋体"/>
          <w:bCs/>
          <w:color w:val="auto"/>
          <w:sz w:val="13"/>
          <w:szCs w:val="13"/>
          <w:highlight w:val="none"/>
        </w:rPr>
      </w:pPr>
    </w:p>
    <w:p>
      <w:pPr>
        <w:spacing w:line="360" w:lineRule="auto"/>
        <w:rPr>
          <w:rFonts w:hint="eastAsia" w:ascii="宋体" w:hAnsi="宋体" w:eastAsia="宋体" w:cs="宋体"/>
          <w:bCs/>
          <w:color w:val="auto"/>
          <w:sz w:val="13"/>
          <w:szCs w:val="13"/>
          <w:highlight w:val="none"/>
        </w:rPr>
      </w:pPr>
    </w:p>
    <w:p>
      <w:pPr>
        <w:spacing w:line="360" w:lineRule="auto"/>
        <w:ind w:firstLine="7930" w:firstLineChars="6100"/>
        <w:rPr>
          <w:rFonts w:hint="eastAsia" w:ascii="宋体" w:hAnsi="宋体" w:eastAsia="宋体" w:cs="宋体"/>
          <w:color w:val="auto"/>
          <w:highlight w:val="none"/>
          <w:lang w:val="en-US" w:eastAsia="zh-CN"/>
        </w:rPr>
      </w:pPr>
      <w:r>
        <w:rPr>
          <w:rFonts w:hint="eastAsia" w:ascii="宋体" w:hAnsi="宋体" w:eastAsia="宋体" w:cs="宋体"/>
          <w:bCs/>
          <w:color w:val="auto"/>
          <w:sz w:val="13"/>
          <w:szCs w:val="13"/>
          <w:highlight w:val="none"/>
        </w:rPr>
        <w:t>版本号：QSZCFC201</w:t>
      </w:r>
      <w:r>
        <w:rPr>
          <w:rFonts w:hint="eastAsia" w:ascii="宋体" w:hAnsi="宋体" w:eastAsia="宋体" w:cs="宋体"/>
          <w:bCs/>
          <w:color w:val="auto"/>
          <w:sz w:val="13"/>
          <w:szCs w:val="13"/>
          <w:highlight w:val="none"/>
          <w:lang w:val="en-US" w:eastAsia="zh-CN"/>
        </w:rPr>
        <w:t>90930</w:t>
      </w:r>
    </w:p>
    <w:sectPr>
      <w:headerReference r:id="rId16" w:type="default"/>
      <w:footerReference r:id="rId17" w:type="default"/>
      <w:type w:val="continuous"/>
      <w:pgSz w:w="11906" w:h="16838"/>
      <w:pgMar w:top="1191" w:right="1191" w:bottom="1191" w:left="1247" w:header="73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0" w:firstLineChars="1000"/>
      <w:rPr>
        <w:rFonts w:hint="eastAsia"/>
      </w:rPr>
    </w:pP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-172720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6pt;height:0pt;width:0.05pt;z-index:251659264;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B4327X8AEAAOADAAAOAAAAZHJzL2Uyb0RvYy54bWytU72OEzEQ7pF4&#10;B8s92SToTrDK5ooLR4MgEvAAE9u7a8l/8jjZ5CV4ASQ6qCjpeRvuHoOxN5eDo0nBFt7xePzNfN+M&#10;F1d7a9hORdTeNXw2mXKmnPBSu67hHz/cPHvBGSZwEox3quEHhfxq+fTJYgi1mvveG6kiIxCH9RAa&#10;3qcU6qpC0SsLOPFBOTpsfbSQaBu7SkYYCN2aaj6dXlaDjzJELxQieVfjIT8ixnMAfdtqoVZebK1y&#10;aUSNykAiStjrgHxZqm1bJdK7tkWVmGk4MU1lpSRkb/JaLRdQdxFCr8WxBDinhEecLGhHSU9QK0jA&#10;tlH/A2W1iB59mybC22okUhQhFrPpI23e9xBU4UJSYziJjv8PVrzdrSPTkiaBMweWGn77+cevT1/v&#10;fn6h9fb7NzbLIg0Ba4q9dut43GFYx8x430ab/8SF7Yuwh5Owap+YIOfl8wvOxL2/ergUIqbXyluW&#10;jYYb7TJfqGH3BhMlotD7kOw2jg0Nf3kxz3BAw9dS08m0gQig68pd9EbLG21MvoGx21ybyHaQB6B8&#10;mQ7h/hWWk6wA+zGuHI2j0SuQr5xk6RBIGkcvgucSrJKcGUUPKFsECHUCbc6JpNTGUQVZ0VHDbG28&#10;PFAjtiHqricliuglhhpf6j0OaZ6sP/cF6eFh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F7x&#10;jNEAAAAFAQAADwAAAAAAAAABACAAAAAiAAAAZHJzL2Rvd25yZXYueG1sUEsBAhQAFAAAAAgAh07i&#10;QHjfbtfwAQAA4AMAAA4AAAAAAAAAAQAgAAAAIAEAAGRycy9lMm9Eb2MueG1sUEsFBgAAAAAGAAYA&#10;WQEAAIIFAAAAAA==&#10;">
              <v:fill on="f" focussize="0,0"/>
              <v:stroke color="#000000" joinstyle="round"/>
              <v:imagedata o:title=""/>
              <o:lock v:ext="edit" aspectratio="f"/>
            </v:lin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0" w:firstLineChars="1000"/>
      <w:rPr>
        <w:rFonts w:hint="eastAsia"/>
      </w:rPr>
    </w:pP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-172720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6pt;height:0pt;width:0.05pt;z-index:251659264;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CY+MXw8gEAAOADAAAOAAAAZHJzL2Uyb0RvYy54bWytU81uEzEQviPx&#10;DpbvZJPQVrDKpoeGckEQCXiAie3dteQ/eZxs8hK8ABI3OHHkztu0PAZjb9pCueTAHrzj8fib+b4Z&#10;Ly731rCdiqi9a/hsMuVMOeGldl3DP364fvaCM0zgJBjvVMMPCvnl8umTxRBqNfe9N1JFRiAO6yE0&#10;vE8p1FWFolcWcOKDcnTY+mgh0TZ2lYwwELo11Xw6vagGH2WIXihE8q7GQ35EjKcA+rbVQq282Frl&#10;0ogalYFElLDXAfmyVNu2SqR3bYsqMdNwYprKSknI3uS1Wi6g7iKEXotjCXBKCY84WdCOkt5DrSAB&#10;20b9D5TVInr0bZoIb6uRSFGEWMymj7R530NQhQtJjeFedPx/sOLtbh2Zlg0/48yBpYbffv5x8+nr&#10;r59faL39/o2dZZGGgDXFXrl1PO4wrGNmvG+jzX/iwvZF2MO9sGqfmCDnxfNzzsSdv3q4FCKm18pb&#10;lo2GG+0yX6hh9wYTJaLQu5DsNo4NDX95Ps9wQMPXUtPJtIEIoOvKXfRGy2ttTL6Bsdtcmch2kAeg&#10;fJkO4f4VlpOsAPsxrhyNo9ErkK+cZOkQSBpHL4LnEqySnBlFDyhbBAh1Am1OiaTUxlEFWdFRw2xt&#10;vDxQI7Yh6q4nJWalynxCjS/1Hoc0T9af+4L08DC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XvGM0QAAAAUBAAAPAAAAAAAAAAEAIAAAACIAAABkcnMvZG93bnJldi54bWxQSwECFAAUAAAACACH&#10;TuJAmPjF8PIBAADgAwAADgAAAAAAAAABACAAAAAgAQAAZHJzL2Uyb0RvYy54bWxQSwUGAAAAAAYA&#10;BgBZAQAAhAUAAAAA&#10;">
              <v:fill on="f" focussize="0,0"/>
              <v:stroke color="#000000" joinstyle="round"/>
              <v:imagedata o:title=""/>
              <o:lock v:ext="edit" aspectratio="f"/>
            </v:line>
          </w:pict>
        </mc:Fallback>
      </mc:AlternateContent>
    </w:r>
    <w:r>
      <w:rPr>
        <w:rFonts w:hint="eastAsia"/>
      </w:rPr>
      <w:t xml:space="preserve">                                                   广州群生招标代理有限公司  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0" w:firstLineChars="1000"/>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-172720</wp:posOffset>
              </wp:positionV>
              <wp:extent cx="63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6pt;height:0pt;width:0.05pt;z-index:251662336;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DYPQjK8QEAAOADAAAOAAAAZHJzL2Uyb0RvYy54bWytU72OEzEQ7pF4&#10;B8s92SToTrDK5ooLR4MgEvAAE9u7a8l/8jjZ5CV4ASQ6qCjpeRvuHoOxN5eDo0nBFt7xePzNfN+M&#10;F1d7a9hORdTeNXw2mXKmnPBSu67hHz/cPHvBGSZwEox3quEHhfxq+fTJYgi1mvveG6kiIxCH9RAa&#10;3qcU6qpC0SsLOPFBOTpsfbSQaBu7SkYYCN2aaj6dXlaDjzJELxQieVfjIT8ixnMAfdtqoVZebK1y&#10;aUSNykAiStjrgHxZqm1bJdK7tkWVmGk4MU1lpSRkb/JaLRdQdxFCr8WxBDinhEecLGhHSU9QK0jA&#10;tlH/A2W1iB59mybC22okUhQhFrPpI23e9xBU4UJSYziJjv8PVrzdrSPTsuFzzhxYavjt5x+/Pn29&#10;+/mF1tvv39g8izQErCn22q3jcYdhHTPjfRtt/hMXti/CHk7Cqn1igpyXzy84E/f+6uFSiJheK29Z&#10;NhputMt8oYbdG0yUiELvQ7LbODY0/OXFPMMBDV9LTSfTBiKArit30Rstb7Qx+QbGbnNtIttBHoDy&#10;ZTqE+1dYTrIC7Me4cjSORq9AvnKSpUMgaRy9CJ5LsEpyZhQ9oGwRINQJtDknklIbRxVkRUcNs7Xx&#10;8kCN2Iaou56UmJUq8wk1vtR7HNI8WX/uC9LDw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Be&#10;8YzRAAAABQEAAA8AAAAAAAAAAQAgAAAAIgAAAGRycy9kb3ducmV2LnhtbFBLAQIUABQAAAAIAIdO&#10;4kDYPQjK8QEAAOADAAAOAAAAAAAAAAEAIAAAACABAABkcnMvZTJvRG9jLnhtbFBLBQYAAAAABgAG&#10;AFkBAACDBQAAAAA=&#10;">
              <v:fill on="f" focussize="0,0"/>
              <v:stroke color="#000000" joinstyle="round"/>
              <v:imagedata o:title=""/>
              <o:lock v:ext="edit" aspectratio="f"/>
            </v:line>
          </w:pict>
        </mc:Fallback>
      </mc:AlternateContent>
    </w:r>
    <w:r>
      <w:rPr>
        <w:rFonts w:hint="eastAsia"/>
      </w:rPr>
      <w:t xml:space="preserve">                                                   广州群生招标代理有限公司  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0" w:firstLineChars="1000"/>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-172720</wp:posOffset>
              </wp:positionV>
              <wp:extent cx="6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6pt;height:0pt;width:0.05pt;z-index:251659264;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BYRIHm8QEAAOADAAAOAAAAZHJzL2Uyb0RvYy54bWytU72OEzEQ7pF4&#10;B8s92SToIlhlc8WFo0FwEvAAE9u7a8l/8jjZ5CV4ASQ6qCjpeRvuHoOxN5eDo0nBFt7xePzNfN+M&#10;l5d7a9hORdTeNXw2mXKmnPBSu67hHz9cP3vBGSZwEox3quEHhfxy9fTJcgi1mvveG6kiIxCH9RAa&#10;3qcU6qpC0SsLOPFBOTpsfbSQaBu7SkYYCN2aaj6dLqrBRxmiFwqRvOvxkB8R4zmAvm21UGsvtla5&#10;NKJGZSARJex1QL4q1batEuld26JKzDScmKayUhKyN3mtVkuouwih1+JYApxTwiNOFrSjpCeoNSRg&#10;26j/gbJaRI++TRPhbTUSKYoQi9n0kTbvewiqcCGpMZxEx/8HK97ubiLTsuELzhxYavjt5x+/Pn29&#10;+/mF1tvv39giizQErCn2yt3E4w7DTcyM9220+U9c2L4IezgJq/aJCXIunl9wJu791cOlEDG9Vt6y&#10;bDTcaJf5Qg27N5goEYXeh2S3cWxo+MuLeYYDGr6Wmk6mDUQAXVfuojdaXmtj8g2M3ebKRLaDPADl&#10;y3QI96+wnGQN2I9x5WgcjV6BfOUkS4dA0jh6ETyXYJXkzCh6QNkiQKgTaHNOJKU2jirIio4aZmvj&#10;5YEasQ1Rdz0pMStV5hNqfKn3OKR5sv7cF6SHh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Be&#10;8YzRAAAABQEAAA8AAAAAAAAAAQAgAAAAIgAAAGRycy9kb3ducmV2LnhtbFBLAQIUABQAAAAIAIdO&#10;4kBYRIHm8QEAAOADAAAOAAAAAAAAAAEAIAAAACABAABkcnMvZTJvRG9jLnhtbFBLBQYAAAAABgAG&#10;AFkBAACDBQAAAAA=&#10;">
              <v:fill on="f" focussize="0,0"/>
              <v:stroke color="#000000" joinstyle="round"/>
              <v:imagedata o:title=""/>
              <o:lock v:ext="edit" aspectratio="f"/>
            </v:line>
          </w:pict>
        </mc:Fallback>
      </mc:AlternateContent>
    </w:r>
    <w:r>
      <w:rPr>
        <w:rFonts w:hint="eastAsia"/>
      </w:rPr>
      <w:t xml:space="preserve">                                                   广州群生招标代理有限公司  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0" w:firstLineChars="1000"/>
      <w:rPr>
        <w:rFonts w:hint="eastAsi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11</w:t>
                    </w:r>
                    <w:r>
                      <w:fldChar w:fldCharType="end"/>
                    </w:r>
                  </w:p>
                </w:txbxContent>
              </v:textbox>
            </v:shape>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-172720</wp:posOffset>
              </wp:positionV>
              <wp:extent cx="63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6pt;height:0pt;width:0.05pt;z-index:251659264;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AYcl6F8QEAAOADAAAOAAAAZHJzL2Uyb0RvYy54bWytU72OEzEQ7pF4&#10;B8s92SToTscqmysuHA2CSMADTGzvriX/yeNkk5fgBZDooKKk5204HoOxN5eDo0nBFt7xePzNfN+M&#10;F9d7a9hORdTeNXw2mXKmnPBSu67hH97fPrviDBM4CcY71fCDQn69fPpkMYRazX3vjVSREYjDeggN&#10;71MKdVWh6JUFnPigHB22PlpItI1dJSMMhG5NNZ9OL6vBRxmiFwqRvKvxkB8R4zmAvm21UCsvtla5&#10;NKJGZSARJex1QL4s1batEult26JKzDScmKayUhKyN3mtlguouwih1+JYApxTwiNOFrSjpCeoFSRg&#10;26j/gbJaRI++TRPhbTUSKYoQi9n0kTbvegiqcCGpMZxEx/8HK97s1pFp2XBquwNLDb/79P3nxy+/&#10;fnym9e7bV3aVRRoC1hR749bxuMOwjpnxvo02/4kL2xdhDydh1T4xQc7L5xeciXt/9XApREyvlLcs&#10;Gw032mW+UMPuNSZKRKH3IdltHBsa/uJinuGAhq+lppNpAxFA15W76I2Wt9qYfANjt7kxke0gD0D5&#10;Mh3C/SssJ1kB9mNcORpHo1cgXzrJ0iGQNI5eBM8lWCU5M4oeULYIEOoE2pwTSamNowqyoqOG2dp4&#10;eaBGbEPUXU9KzEqV+YQaX+o9DmmerD/3BenhYS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Be&#10;8YzRAAAABQEAAA8AAAAAAAAAAQAgAAAAIgAAAGRycy9kb3ducmV2LnhtbFBLAQIUABQAAAAIAIdO&#10;4kAYcl6F8QEAAOADAAAOAAAAAAAAAAEAIAAAACABAABkcnMvZTJvRG9jLnhtbFBLBQYAAAAABgAG&#10;AFkBAACDBQAAAAA=&#10;">
              <v:fill on="f" focussize="0,0"/>
              <v:stroke color="#000000" joinstyle="round"/>
              <v:imagedata o:title=""/>
              <o:lock v:ext="edit" aspectratio="f"/>
            </v:line>
          </w:pict>
        </mc:Fallback>
      </mc:AlternateContent>
    </w:r>
    <w:r>
      <w:rPr>
        <w:rFonts w:hint="eastAsia"/>
      </w:rPr>
      <w:t xml:space="preserve">                                                   广州群生招标代理有限公司  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0" w:firstLineChars="1000"/>
      <w:rPr>
        <w:rFonts w:hint="eastAsi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16</w:t>
                    </w:r>
                    <w:r>
                      <w:fldChar w:fldCharType="end"/>
                    </w:r>
                  </w:p>
                </w:txbxContent>
              </v:textbox>
            </v:shape>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-172720</wp:posOffset>
              </wp:positionV>
              <wp:extent cx="63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6pt;height:0pt;width:0.05pt;z-index:251659264;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B4LHyO8AEAAOADAAAOAAAAZHJzL2Uyb0RvYy54bWytU72OEzEQ7pF4&#10;B8s92SToTtwqmysuHA2CSMADTGzvriX/yeNkk5fgBZDooKKk5204HoOxN5eDo0nBFt7xePzNfN+M&#10;F9d7a9hORdTeNXw2mXKmnPBSu67hH97fPnvBGSZwEox3quEHhfx6+fTJYgi1mvveG6kiIxCH9RAa&#10;3qcU6qpC0SsLOPFBOTpsfbSQaBu7SkYYCN2aaj6dXlaDjzJELxQieVfjIT8ixnMAfdtqoVZebK1y&#10;aUSNykAiStjrgHxZqm1bJdLbtkWVmGk4MU1lpSRkb/JaLRdQdxFCr8WxBDinhEecLGhHSU9QK0jA&#10;tlH/A2W1iB59mybC22okUhQhFrPpI23e9RBU4UJSYziJjv8PVrzZrSPTsuFXnDmw1PC7T99/fvzy&#10;68dnWu++fWVXWaQhYE2xN24djzsM65gZ79to85+4sH0R9nASVu0TE+S8fH7Bmbj3Vw+XQsT0SnnL&#10;stFwo13mCzXsXmOiRBR6H5LdxrGBKr2YZzig4Wup6WTaQATQdeUueqPlrTYm38DYbW5MZDvIA1C+&#10;TIdw/wrLSVaA/RhXjsbR6BXIl06ydAgkjaMXwXMJVknOjKIHlC0ChDqBNudEUmrjqIKs6KhhtjZe&#10;HqgR2xB115MSs1JlPqHGl3qPQ5on6899QXp4mM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F7x&#10;jNEAAAAFAQAADwAAAAAAAAABACAAAAAiAAAAZHJzL2Rvd25yZXYueG1sUEsBAhQAFAAAAAgAh07i&#10;QHgsfI7wAQAA4AMAAA4AAAAAAAAAAQAgAAAAIAEAAGRycy9lMm9Eb2MueG1sUEsFBgAAAAAGAAYA&#10;WQEAAIIFAAAAAA==&#10;">
              <v:fill on="f" focussize="0,0"/>
              <v:stroke color="#000000" joinstyle="round"/>
              <v:imagedata o:title=""/>
              <o:lock v:ext="edit" aspectratio="f"/>
            </v:line>
          </w:pict>
        </mc:Fallback>
      </mc:AlternateContent>
    </w:r>
    <w:r>
      <w:rPr>
        <w:rFonts w:hint="eastAsia"/>
      </w:rPr>
      <w:t xml:space="preserve">                                                   广州群生招标代理有限公司  编制</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0" w:firstLineChars="1000"/>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22</w:t>
                    </w:r>
                    <w:r>
                      <w:fldChar w:fldCharType="end"/>
                    </w:r>
                  </w:p>
                </w:txbxContent>
              </v:textbox>
            </v:shape>
          </w:pict>
        </mc:Fallback>
      </mc:AlternateContent>
    </w: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-172720</wp:posOffset>
              </wp:positionV>
              <wp:extent cx="63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3.6pt;height:0pt;width:0.05pt;z-index:251659264;mso-width-relative:page;mso-height-relative:page;" filled="f" stroked="t" coordsize="21600,21600" o:allowincell="f" o:gfxdata="UEsDBAoAAAAAAIdO4kAAAAAAAAAAAAAAAAAEAAAAZHJzL1BLAwQUAAAACACHTuJAQF7xjNEAAAAF&#10;AQAADwAAAGRycy9kb3ducmV2LnhtbE2PzU7DMBCE70i8g7VIXKrWbioBCtn00JIbFwqI6zZekoh4&#10;ncbuDzx9DUKC42hGM98Uy5Pr1YHH0HlBmM8MKJba204ahJfnanoHKkQSS70XRvjkAMvy8qKg3Pqj&#10;PPFhExuVSiTkhNDGOORah7plR2HmB5bkvfvRUUxybLQd6ZjKXa8zY260o07SQksDr1quPzZ7hxCq&#10;V95VX5N6Yt4Wjedst358IMTrq7m5BxX5FP/C8I2f0KFMTFu/FxtUj5CORIRpdpuB+rHV9lfqstD/&#10;6cszUEsDBBQAAAAIAIdO4kCv0Zsd8QEAAOIDAAAOAAAAZHJzL2Uyb0RvYy54bWytU72OEzEQ7pF4&#10;B8s92SToTrDK5ooLR4MgEvAAE9u7a8l/8jjZ5CV4ASQ6qCjpeRvuHoOxN5eDo0nBFt7xePzNfN+M&#10;F1d7a9hORdTeNXw2mXKmnPBSu67hHz/cPHvBGSZwEox3quEHhfxq+fTJYgi1mvveG6kiIxCH9RAa&#10;3qcU6qpC0SsLOPFBOTpsfbSQaBu7SkYYCN2aaj6dXlaDjzJELxQieVfjIT8ixnMAfdtqoVZebK1y&#10;aUSNykAiStjrgHxZqm1bJdK7tkWVmGk4MU1lpSRkb/JaLRdQdxFCr8WxBDinhEecLGhHSU9QK0jA&#10;tlH/A2W1iB59mybC22okUhQhFrPpI23e9xBU4UJSYziJjv8PVrzdrSPTkiZhxpkDSx2//fzj16ev&#10;dz+/0Hr7/RujE5JpCFhT9LVbx+MOwzpmzvs22vwnNmxfpD2cpFX7xAQ5L59fcCbu/dXDpRAxvVbe&#10;smw03GiXGUMNuzeYKBGF3odkt3FsaPjLi3mGAxq/ltpOpg1EAV1X7qI3Wt5oY/INjN3m2kS2gzwC&#10;5ct0CPevsJxkBdiPceVoHI5egXzlJEuHQNo4ehM8l2CV5MwoekLZIkCoE2hzTiSlNo4qyIqOGmZr&#10;4+WBWrENUXc9KVFELzHU+lLvcUzzbP25L0gPT3P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Be&#10;8YzRAAAABQEAAA8AAAAAAAAAAQAgAAAAIgAAAGRycy9kb3ducmV2LnhtbFBLAQIUABQAAAAIAIdO&#10;4kCv0Zsd8QEAAOIDAAAOAAAAAAAAAAEAIAAAACABAABkcnMvZTJvRG9jLnhtbFBLBQYAAAAABgAG&#10;AFkBAACDBQAAAAA=&#10;">
              <v:fill on="f" focussize="0,0"/>
              <v:stroke color="#000000" joinstyle="round"/>
              <v:imagedata o:title=""/>
              <o:lock v:ext="edit" aspectratio="f"/>
            </v:line>
          </w:pict>
        </mc:Fallback>
      </mc:AlternateContent>
    </w:r>
    <w:r>
      <w:rPr>
        <w:rFonts w:hint="eastAsia"/>
      </w:rPr>
      <w:t xml:space="preserve">                                                   广州群生招标代理有限公司  编制</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ind w:firstLine="1530" w:firstLineChars="850"/>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5"/>
                    </w:pPr>
                  </w:p>
                  <w:p/>
                </w:txbxContent>
              </v:textbox>
            </v:shape>
          </w:pict>
        </mc:Fallback>
      </mc:AlternateConten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广州</w:t>
    </w:r>
    <w:r>
      <w:rPr>
        <w:rFonts w:hint="eastAsia"/>
      </w:rPr>
      <w:t>群生</w:t>
    </w:r>
    <w:r>
      <w:t>招标代理有限公司编制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thinThickLargeGap" w:color="auto" w:sz="6" w:space="1"/>
      </w:pBdr>
      <w:tabs>
        <w:tab w:val="center" w:pos="4153"/>
        <w:tab w:val="right" w:pos="8306"/>
      </w:tabs>
      <w:snapToGrid w:val="0"/>
    </w:pPr>
    <w:r>
      <w:rPr>
        <w:rFonts w:hint="eastAsia" w:ascii="黑体" w:eastAsia="黑体" w:cs="黑体"/>
        <w:b/>
        <w:sz w:val="76"/>
        <w:szCs w:val="76"/>
        <w14:shadow w14:blurRad="50800" w14:dist="38100" w14:dir="2700000" w14:sx="100000" w14:sy="100000" w14:kx="0" w14:ky="0" w14:algn="tl">
          <w14:srgbClr w14:val="000000">
            <w14:alpha w14:val="60000"/>
          </w14:srgbClr>
        </w14:shadow>
      </w:rPr>
      <w:drawing>
        <wp:inline distT="0" distB="0" distL="0" distR="0">
          <wp:extent cx="352425" cy="466725"/>
          <wp:effectExtent l="0" t="0" r="9525" b="9525"/>
          <wp:docPr id="7" name="Picture 15" descr="群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5" descr="群生"/>
                  <pic:cNvPicPr>
                    <a:picLocks noChangeAspect="1" noChangeArrowheads="1"/>
                  </pic:cNvPicPr>
                </pic:nvPicPr>
                <pic:blipFill>
                  <a:blip r:embed="rId1"/>
                  <a:srcRect/>
                  <a:stretch>
                    <a:fillRect/>
                  </a:stretch>
                </pic:blipFill>
                <pic:spPr>
                  <a:xfrm>
                    <a:off x="0" y="0"/>
                    <a:ext cx="352425" cy="466725"/>
                  </a:xfrm>
                  <a:prstGeom prst="rect">
                    <a:avLst/>
                  </a:prstGeom>
                  <a:noFill/>
                  <a:ln w="9525">
                    <a:noFill/>
                    <a:miter lim="800000"/>
                    <a:headEnd/>
                    <a:tailEnd/>
                  </a:ln>
                </pic:spPr>
              </pic:pic>
            </a:graphicData>
          </a:graphic>
        </wp:inline>
      </w:drawing>
    </w:r>
    <w:r>
      <w:rPr>
        <w:rFonts w:hint="eastAsia" w:eastAsia="黑体" w:cs="黑体"/>
        <w:sz w:val="18"/>
        <w:szCs w:val="18"/>
      </w:rPr>
      <w:t>广州群生招标代理有限公司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1"/>
      </w:pBdr>
      <w:tabs>
        <w:tab w:val="center" w:pos="4153"/>
        <w:tab w:val="right" w:pos="8306"/>
      </w:tabs>
      <w:snapToGri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1"/>
      </w:pBdr>
      <w:tabs>
        <w:tab w:val="center" w:pos="4153"/>
        <w:tab w:val="right" w:pos="8306"/>
      </w:tabs>
      <w:snapToGrid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1"/>
      </w:pBdr>
      <w:tabs>
        <w:tab w:val="center" w:pos="4153"/>
        <w:tab w:val="right" w:pos="8306"/>
      </w:tabs>
      <w:snapToGrid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1"/>
      </w:pBdr>
      <w:tabs>
        <w:tab w:val="center" w:pos="4153"/>
        <w:tab w:val="right" w:pos="8306"/>
      </w:tabs>
      <w:snapToGrid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1"/>
      </w:pBdr>
      <w:tabs>
        <w:tab w:val="center" w:pos="4153"/>
        <w:tab w:val="right" w:pos="8306"/>
      </w:tabs>
      <w:snapToGrid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auto" w:sz="12"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2B72A"/>
    <w:multiLevelType w:val="singleLevel"/>
    <w:tmpl w:val="83D2B72A"/>
    <w:lvl w:ilvl="0" w:tentative="0">
      <w:start w:val="1"/>
      <w:numFmt w:val="decimal"/>
      <w:lvlText w:val="%1."/>
      <w:lvlJc w:val="left"/>
      <w:pPr>
        <w:tabs>
          <w:tab w:val="left" w:pos="312"/>
        </w:tabs>
      </w:pPr>
    </w:lvl>
  </w:abstractNum>
  <w:abstractNum w:abstractNumId="1">
    <w:nsid w:val="FD572728"/>
    <w:multiLevelType w:val="singleLevel"/>
    <w:tmpl w:val="FD572728"/>
    <w:lvl w:ilvl="0" w:tentative="0">
      <w:start w:val="1"/>
      <w:numFmt w:val="decimal"/>
      <w:suff w:val="space"/>
      <w:lvlText w:val="%1."/>
      <w:lvlJc w:val="left"/>
    </w:lvl>
  </w:abstractNum>
  <w:abstractNum w:abstractNumId="2">
    <w:nsid w:val="20EE73D2"/>
    <w:multiLevelType w:val="multilevel"/>
    <w:tmpl w:val="20EE73D2"/>
    <w:lvl w:ilvl="0" w:tentative="0">
      <w:start w:val="1"/>
      <w:numFmt w:val="decimal"/>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22AE30C3"/>
    <w:multiLevelType w:val="multilevel"/>
    <w:tmpl w:val="22AE30C3"/>
    <w:lvl w:ilvl="0" w:tentative="0">
      <w:start w:val="1"/>
      <w:numFmt w:val="decimal"/>
      <w:lvlText w:val="%1."/>
      <w:lvlJc w:val="left"/>
      <w:pPr>
        <w:tabs>
          <w:tab w:val="left" w:pos="425"/>
        </w:tabs>
        <w:ind w:left="425" w:hanging="425"/>
      </w:pPr>
      <w:rPr>
        <w:rFonts w:hint="eastAsia"/>
        <w:b/>
        <w:i w:val="0"/>
        <w:sz w:val="21"/>
        <w:szCs w:val="21"/>
      </w:rPr>
    </w:lvl>
    <w:lvl w:ilvl="1" w:tentative="0">
      <w:start w:val="1"/>
      <w:numFmt w:val="decimal"/>
      <w:lvlText w:val="%1.%2."/>
      <w:lvlJc w:val="left"/>
      <w:pPr>
        <w:tabs>
          <w:tab w:val="left" w:pos="567"/>
        </w:tabs>
        <w:ind w:left="567" w:hanging="567"/>
      </w:pPr>
      <w:rPr>
        <w:rFonts w:hint="eastAsia" w:ascii="宋体" w:hAnsi="宋体" w:eastAsia="宋体"/>
        <w:b/>
        <w:i w:val="0"/>
        <w:sz w:val="21"/>
        <w:szCs w:val="21"/>
      </w:rPr>
    </w:lvl>
    <w:lvl w:ilvl="2" w:tentative="0">
      <w:start w:val="1"/>
      <w:numFmt w:val="decimal"/>
      <w:lvlText w:val="%1.%2.%3."/>
      <w:lvlJc w:val="left"/>
      <w:pPr>
        <w:tabs>
          <w:tab w:val="left" w:pos="624"/>
        </w:tabs>
        <w:ind w:left="624" w:hanging="624"/>
      </w:pPr>
      <w:rPr>
        <w:rFonts w:hint="eastAsia" w:ascii="宋体" w:eastAsia="宋体"/>
        <w:b w:val="0"/>
        <w:i w:val="0"/>
        <w:color w:val="auto"/>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320366CC"/>
    <w:multiLevelType w:val="multilevel"/>
    <w:tmpl w:val="320366CC"/>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DE2FA0"/>
    <w:multiLevelType w:val="singleLevel"/>
    <w:tmpl w:val="58DE2FA0"/>
    <w:lvl w:ilvl="0" w:tentative="0">
      <w:start w:val="2"/>
      <w:numFmt w:val="chineseCounting"/>
      <w:suff w:val="nothing"/>
      <w:lvlText w:val="%1、"/>
      <w:lvlJc w:val="left"/>
    </w:lvl>
  </w:abstractNum>
  <w:abstractNum w:abstractNumId="6">
    <w:nsid w:val="6CFF587A"/>
    <w:multiLevelType w:val="singleLevel"/>
    <w:tmpl w:val="6CFF587A"/>
    <w:lvl w:ilvl="0" w:tentative="0">
      <w:start w:val="1"/>
      <w:numFmt w:val="decimal"/>
      <w:lvlText w:val="%1."/>
      <w:lvlJc w:val="left"/>
      <w:pPr>
        <w:tabs>
          <w:tab w:val="left" w:pos="312"/>
        </w:tabs>
      </w:pPr>
    </w:lvl>
  </w:abstractNum>
  <w:num w:numId="1">
    <w:abstractNumId w:val="4"/>
  </w:num>
  <w:num w:numId="2">
    <w:abstractNumId w:val="3"/>
  </w:num>
  <w:num w:numId="3">
    <w:abstractNumId w:val="0"/>
  </w:num>
  <w:num w:numId="4">
    <w:abstractNumId w:val="1"/>
  </w:num>
  <w:num w:numId="5">
    <w:abstractNumId w:val="6"/>
  </w:num>
  <w:num w:numId="6">
    <w:abstractNumId w:val="5"/>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ZWVjYzIzMTFkZDkwNmE2MGNlNWMzMjQxODMwYjAifQ=="/>
    <w:docVar w:name="KSO_WPS_MARK_KEY" w:val="13607c77-5997-4cf2-ba8c-4de8261688f5"/>
  </w:docVars>
  <w:rsids>
    <w:rsidRoot w:val="005A29A4"/>
    <w:rsid w:val="00001636"/>
    <w:rsid w:val="00001CF8"/>
    <w:rsid w:val="000066CF"/>
    <w:rsid w:val="0000697F"/>
    <w:rsid w:val="00007082"/>
    <w:rsid w:val="00010B31"/>
    <w:rsid w:val="00013DC8"/>
    <w:rsid w:val="00014C1B"/>
    <w:rsid w:val="00014DD0"/>
    <w:rsid w:val="00015458"/>
    <w:rsid w:val="00015EBB"/>
    <w:rsid w:val="00016237"/>
    <w:rsid w:val="000167A7"/>
    <w:rsid w:val="00016D5B"/>
    <w:rsid w:val="00023ACE"/>
    <w:rsid w:val="0002470E"/>
    <w:rsid w:val="00026E6B"/>
    <w:rsid w:val="000342BA"/>
    <w:rsid w:val="00034C0F"/>
    <w:rsid w:val="000363A7"/>
    <w:rsid w:val="00040261"/>
    <w:rsid w:val="000402E0"/>
    <w:rsid w:val="00040AF2"/>
    <w:rsid w:val="0004172C"/>
    <w:rsid w:val="00043B80"/>
    <w:rsid w:val="00044476"/>
    <w:rsid w:val="00046348"/>
    <w:rsid w:val="00046891"/>
    <w:rsid w:val="00046CE7"/>
    <w:rsid w:val="00051628"/>
    <w:rsid w:val="00052C12"/>
    <w:rsid w:val="00052E4D"/>
    <w:rsid w:val="0005378E"/>
    <w:rsid w:val="00053960"/>
    <w:rsid w:val="000600B4"/>
    <w:rsid w:val="0006384E"/>
    <w:rsid w:val="00063D6E"/>
    <w:rsid w:val="00063E89"/>
    <w:rsid w:val="00065938"/>
    <w:rsid w:val="00065B3B"/>
    <w:rsid w:val="00066B1F"/>
    <w:rsid w:val="000670CD"/>
    <w:rsid w:val="0006795B"/>
    <w:rsid w:val="000709D2"/>
    <w:rsid w:val="0007145F"/>
    <w:rsid w:val="000732A6"/>
    <w:rsid w:val="00074948"/>
    <w:rsid w:val="00074D28"/>
    <w:rsid w:val="0007604C"/>
    <w:rsid w:val="00076442"/>
    <w:rsid w:val="000776E1"/>
    <w:rsid w:val="0008032E"/>
    <w:rsid w:val="0008252C"/>
    <w:rsid w:val="00084B26"/>
    <w:rsid w:val="00086961"/>
    <w:rsid w:val="00090A48"/>
    <w:rsid w:val="0009197F"/>
    <w:rsid w:val="00092A43"/>
    <w:rsid w:val="00093AC0"/>
    <w:rsid w:val="000944CE"/>
    <w:rsid w:val="000957EA"/>
    <w:rsid w:val="000A09C0"/>
    <w:rsid w:val="000A0BEA"/>
    <w:rsid w:val="000A74F5"/>
    <w:rsid w:val="000B05D7"/>
    <w:rsid w:val="000B148B"/>
    <w:rsid w:val="000B2146"/>
    <w:rsid w:val="000B239D"/>
    <w:rsid w:val="000B23AA"/>
    <w:rsid w:val="000B245E"/>
    <w:rsid w:val="000B3575"/>
    <w:rsid w:val="000B3AE0"/>
    <w:rsid w:val="000B4C97"/>
    <w:rsid w:val="000B52BE"/>
    <w:rsid w:val="000B55FE"/>
    <w:rsid w:val="000B5D1D"/>
    <w:rsid w:val="000B5E42"/>
    <w:rsid w:val="000B7149"/>
    <w:rsid w:val="000B7246"/>
    <w:rsid w:val="000C1C30"/>
    <w:rsid w:val="000C1FE0"/>
    <w:rsid w:val="000C3E16"/>
    <w:rsid w:val="000C45DD"/>
    <w:rsid w:val="000C504F"/>
    <w:rsid w:val="000C76BD"/>
    <w:rsid w:val="000C774C"/>
    <w:rsid w:val="000D12B2"/>
    <w:rsid w:val="000D25D3"/>
    <w:rsid w:val="000D3688"/>
    <w:rsid w:val="000D4F71"/>
    <w:rsid w:val="000D69BF"/>
    <w:rsid w:val="000D76A4"/>
    <w:rsid w:val="000E05BC"/>
    <w:rsid w:val="000E0AE2"/>
    <w:rsid w:val="000E1247"/>
    <w:rsid w:val="000E1597"/>
    <w:rsid w:val="000E1D36"/>
    <w:rsid w:val="000E2357"/>
    <w:rsid w:val="000E2766"/>
    <w:rsid w:val="000E2D70"/>
    <w:rsid w:val="000E37EC"/>
    <w:rsid w:val="000E7279"/>
    <w:rsid w:val="000F040C"/>
    <w:rsid w:val="000F2F90"/>
    <w:rsid w:val="000F5D03"/>
    <w:rsid w:val="000F6EEF"/>
    <w:rsid w:val="000F7F92"/>
    <w:rsid w:val="001016BD"/>
    <w:rsid w:val="00101830"/>
    <w:rsid w:val="0010203E"/>
    <w:rsid w:val="00102E56"/>
    <w:rsid w:val="00103C13"/>
    <w:rsid w:val="00104DA5"/>
    <w:rsid w:val="00105A6A"/>
    <w:rsid w:val="00106C39"/>
    <w:rsid w:val="0010784C"/>
    <w:rsid w:val="00107944"/>
    <w:rsid w:val="001114A7"/>
    <w:rsid w:val="00111F49"/>
    <w:rsid w:val="00112D98"/>
    <w:rsid w:val="00113101"/>
    <w:rsid w:val="00113BF6"/>
    <w:rsid w:val="00113EDC"/>
    <w:rsid w:val="00114959"/>
    <w:rsid w:val="0011538F"/>
    <w:rsid w:val="00116D35"/>
    <w:rsid w:val="00120503"/>
    <w:rsid w:val="001306E4"/>
    <w:rsid w:val="00131318"/>
    <w:rsid w:val="0013370B"/>
    <w:rsid w:val="001338F6"/>
    <w:rsid w:val="00133B4A"/>
    <w:rsid w:val="0013437D"/>
    <w:rsid w:val="00136820"/>
    <w:rsid w:val="0014016A"/>
    <w:rsid w:val="00140B8A"/>
    <w:rsid w:val="0014129D"/>
    <w:rsid w:val="00141557"/>
    <w:rsid w:val="001420DC"/>
    <w:rsid w:val="00142BDD"/>
    <w:rsid w:val="00147647"/>
    <w:rsid w:val="0015264B"/>
    <w:rsid w:val="00153BDE"/>
    <w:rsid w:val="00153D4A"/>
    <w:rsid w:val="00153DEE"/>
    <w:rsid w:val="0015440A"/>
    <w:rsid w:val="00154894"/>
    <w:rsid w:val="00155053"/>
    <w:rsid w:val="0015516C"/>
    <w:rsid w:val="00160121"/>
    <w:rsid w:val="001601ED"/>
    <w:rsid w:val="00160E4B"/>
    <w:rsid w:val="00161327"/>
    <w:rsid w:val="001619EC"/>
    <w:rsid w:val="00162996"/>
    <w:rsid w:val="00162DDB"/>
    <w:rsid w:val="00162E02"/>
    <w:rsid w:val="0016379C"/>
    <w:rsid w:val="00163AF2"/>
    <w:rsid w:val="0016505C"/>
    <w:rsid w:val="001650E5"/>
    <w:rsid w:val="001667CC"/>
    <w:rsid w:val="0016692B"/>
    <w:rsid w:val="001675F1"/>
    <w:rsid w:val="00170B68"/>
    <w:rsid w:val="00170FC9"/>
    <w:rsid w:val="00172BE4"/>
    <w:rsid w:val="00175EF9"/>
    <w:rsid w:val="001761A9"/>
    <w:rsid w:val="001771C8"/>
    <w:rsid w:val="0017770D"/>
    <w:rsid w:val="00180343"/>
    <w:rsid w:val="00180642"/>
    <w:rsid w:val="0018134F"/>
    <w:rsid w:val="00181DAA"/>
    <w:rsid w:val="00183D8C"/>
    <w:rsid w:val="00184514"/>
    <w:rsid w:val="00184E3E"/>
    <w:rsid w:val="0018519A"/>
    <w:rsid w:val="001863B6"/>
    <w:rsid w:val="00186B60"/>
    <w:rsid w:val="001902CD"/>
    <w:rsid w:val="00191844"/>
    <w:rsid w:val="0019666D"/>
    <w:rsid w:val="00197A43"/>
    <w:rsid w:val="001A3539"/>
    <w:rsid w:val="001A61F2"/>
    <w:rsid w:val="001A7093"/>
    <w:rsid w:val="001B0DEC"/>
    <w:rsid w:val="001B1FB8"/>
    <w:rsid w:val="001B5113"/>
    <w:rsid w:val="001B66C8"/>
    <w:rsid w:val="001B72C1"/>
    <w:rsid w:val="001B73E2"/>
    <w:rsid w:val="001B7EB8"/>
    <w:rsid w:val="001C20B4"/>
    <w:rsid w:val="001C38F9"/>
    <w:rsid w:val="001C3B75"/>
    <w:rsid w:val="001C5FDD"/>
    <w:rsid w:val="001D1E61"/>
    <w:rsid w:val="001D3097"/>
    <w:rsid w:val="001D45AF"/>
    <w:rsid w:val="001D5514"/>
    <w:rsid w:val="001D610B"/>
    <w:rsid w:val="001D64BB"/>
    <w:rsid w:val="001E1C0D"/>
    <w:rsid w:val="001E4002"/>
    <w:rsid w:val="001E53D9"/>
    <w:rsid w:val="001E612C"/>
    <w:rsid w:val="001E665A"/>
    <w:rsid w:val="001F0004"/>
    <w:rsid w:val="001F177C"/>
    <w:rsid w:val="001F3076"/>
    <w:rsid w:val="001F3898"/>
    <w:rsid w:val="001F3DE5"/>
    <w:rsid w:val="001F5154"/>
    <w:rsid w:val="001F6564"/>
    <w:rsid w:val="001F6C39"/>
    <w:rsid w:val="001F7AAB"/>
    <w:rsid w:val="001F7AC3"/>
    <w:rsid w:val="00200EF9"/>
    <w:rsid w:val="00201814"/>
    <w:rsid w:val="0020355F"/>
    <w:rsid w:val="00207F89"/>
    <w:rsid w:val="002114E7"/>
    <w:rsid w:val="00211853"/>
    <w:rsid w:val="00211DCC"/>
    <w:rsid w:val="0021330B"/>
    <w:rsid w:val="00215C8C"/>
    <w:rsid w:val="00216ADE"/>
    <w:rsid w:val="00220189"/>
    <w:rsid w:val="00222602"/>
    <w:rsid w:val="00222725"/>
    <w:rsid w:val="00222BFC"/>
    <w:rsid w:val="00222EBD"/>
    <w:rsid w:val="002238C6"/>
    <w:rsid w:val="002250C1"/>
    <w:rsid w:val="00225DDD"/>
    <w:rsid w:val="00226D1A"/>
    <w:rsid w:val="002338EF"/>
    <w:rsid w:val="0023422B"/>
    <w:rsid w:val="00235092"/>
    <w:rsid w:val="002359A6"/>
    <w:rsid w:val="002365DD"/>
    <w:rsid w:val="00236919"/>
    <w:rsid w:val="00237F28"/>
    <w:rsid w:val="00240B4E"/>
    <w:rsid w:val="00241638"/>
    <w:rsid w:val="002423D2"/>
    <w:rsid w:val="00243DF0"/>
    <w:rsid w:val="002460D5"/>
    <w:rsid w:val="002502DF"/>
    <w:rsid w:val="0025033E"/>
    <w:rsid w:val="00251535"/>
    <w:rsid w:val="0025209A"/>
    <w:rsid w:val="002527A1"/>
    <w:rsid w:val="002529D9"/>
    <w:rsid w:val="00256092"/>
    <w:rsid w:val="00256126"/>
    <w:rsid w:val="0025767D"/>
    <w:rsid w:val="002600C9"/>
    <w:rsid w:val="002609AA"/>
    <w:rsid w:val="00260B3D"/>
    <w:rsid w:val="00261781"/>
    <w:rsid w:val="00261E26"/>
    <w:rsid w:val="00263F6B"/>
    <w:rsid w:val="00266792"/>
    <w:rsid w:val="00266F10"/>
    <w:rsid w:val="00267236"/>
    <w:rsid w:val="0027253C"/>
    <w:rsid w:val="00272B04"/>
    <w:rsid w:val="00273DCB"/>
    <w:rsid w:val="00275929"/>
    <w:rsid w:val="0027636F"/>
    <w:rsid w:val="00277A82"/>
    <w:rsid w:val="00282CA2"/>
    <w:rsid w:val="00282F3B"/>
    <w:rsid w:val="00283E3E"/>
    <w:rsid w:val="0028707B"/>
    <w:rsid w:val="0028794C"/>
    <w:rsid w:val="002952D0"/>
    <w:rsid w:val="002978BB"/>
    <w:rsid w:val="002A0915"/>
    <w:rsid w:val="002A13C7"/>
    <w:rsid w:val="002A1B31"/>
    <w:rsid w:val="002A2743"/>
    <w:rsid w:val="002A5F76"/>
    <w:rsid w:val="002A6111"/>
    <w:rsid w:val="002A6957"/>
    <w:rsid w:val="002A7F8C"/>
    <w:rsid w:val="002B0D6B"/>
    <w:rsid w:val="002B1734"/>
    <w:rsid w:val="002B1814"/>
    <w:rsid w:val="002B19C9"/>
    <w:rsid w:val="002B297B"/>
    <w:rsid w:val="002B452C"/>
    <w:rsid w:val="002B524C"/>
    <w:rsid w:val="002B680C"/>
    <w:rsid w:val="002B6C06"/>
    <w:rsid w:val="002B6DFA"/>
    <w:rsid w:val="002C0101"/>
    <w:rsid w:val="002C170A"/>
    <w:rsid w:val="002C1A8D"/>
    <w:rsid w:val="002C2347"/>
    <w:rsid w:val="002C53CA"/>
    <w:rsid w:val="002C5560"/>
    <w:rsid w:val="002C5A2E"/>
    <w:rsid w:val="002C692E"/>
    <w:rsid w:val="002C6F9D"/>
    <w:rsid w:val="002D00CF"/>
    <w:rsid w:val="002D0385"/>
    <w:rsid w:val="002D113C"/>
    <w:rsid w:val="002D2937"/>
    <w:rsid w:val="002D461B"/>
    <w:rsid w:val="002D630B"/>
    <w:rsid w:val="002D781A"/>
    <w:rsid w:val="002D79F8"/>
    <w:rsid w:val="002E01A4"/>
    <w:rsid w:val="002E0C59"/>
    <w:rsid w:val="002E3331"/>
    <w:rsid w:val="002E3EE5"/>
    <w:rsid w:val="002E51D8"/>
    <w:rsid w:val="002F172A"/>
    <w:rsid w:val="002F299C"/>
    <w:rsid w:val="002F70CB"/>
    <w:rsid w:val="002F75F0"/>
    <w:rsid w:val="003024C9"/>
    <w:rsid w:val="00302919"/>
    <w:rsid w:val="003078FE"/>
    <w:rsid w:val="00307D9F"/>
    <w:rsid w:val="0031229F"/>
    <w:rsid w:val="003142A5"/>
    <w:rsid w:val="0031780F"/>
    <w:rsid w:val="00320FFB"/>
    <w:rsid w:val="003217DF"/>
    <w:rsid w:val="003232A1"/>
    <w:rsid w:val="0032497B"/>
    <w:rsid w:val="00324C29"/>
    <w:rsid w:val="00326460"/>
    <w:rsid w:val="00326D8C"/>
    <w:rsid w:val="00330282"/>
    <w:rsid w:val="003329C0"/>
    <w:rsid w:val="00336E83"/>
    <w:rsid w:val="00337C3F"/>
    <w:rsid w:val="003409CB"/>
    <w:rsid w:val="00342014"/>
    <w:rsid w:val="003450E7"/>
    <w:rsid w:val="0034656F"/>
    <w:rsid w:val="00346DF2"/>
    <w:rsid w:val="0034701A"/>
    <w:rsid w:val="00347967"/>
    <w:rsid w:val="00350FC7"/>
    <w:rsid w:val="00351C6A"/>
    <w:rsid w:val="00353DEA"/>
    <w:rsid w:val="00356B8C"/>
    <w:rsid w:val="003600A7"/>
    <w:rsid w:val="00361696"/>
    <w:rsid w:val="0036197D"/>
    <w:rsid w:val="00362890"/>
    <w:rsid w:val="00363C14"/>
    <w:rsid w:val="003640D9"/>
    <w:rsid w:val="00364AA2"/>
    <w:rsid w:val="00364DA4"/>
    <w:rsid w:val="00366ACD"/>
    <w:rsid w:val="00367776"/>
    <w:rsid w:val="00367AFC"/>
    <w:rsid w:val="003703F2"/>
    <w:rsid w:val="003715B9"/>
    <w:rsid w:val="00371B84"/>
    <w:rsid w:val="00372D4E"/>
    <w:rsid w:val="0037310A"/>
    <w:rsid w:val="0037415F"/>
    <w:rsid w:val="00374C9B"/>
    <w:rsid w:val="003772A5"/>
    <w:rsid w:val="00377978"/>
    <w:rsid w:val="00377A1A"/>
    <w:rsid w:val="00377BCC"/>
    <w:rsid w:val="00381320"/>
    <w:rsid w:val="00382C39"/>
    <w:rsid w:val="0038553C"/>
    <w:rsid w:val="00386CD7"/>
    <w:rsid w:val="00387F24"/>
    <w:rsid w:val="0039160C"/>
    <w:rsid w:val="00391E2C"/>
    <w:rsid w:val="00393DED"/>
    <w:rsid w:val="00394050"/>
    <w:rsid w:val="003946BC"/>
    <w:rsid w:val="00394CB9"/>
    <w:rsid w:val="00395F16"/>
    <w:rsid w:val="0039627C"/>
    <w:rsid w:val="00397073"/>
    <w:rsid w:val="0039762B"/>
    <w:rsid w:val="003A0A1A"/>
    <w:rsid w:val="003A1CF7"/>
    <w:rsid w:val="003A1F05"/>
    <w:rsid w:val="003A1F3B"/>
    <w:rsid w:val="003A2172"/>
    <w:rsid w:val="003A2700"/>
    <w:rsid w:val="003A29D9"/>
    <w:rsid w:val="003A44D0"/>
    <w:rsid w:val="003A4B99"/>
    <w:rsid w:val="003A6560"/>
    <w:rsid w:val="003A6898"/>
    <w:rsid w:val="003B13BD"/>
    <w:rsid w:val="003B329F"/>
    <w:rsid w:val="003B5875"/>
    <w:rsid w:val="003B7178"/>
    <w:rsid w:val="003C0313"/>
    <w:rsid w:val="003C10B9"/>
    <w:rsid w:val="003C5443"/>
    <w:rsid w:val="003C5D1C"/>
    <w:rsid w:val="003D06E3"/>
    <w:rsid w:val="003D0725"/>
    <w:rsid w:val="003D2D45"/>
    <w:rsid w:val="003D2E69"/>
    <w:rsid w:val="003D371E"/>
    <w:rsid w:val="003D680A"/>
    <w:rsid w:val="003E1AFF"/>
    <w:rsid w:val="003E1D9F"/>
    <w:rsid w:val="003E26B1"/>
    <w:rsid w:val="003E408B"/>
    <w:rsid w:val="003E414F"/>
    <w:rsid w:val="003E49E8"/>
    <w:rsid w:val="003E58D5"/>
    <w:rsid w:val="003E6087"/>
    <w:rsid w:val="003E6B33"/>
    <w:rsid w:val="003F0557"/>
    <w:rsid w:val="003F05A5"/>
    <w:rsid w:val="003F0C0B"/>
    <w:rsid w:val="003F0CCA"/>
    <w:rsid w:val="003F222E"/>
    <w:rsid w:val="003F258A"/>
    <w:rsid w:val="00400CAF"/>
    <w:rsid w:val="00404E13"/>
    <w:rsid w:val="004062B6"/>
    <w:rsid w:val="00407E78"/>
    <w:rsid w:val="00407FF8"/>
    <w:rsid w:val="0041029F"/>
    <w:rsid w:val="00412217"/>
    <w:rsid w:val="004137C0"/>
    <w:rsid w:val="00413AE9"/>
    <w:rsid w:val="00414BDA"/>
    <w:rsid w:val="0041600C"/>
    <w:rsid w:val="0041606D"/>
    <w:rsid w:val="004161D1"/>
    <w:rsid w:val="0041685A"/>
    <w:rsid w:val="0042091E"/>
    <w:rsid w:val="004215A5"/>
    <w:rsid w:val="004215C4"/>
    <w:rsid w:val="00423C20"/>
    <w:rsid w:val="00423F51"/>
    <w:rsid w:val="00425062"/>
    <w:rsid w:val="00430D33"/>
    <w:rsid w:val="00430F73"/>
    <w:rsid w:val="00431458"/>
    <w:rsid w:val="00434732"/>
    <w:rsid w:val="00436BDC"/>
    <w:rsid w:val="00436EDB"/>
    <w:rsid w:val="00440371"/>
    <w:rsid w:val="00445033"/>
    <w:rsid w:val="00446AE7"/>
    <w:rsid w:val="00446C99"/>
    <w:rsid w:val="0045089D"/>
    <w:rsid w:val="00451404"/>
    <w:rsid w:val="00452AC1"/>
    <w:rsid w:val="00453DA0"/>
    <w:rsid w:val="00454720"/>
    <w:rsid w:val="0046127F"/>
    <w:rsid w:val="004612D7"/>
    <w:rsid w:val="00461AB0"/>
    <w:rsid w:val="004625B4"/>
    <w:rsid w:val="00462FC6"/>
    <w:rsid w:val="004642F9"/>
    <w:rsid w:val="00464400"/>
    <w:rsid w:val="00466101"/>
    <w:rsid w:val="004710C7"/>
    <w:rsid w:val="004719F3"/>
    <w:rsid w:val="00471D74"/>
    <w:rsid w:val="00472525"/>
    <w:rsid w:val="0047331D"/>
    <w:rsid w:val="0047337D"/>
    <w:rsid w:val="00474069"/>
    <w:rsid w:val="004744DD"/>
    <w:rsid w:val="00474802"/>
    <w:rsid w:val="00476D37"/>
    <w:rsid w:val="00480EA4"/>
    <w:rsid w:val="00484D02"/>
    <w:rsid w:val="00486413"/>
    <w:rsid w:val="00486841"/>
    <w:rsid w:val="00487071"/>
    <w:rsid w:val="0049165E"/>
    <w:rsid w:val="00492431"/>
    <w:rsid w:val="004925F4"/>
    <w:rsid w:val="00492947"/>
    <w:rsid w:val="00492CF5"/>
    <w:rsid w:val="00492E09"/>
    <w:rsid w:val="00493C33"/>
    <w:rsid w:val="00493D89"/>
    <w:rsid w:val="0049417F"/>
    <w:rsid w:val="004947F9"/>
    <w:rsid w:val="0049630A"/>
    <w:rsid w:val="00497150"/>
    <w:rsid w:val="004A590E"/>
    <w:rsid w:val="004A5D0D"/>
    <w:rsid w:val="004A65C4"/>
    <w:rsid w:val="004A7CC7"/>
    <w:rsid w:val="004B3818"/>
    <w:rsid w:val="004B47AC"/>
    <w:rsid w:val="004B50BA"/>
    <w:rsid w:val="004B5955"/>
    <w:rsid w:val="004B70EE"/>
    <w:rsid w:val="004C078E"/>
    <w:rsid w:val="004C2144"/>
    <w:rsid w:val="004C31E4"/>
    <w:rsid w:val="004C511F"/>
    <w:rsid w:val="004C5D38"/>
    <w:rsid w:val="004D1A66"/>
    <w:rsid w:val="004D1E4C"/>
    <w:rsid w:val="004D2A69"/>
    <w:rsid w:val="004D2F80"/>
    <w:rsid w:val="004D4541"/>
    <w:rsid w:val="004D55CA"/>
    <w:rsid w:val="004D5E4A"/>
    <w:rsid w:val="004D7BC1"/>
    <w:rsid w:val="004D7EA7"/>
    <w:rsid w:val="004D7FDA"/>
    <w:rsid w:val="004E1F53"/>
    <w:rsid w:val="004E7170"/>
    <w:rsid w:val="004E7955"/>
    <w:rsid w:val="004F0129"/>
    <w:rsid w:val="004F1203"/>
    <w:rsid w:val="004F1500"/>
    <w:rsid w:val="004F31B5"/>
    <w:rsid w:val="004F513B"/>
    <w:rsid w:val="004F661C"/>
    <w:rsid w:val="004F72FD"/>
    <w:rsid w:val="004F7C56"/>
    <w:rsid w:val="004F7EDE"/>
    <w:rsid w:val="005024E5"/>
    <w:rsid w:val="00502DE4"/>
    <w:rsid w:val="00503651"/>
    <w:rsid w:val="00503B5E"/>
    <w:rsid w:val="005046D7"/>
    <w:rsid w:val="00504F4A"/>
    <w:rsid w:val="005052F2"/>
    <w:rsid w:val="00507E06"/>
    <w:rsid w:val="00510637"/>
    <w:rsid w:val="0051139E"/>
    <w:rsid w:val="00511F6F"/>
    <w:rsid w:val="0051426C"/>
    <w:rsid w:val="0051775A"/>
    <w:rsid w:val="00517B29"/>
    <w:rsid w:val="00522F5B"/>
    <w:rsid w:val="00523C3F"/>
    <w:rsid w:val="00523F4D"/>
    <w:rsid w:val="00524208"/>
    <w:rsid w:val="00525104"/>
    <w:rsid w:val="005257A7"/>
    <w:rsid w:val="00525CD6"/>
    <w:rsid w:val="00526083"/>
    <w:rsid w:val="005312CD"/>
    <w:rsid w:val="00531717"/>
    <w:rsid w:val="00532ECB"/>
    <w:rsid w:val="0053539D"/>
    <w:rsid w:val="00535E99"/>
    <w:rsid w:val="005374B9"/>
    <w:rsid w:val="00537BB8"/>
    <w:rsid w:val="00537BCE"/>
    <w:rsid w:val="00547159"/>
    <w:rsid w:val="005504EC"/>
    <w:rsid w:val="00551EB1"/>
    <w:rsid w:val="00552291"/>
    <w:rsid w:val="005524F4"/>
    <w:rsid w:val="005528DC"/>
    <w:rsid w:val="00552C03"/>
    <w:rsid w:val="005539D3"/>
    <w:rsid w:val="005546B5"/>
    <w:rsid w:val="00554889"/>
    <w:rsid w:val="00563A56"/>
    <w:rsid w:val="005653F2"/>
    <w:rsid w:val="005654C4"/>
    <w:rsid w:val="00567945"/>
    <w:rsid w:val="005701CA"/>
    <w:rsid w:val="0057342A"/>
    <w:rsid w:val="00575C60"/>
    <w:rsid w:val="00581209"/>
    <w:rsid w:val="0058246A"/>
    <w:rsid w:val="005830B1"/>
    <w:rsid w:val="00584D3C"/>
    <w:rsid w:val="00585B02"/>
    <w:rsid w:val="005952B9"/>
    <w:rsid w:val="00596D04"/>
    <w:rsid w:val="0059763A"/>
    <w:rsid w:val="005A04A2"/>
    <w:rsid w:val="005A0630"/>
    <w:rsid w:val="005A16B7"/>
    <w:rsid w:val="005A29A4"/>
    <w:rsid w:val="005A32F7"/>
    <w:rsid w:val="005A42C8"/>
    <w:rsid w:val="005A5CDD"/>
    <w:rsid w:val="005A75B5"/>
    <w:rsid w:val="005A769A"/>
    <w:rsid w:val="005A788A"/>
    <w:rsid w:val="005B0ACE"/>
    <w:rsid w:val="005B18A8"/>
    <w:rsid w:val="005B2368"/>
    <w:rsid w:val="005B3E72"/>
    <w:rsid w:val="005B6BA8"/>
    <w:rsid w:val="005C18F6"/>
    <w:rsid w:val="005C1AD0"/>
    <w:rsid w:val="005C3301"/>
    <w:rsid w:val="005C42AC"/>
    <w:rsid w:val="005C4656"/>
    <w:rsid w:val="005C4BED"/>
    <w:rsid w:val="005C61A4"/>
    <w:rsid w:val="005C696B"/>
    <w:rsid w:val="005C6CC5"/>
    <w:rsid w:val="005C79A5"/>
    <w:rsid w:val="005C7E97"/>
    <w:rsid w:val="005D104E"/>
    <w:rsid w:val="005D15A2"/>
    <w:rsid w:val="005D2C1F"/>
    <w:rsid w:val="005D5AC0"/>
    <w:rsid w:val="005D6FD5"/>
    <w:rsid w:val="005D739E"/>
    <w:rsid w:val="005E164C"/>
    <w:rsid w:val="005E3B7F"/>
    <w:rsid w:val="005E3E53"/>
    <w:rsid w:val="005E44F9"/>
    <w:rsid w:val="005E5923"/>
    <w:rsid w:val="005E6D80"/>
    <w:rsid w:val="005F0746"/>
    <w:rsid w:val="006003BA"/>
    <w:rsid w:val="00600F09"/>
    <w:rsid w:val="0060112B"/>
    <w:rsid w:val="00601CD3"/>
    <w:rsid w:val="00602B6E"/>
    <w:rsid w:val="00602DAF"/>
    <w:rsid w:val="006040A7"/>
    <w:rsid w:val="00604358"/>
    <w:rsid w:val="00605414"/>
    <w:rsid w:val="006069B2"/>
    <w:rsid w:val="00606D21"/>
    <w:rsid w:val="006126C9"/>
    <w:rsid w:val="00612C35"/>
    <w:rsid w:val="00612D58"/>
    <w:rsid w:val="006136BA"/>
    <w:rsid w:val="00615899"/>
    <w:rsid w:val="00616526"/>
    <w:rsid w:val="00616919"/>
    <w:rsid w:val="00617E19"/>
    <w:rsid w:val="00620D5C"/>
    <w:rsid w:val="0062165A"/>
    <w:rsid w:val="00621C10"/>
    <w:rsid w:val="00624516"/>
    <w:rsid w:val="00624A48"/>
    <w:rsid w:val="0062623C"/>
    <w:rsid w:val="00626B6E"/>
    <w:rsid w:val="00630899"/>
    <w:rsid w:val="00630D09"/>
    <w:rsid w:val="00630FB1"/>
    <w:rsid w:val="006329C9"/>
    <w:rsid w:val="00632B62"/>
    <w:rsid w:val="006353F0"/>
    <w:rsid w:val="006368D3"/>
    <w:rsid w:val="00637914"/>
    <w:rsid w:val="00640365"/>
    <w:rsid w:val="006404F7"/>
    <w:rsid w:val="006406BF"/>
    <w:rsid w:val="006407C9"/>
    <w:rsid w:val="00641216"/>
    <w:rsid w:val="006443DD"/>
    <w:rsid w:val="006451D5"/>
    <w:rsid w:val="006469B8"/>
    <w:rsid w:val="00652122"/>
    <w:rsid w:val="00652D27"/>
    <w:rsid w:val="00652E40"/>
    <w:rsid w:val="006532DA"/>
    <w:rsid w:val="00656C05"/>
    <w:rsid w:val="00660932"/>
    <w:rsid w:val="006622F9"/>
    <w:rsid w:val="006624F2"/>
    <w:rsid w:val="006628C0"/>
    <w:rsid w:val="0066364C"/>
    <w:rsid w:val="00663881"/>
    <w:rsid w:val="006643E5"/>
    <w:rsid w:val="0066462F"/>
    <w:rsid w:val="00665051"/>
    <w:rsid w:val="0066552F"/>
    <w:rsid w:val="00666B61"/>
    <w:rsid w:val="006709F6"/>
    <w:rsid w:val="00671AB7"/>
    <w:rsid w:val="006745BE"/>
    <w:rsid w:val="00675799"/>
    <w:rsid w:val="00675C38"/>
    <w:rsid w:val="00675EB8"/>
    <w:rsid w:val="00676177"/>
    <w:rsid w:val="00677BE9"/>
    <w:rsid w:val="006807D8"/>
    <w:rsid w:val="00680EFD"/>
    <w:rsid w:val="0068116E"/>
    <w:rsid w:val="00681DD2"/>
    <w:rsid w:val="00682336"/>
    <w:rsid w:val="00682A4B"/>
    <w:rsid w:val="00682D8A"/>
    <w:rsid w:val="00682FA9"/>
    <w:rsid w:val="00683168"/>
    <w:rsid w:val="0068424D"/>
    <w:rsid w:val="006865BD"/>
    <w:rsid w:val="00686670"/>
    <w:rsid w:val="00687F84"/>
    <w:rsid w:val="006901BD"/>
    <w:rsid w:val="00692830"/>
    <w:rsid w:val="0069354E"/>
    <w:rsid w:val="00695D47"/>
    <w:rsid w:val="0069615D"/>
    <w:rsid w:val="006969B8"/>
    <w:rsid w:val="006A00FA"/>
    <w:rsid w:val="006A1EBD"/>
    <w:rsid w:val="006A3BE8"/>
    <w:rsid w:val="006A556C"/>
    <w:rsid w:val="006A7E72"/>
    <w:rsid w:val="006B0615"/>
    <w:rsid w:val="006B0857"/>
    <w:rsid w:val="006B13D5"/>
    <w:rsid w:val="006B1D6A"/>
    <w:rsid w:val="006B6501"/>
    <w:rsid w:val="006B6A98"/>
    <w:rsid w:val="006B6CDE"/>
    <w:rsid w:val="006B7DF8"/>
    <w:rsid w:val="006C0B88"/>
    <w:rsid w:val="006C17D1"/>
    <w:rsid w:val="006C1F1B"/>
    <w:rsid w:val="006C1F37"/>
    <w:rsid w:val="006C305A"/>
    <w:rsid w:val="006D1689"/>
    <w:rsid w:val="006D3750"/>
    <w:rsid w:val="006D47A7"/>
    <w:rsid w:val="006D5A7C"/>
    <w:rsid w:val="006E2035"/>
    <w:rsid w:val="006E242E"/>
    <w:rsid w:val="006E4816"/>
    <w:rsid w:val="006E7947"/>
    <w:rsid w:val="006F154C"/>
    <w:rsid w:val="006F1C0A"/>
    <w:rsid w:val="006F1C65"/>
    <w:rsid w:val="006F2E26"/>
    <w:rsid w:val="006F430D"/>
    <w:rsid w:val="006F4609"/>
    <w:rsid w:val="006F6377"/>
    <w:rsid w:val="006F6B37"/>
    <w:rsid w:val="006F6D57"/>
    <w:rsid w:val="00702102"/>
    <w:rsid w:val="00702187"/>
    <w:rsid w:val="0070566E"/>
    <w:rsid w:val="00705C06"/>
    <w:rsid w:val="00705E3C"/>
    <w:rsid w:val="00710D3F"/>
    <w:rsid w:val="007112A7"/>
    <w:rsid w:val="00711C63"/>
    <w:rsid w:val="00713059"/>
    <w:rsid w:val="00713BEB"/>
    <w:rsid w:val="00713F4D"/>
    <w:rsid w:val="00714A85"/>
    <w:rsid w:val="0071605E"/>
    <w:rsid w:val="00721BEE"/>
    <w:rsid w:val="00723110"/>
    <w:rsid w:val="00723298"/>
    <w:rsid w:val="007245C8"/>
    <w:rsid w:val="007248FE"/>
    <w:rsid w:val="00724D66"/>
    <w:rsid w:val="00726118"/>
    <w:rsid w:val="0072627B"/>
    <w:rsid w:val="0072777A"/>
    <w:rsid w:val="0073152A"/>
    <w:rsid w:val="0073169E"/>
    <w:rsid w:val="007403FC"/>
    <w:rsid w:val="007424E5"/>
    <w:rsid w:val="00745904"/>
    <w:rsid w:val="007534F6"/>
    <w:rsid w:val="00754F01"/>
    <w:rsid w:val="00756635"/>
    <w:rsid w:val="0075783F"/>
    <w:rsid w:val="0076098F"/>
    <w:rsid w:val="007613C1"/>
    <w:rsid w:val="00761D6B"/>
    <w:rsid w:val="00762C69"/>
    <w:rsid w:val="00765369"/>
    <w:rsid w:val="00765BBB"/>
    <w:rsid w:val="00765E9D"/>
    <w:rsid w:val="0076621D"/>
    <w:rsid w:val="00766629"/>
    <w:rsid w:val="00770B68"/>
    <w:rsid w:val="00771D89"/>
    <w:rsid w:val="00772A66"/>
    <w:rsid w:val="00773CBE"/>
    <w:rsid w:val="00774015"/>
    <w:rsid w:val="0077446E"/>
    <w:rsid w:val="00776896"/>
    <w:rsid w:val="0078431D"/>
    <w:rsid w:val="00790F11"/>
    <w:rsid w:val="007922E1"/>
    <w:rsid w:val="00792378"/>
    <w:rsid w:val="00795905"/>
    <w:rsid w:val="00797C05"/>
    <w:rsid w:val="007A0D05"/>
    <w:rsid w:val="007A1EA5"/>
    <w:rsid w:val="007A2519"/>
    <w:rsid w:val="007A3DFD"/>
    <w:rsid w:val="007B021A"/>
    <w:rsid w:val="007B0425"/>
    <w:rsid w:val="007B2361"/>
    <w:rsid w:val="007B2B25"/>
    <w:rsid w:val="007B388A"/>
    <w:rsid w:val="007B4331"/>
    <w:rsid w:val="007B4F8F"/>
    <w:rsid w:val="007B58EA"/>
    <w:rsid w:val="007C18A1"/>
    <w:rsid w:val="007C2D38"/>
    <w:rsid w:val="007C5113"/>
    <w:rsid w:val="007C5C47"/>
    <w:rsid w:val="007C5EF4"/>
    <w:rsid w:val="007C6168"/>
    <w:rsid w:val="007C7126"/>
    <w:rsid w:val="007D2A4C"/>
    <w:rsid w:val="007D50F1"/>
    <w:rsid w:val="007D5227"/>
    <w:rsid w:val="007D52C2"/>
    <w:rsid w:val="007D55A8"/>
    <w:rsid w:val="007D646D"/>
    <w:rsid w:val="007D713D"/>
    <w:rsid w:val="007D7B02"/>
    <w:rsid w:val="007E042B"/>
    <w:rsid w:val="007E2DB5"/>
    <w:rsid w:val="007E3C34"/>
    <w:rsid w:val="007E59C5"/>
    <w:rsid w:val="007F0E93"/>
    <w:rsid w:val="007F4886"/>
    <w:rsid w:val="008000B2"/>
    <w:rsid w:val="008002C2"/>
    <w:rsid w:val="008008DB"/>
    <w:rsid w:val="00803C5B"/>
    <w:rsid w:val="00804726"/>
    <w:rsid w:val="00804ED9"/>
    <w:rsid w:val="00806914"/>
    <w:rsid w:val="00807A6B"/>
    <w:rsid w:val="00807BCF"/>
    <w:rsid w:val="00812780"/>
    <w:rsid w:val="008138ED"/>
    <w:rsid w:val="00816F42"/>
    <w:rsid w:val="008170AD"/>
    <w:rsid w:val="00817AC7"/>
    <w:rsid w:val="00817D19"/>
    <w:rsid w:val="00821709"/>
    <w:rsid w:val="00822FDD"/>
    <w:rsid w:val="00825FC5"/>
    <w:rsid w:val="00826EB4"/>
    <w:rsid w:val="008310D9"/>
    <w:rsid w:val="008327A3"/>
    <w:rsid w:val="00833956"/>
    <w:rsid w:val="008345EC"/>
    <w:rsid w:val="00834BB5"/>
    <w:rsid w:val="008375A8"/>
    <w:rsid w:val="008428E3"/>
    <w:rsid w:val="00842DF1"/>
    <w:rsid w:val="00845E3E"/>
    <w:rsid w:val="00850634"/>
    <w:rsid w:val="008528EE"/>
    <w:rsid w:val="0085647C"/>
    <w:rsid w:val="0086006D"/>
    <w:rsid w:val="00863816"/>
    <w:rsid w:val="008700EC"/>
    <w:rsid w:val="0087180C"/>
    <w:rsid w:val="008722BB"/>
    <w:rsid w:val="008726E9"/>
    <w:rsid w:val="00872BE7"/>
    <w:rsid w:val="00872FD7"/>
    <w:rsid w:val="0087326A"/>
    <w:rsid w:val="0087376C"/>
    <w:rsid w:val="00874210"/>
    <w:rsid w:val="00875E5F"/>
    <w:rsid w:val="0087609E"/>
    <w:rsid w:val="00876269"/>
    <w:rsid w:val="00876D30"/>
    <w:rsid w:val="008776D3"/>
    <w:rsid w:val="00880C77"/>
    <w:rsid w:val="00882392"/>
    <w:rsid w:val="00882CF7"/>
    <w:rsid w:val="00883B65"/>
    <w:rsid w:val="00884432"/>
    <w:rsid w:val="00884FC0"/>
    <w:rsid w:val="00886429"/>
    <w:rsid w:val="00890513"/>
    <w:rsid w:val="008912FF"/>
    <w:rsid w:val="00894BD8"/>
    <w:rsid w:val="00894FDC"/>
    <w:rsid w:val="008978B1"/>
    <w:rsid w:val="008A2875"/>
    <w:rsid w:val="008A3557"/>
    <w:rsid w:val="008A37A6"/>
    <w:rsid w:val="008A54D2"/>
    <w:rsid w:val="008A7513"/>
    <w:rsid w:val="008B044C"/>
    <w:rsid w:val="008B0811"/>
    <w:rsid w:val="008B144B"/>
    <w:rsid w:val="008B1469"/>
    <w:rsid w:val="008B60A9"/>
    <w:rsid w:val="008B62AE"/>
    <w:rsid w:val="008B6BB5"/>
    <w:rsid w:val="008C29A1"/>
    <w:rsid w:val="008D0C13"/>
    <w:rsid w:val="008D0EAE"/>
    <w:rsid w:val="008D30ED"/>
    <w:rsid w:val="008D4024"/>
    <w:rsid w:val="008D6A82"/>
    <w:rsid w:val="008E1CF5"/>
    <w:rsid w:val="008E2B65"/>
    <w:rsid w:val="008E2C13"/>
    <w:rsid w:val="008E3BA0"/>
    <w:rsid w:val="008E5272"/>
    <w:rsid w:val="008E5784"/>
    <w:rsid w:val="008E624C"/>
    <w:rsid w:val="008F252A"/>
    <w:rsid w:val="008F363C"/>
    <w:rsid w:val="009020DD"/>
    <w:rsid w:val="00902E8D"/>
    <w:rsid w:val="0090431A"/>
    <w:rsid w:val="009056A8"/>
    <w:rsid w:val="0090722D"/>
    <w:rsid w:val="00907FA8"/>
    <w:rsid w:val="009140F3"/>
    <w:rsid w:val="00914A08"/>
    <w:rsid w:val="00916721"/>
    <w:rsid w:val="00917806"/>
    <w:rsid w:val="009179BC"/>
    <w:rsid w:val="00917D23"/>
    <w:rsid w:val="0092005C"/>
    <w:rsid w:val="009207F9"/>
    <w:rsid w:val="00920EAC"/>
    <w:rsid w:val="00921810"/>
    <w:rsid w:val="00921C66"/>
    <w:rsid w:val="0092322F"/>
    <w:rsid w:val="0092393D"/>
    <w:rsid w:val="00924E47"/>
    <w:rsid w:val="009304C5"/>
    <w:rsid w:val="00930687"/>
    <w:rsid w:val="00932D48"/>
    <w:rsid w:val="00933D09"/>
    <w:rsid w:val="00934575"/>
    <w:rsid w:val="009404D9"/>
    <w:rsid w:val="00941F76"/>
    <w:rsid w:val="009425AF"/>
    <w:rsid w:val="009428A9"/>
    <w:rsid w:val="0094706B"/>
    <w:rsid w:val="009472DC"/>
    <w:rsid w:val="00947698"/>
    <w:rsid w:val="00947DF0"/>
    <w:rsid w:val="00950B24"/>
    <w:rsid w:val="0095420F"/>
    <w:rsid w:val="00954892"/>
    <w:rsid w:val="00957A4A"/>
    <w:rsid w:val="00960D5A"/>
    <w:rsid w:val="009613AC"/>
    <w:rsid w:val="0096149D"/>
    <w:rsid w:val="00963939"/>
    <w:rsid w:val="00970CCB"/>
    <w:rsid w:val="0097213A"/>
    <w:rsid w:val="00972980"/>
    <w:rsid w:val="00973834"/>
    <w:rsid w:val="009738E3"/>
    <w:rsid w:val="00975ACF"/>
    <w:rsid w:val="00975C15"/>
    <w:rsid w:val="00976B9D"/>
    <w:rsid w:val="009806C5"/>
    <w:rsid w:val="00980DFE"/>
    <w:rsid w:val="00981C0C"/>
    <w:rsid w:val="00982D8C"/>
    <w:rsid w:val="009830E3"/>
    <w:rsid w:val="0098433D"/>
    <w:rsid w:val="00984B3E"/>
    <w:rsid w:val="009853A6"/>
    <w:rsid w:val="00985E0D"/>
    <w:rsid w:val="00987033"/>
    <w:rsid w:val="009874A1"/>
    <w:rsid w:val="009874CF"/>
    <w:rsid w:val="009906E5"/>
    <w:rsid w:val="00990EB2"/>
    <w:rsid w:val="00994B6D"/>
    <w:rsid w:val="00994CA5"/>
    <w:rsid w:val="00995018"/>
    <w:rsid w:val="00995028"/>
    <w:rsid w:val="00995779"/>
    <w:rsid w:val="009A278A"/>
    <w:rsid w:val="009A3C15"/>
    <w:rsid w:val="009A4A88"/>
    <w:rsid w:val="009A4B72"/>
    <w:rsid w:val="009B3E12"/>
    <w:rsid w:val="009B6733"/>
    <w:rsid w:val="009B7300"/>
    <w:rsid w:val="009B7310"/>
    <w:rsid w:val="009C0AF2"/>
    <w:rsid w:val="009C2A29"/>
    <w:rsid w:val="009C437A"/>
    <w:rsid w:val="009C4E75"/>
    <w:rsid w:val="009C6168"/>
    <w:rsid w:val="009C618C"/>
    <w:rsid w:val="009C72DA"/>
    <w:rsid w:val="009C730A"/>
    <w:rsid w:val="009C7385"/>
    <w:rsid w:val="009D09FE"/>
    <w:rsid w:val="009D0DCF"/>
    <w:rsid w:val="009D3467"/>
    <w:rsid w:val="009D7550"/>
    <w:rsid w:val="009D758C"/>
    <w:rsid w:val="009E01EA"/>
    <w:rsid w:val="009E021E"/>
    <w:rsid w:val="009E116C"/>
    <w:rsid w:val="009E3847"/>
    <w:rsid w:val="009E3F5E"/>
    <w:rsid w:val="009E6EB9"/>
    <w:rsid w:val="009E6F7B"/>
    <w:rsid w:val="009E7A0E"/>
    <w:rsid w:val="009F15BB"/>
    <w:rsid w:val="009F268D"/>
    <w:rsid w:val="009F2C1B"/>
    <w:rsid w:val="009F30CA"/>
    <w:rsid w:val="009F5044"/>
    <w:rsid w:val="009F73AA"/>
    <w:rsid w:val="009F7426"/>
    <w:rsid w:val="00A00191"/>
    <w:rsid w:val="00A00400"/>
    <w:rsid w:val="00A009E9"/>
    <w:rsid w:val="00A00AB0"/>
    <w:rsid w:val="00A00EEC"/>
    <w:rsid w:val="00A01B91"/>
    <w:rsid w:val="00A02721"/>
    <w:rsid w:val="00A04E57"/>
    <w:rsid w:val="00A06EE1"/>
    <w:rsid w:val="00A108B0"/>
    <w:rsid w:val="00A140EA"/>
    <w:rsid w:val="00A152DE"/>
    <w:rsid w:val="00A20B3A"/>
    <w:rsid w:val="00A21046"/>
    <w:rsid w:val="00A2190B"/>
    <w:rsid w:val="00A23795"/>
    <w:rsid w:val="00A27718"/>
    <w:rsid w:val="00A30A01"/>
    <w:rsid w:val="00A30BBF"/>
    <w:rsid w:val="00A30C75"/>
    <w:rsid w:val="00A36A34"/>
    <w:rsid w:val="00A3720A"/>
    <w:rsid w:val="00A41628"/>
    <w:rsid w:val="00A41AAB"/>
    <w:rsid w:val="00A42441"/>
    <w:rsid w:val="00A430EA"/>
    <w:rsid w:val="00A44D98"/>
    <w:rsid w:val="00A46811"/>
    <w:rsid w:val="00A47033"/>
    <w:rsid w:val="00A51BAB"/>
    <w:rsid w:val="00A5250E"/>
    <w:rsid w:val="00A54919"/>
    <w:rsid w:val="00A55976"/>
    <w:rsid w:val="00A5626E"/>
    <w:rsid w:val="00A578D2"/>
    <w:rsid w:val="00A61FCC"/>
    <w:rsid w:val="00A6398D"/>
    <w:rsid w:val="00A66F62"/>
    <w:rsid w:val="00A670CA"/>
    <w:rsid w:val="00A715BE"/>
    <w:rsid w:val="00A73448"/>
    <w:rsid w:val="00A75073"/>
    <w:rsid w:val="00A76D75"/>
    <w:rsid w:val="00A776E8"/>
    <w:rsid w:val="00A777FD"/>
    <w:rsid w:val="00A77B51"/>
    <w:rsid w:val="00A817CD"/>
    <w:rsid w:val="00A81BDB"/>
    <w:rsid w:val="00A83377"/>
    <w:rsid w:val="00A83736"/>
    <w:rsid w:val="00A83779"/>
    <w:rsid w:val="00A84E4D"/>
    <w:rsid w:val="00A86603"/>
    <w:rsid w:val="00A95104"/>
    <w:rsid w:val="00A95BCF"/>
    <w:rsid w:val="00A961E4"/>
    <w:rsid w:val="00A9663C"/>
    <w:rsid w:val="00A97171"/>
    <w:rsid w:val="00A97ACF"/>
    <w:rsid w:val="00A97B27"/>
    <w:rsid w:val="00AA11CC"/>
    <w:rsid w:val="00AA124A"/>
    <w:rsid w:val="00AA281C"/>
    <w:rsid w:val="00AA6635"/>
    <w:rsid w:val="00AA6661"/>
    <w:rsid w:val="00AA6B9D"/>
    <w:rsid w:val="00AA73E5"/>
    <w:rsid w:val="00AB0F0C"/>
    <w:rsid w:val="00AB1F9E"/>
    <w:rsid w:val="00AB32F7"/>
    <w:rsid w:val="00AB3AE7"/>
    <w:rsid w:val="00AB44F9"/>
    <w:rsid w:val="00AB60DF"/>
    <w:rsid w:val="00AB6D52"/>
    <w:rsid w:val="00AB7BD4"/>
    <w:rsid w:val="00AB7DDC"/>
    <w:rsid w:val="00AC2A17"/>
    <w:rsid w:val="00AC2D00"/>
    <w:rsid w:val="00AC3D62"/>
    <w:rsid w:val="00AC4089"/>
    <w:rsid w:val="00AC487A"/>
    <w:rsid w:val="00AC4C45"/>
    <w:rsid w:val="00AC51E6"/>
    <w:rsid w:val="00AC5FDF"/>
    <w:rsid w:val="00AC6899"/>
    <w:rsid w:val="00AC69ED"/>
    <w:rsid w:val="00AC7837"/>
    <w:rsid w:val="00AD0B58"/>
    <w:rsid w:val="00AD1A9B"/>
    <w:rsid w:val="00AD2882"/>
    <w:rsid w:val="00AD314B"/>
    <w:rsid w:val="00AD3AD0"/>
    <w:rsid w:val="00AD4744"/>
    <w:rsid w:val="00AD549B"/>
    <w:rsid w:val="00AD56AC"/>
    <w:rsid w:val="00AD5A76"/>
    <w:rsid w:val="00AE073B"/>
    <w:rsid w:val="00AE0ADA"/>
    <w:rsid w:val="00AE0D56"/>
    <w:rsid w:val="00AE22A3"/>
    <w:rsid w:val="00AE339B"/>
    <w:rsid w:val="00AE3ED8"/>
    <w:rsid w:val="00AE4FF6"/>
    <w:rsid w:val="00AE50C1"/>
    <w:rsid w:val="00AE5EC3"/>
    <w:rsid w:val="00AE6547"/>
    <w:rsid w:val="00AF1D44"/>
    <w:rsid w:val="00AF545F"/>
    <w:rsid w:val="00AF5CE8"/>
    <w:rsid w:val="00AF7A1E"/>
    <w:rsid w:val="00B00D32"/>
    <w:rsid w:val="00B01953"/>
    <w:rsid w:val="00B02C54"/>
    <w:rsid w:val="00B03B83"/>
    <w:rsid w:val="00B044C0"/>
    <w:rsid w:val="00B0552A"/>
    <w:rsid w:val="00B06F6B"/>
    <w:rsid w:val="00B0722E"/>
    <w:rsid w:val="00B078DB"/>
    <w:rsid w:val="00B136D7"/>
    <w:rsid w:val="00B1431D"/>
    <w:rsid w:val="00B148A5"/>
    <w:rsid w:val="00B174B8"/>
    <w:rsid w:val="00B20541"/>
    <w:rsid w:val="00B24445"/>
    <w:rsid w:val="00B247CC"/>
    <w:rsid w:val="00B25DBD"/>
    <w:rsid w:val="00B267B8"/>
    <w:rsid w:val="00B27B1A"/>
    <w:rsid w:val="00B36164"/>
    <w:rsid w:val="00B36335"/>
    <w:rsid w:val="00B4014B"/>
    <w:rsid w:val="00B42129"/>
    <w:rsid w:val="00B42A81"/>
    <w:rsid w:val="00B440C8"/>
    <w:rsid w:val="00B44374"/>
    <w:rsid w:val="00B44AED"/>
    <w:rsid w:val="00B45052"/>
    <w:rsid w:val="00B462FB"/>
    <w:rsid w:val="00B50967"/>
    <w:rsid w:val="00B51437"/>
    <w:rsid w:val="00B51C25"/>
    <w:rsid w:val="00B53F04"/>
    <w:rsid w:val="00B547E3"/>
    <w:rsid w:val="00B55DFE"/>
    <w:rsid w:val="00B61997"/>
    <w:rsid w:val="00B62EB4"/>
    <w:rsid w:val="00B64F8C"/>
    <w:rsid w:val="00B65AC4"/>
    <w:rsid w:val="00B67612"/>
    <w:rsid w:val="00B67FD9"/>
    <w:rsid w:val="00B70241"/>
    <w:rsid w:val="00B73381"/>
    <w:rsid w:val="00B80796"/>
    <w:rsid w:val="00B8210E"/>
    <w:rsid w:val="00B82FB1"/>
    <w:rsid w:val="00B83A8F"/>
    <w:rsid w:val="00B85371"/>
    <w:rsid w:val="00B854B9"/>
    <w:rsid w:val="00B85642"/>
    <w:rsid w:val="00B858F8"/>
    <w:rsid w:val="00B90695"/>
    <w:rsid w:val="00B91BCF"/>
    <w:rsid w:val="00B91E54"/>
    <w:rsid w:val="00B921E3"/>
    <w:rsid w:val="00B92C91"/>
    <w:rsid w:val="00B9384D"/>
    <w:rsid w:val="00B95498"/>
    <w:rsid w:val="00B958CF"/>
    <w:rsid w:val="00B961F1"/>
    <w:rsid w:val="00BA32CD"/>
    <w:rsid w:val="00BA38BF"/>
    <w:rsid w:val="00BA44AE"/>
    <w:rsid w:val="00BB02FD"/>
    <w:rsid w:val="00BB357D"/>
    <w:rsid w:val="00BB620F"/>
    <w:rsid w:val="00BC1F4F"/>
    <w:rsid w:val="00BC270B"/>
    <w:rsid w:val="00BC35D3"/>
    <w:rsid w:val="00BC4BDD"/>
    <w:rsid w:val="00BC5094"/>
    <w:rsid w:val="00BC594F"/>
    <w:rsid w:val="00BD03E8"/>
    <w:rsid w:val="00BD11C5"/>
    <w:rsid w:val="00BD3E67"/>
    <w:rsid w:val="00BD5769"/>
    <w:rsid w:val="00BD5866"/>
    <w:rsid w:val="00BD6605"/>
    <w:rsid w:val="00BD663B"/>
    <w:rsid w:val="00BD76A5"/>
    <w:rsid w:val="00BD7B73"/>
    <w:rsid w:val="00BE0077"/>
    <w:rsid w:val="00BE05D4"/>
    <w:rsid w:val="00BE1A27"/>
    <w:rsid w:val="00BE2453"/>
    <w:rsid w:val="00BE25A5"/>
    <w:rsid w:val="00BE3142"/>
    <w:rsid w:val="00BE442A"/>
    <w:rsid w:val="00BE453A"/>
    <w:rsid w:val="00BE4E72"/>
    <w:rsid w:val="00BE5B72"/>
    <w:rsid w:val="00BE7435"/>
    <w:rsid w:val="00BE7EA8"/>
    <w:rsid w:val="00BF22BD"/>
    <w:rsid w:val="00BF2CA4"/>
    <w:rsid w:val="00BF466E"/>
    <w:rsid w:val="00BF4EA7"/>
    <w:rsid w:val="00BF6DA0"/>
    <w:rsid w:val="00BF6EA7"/>
    <w:rsid w:val="00BF710B"/>
    <w:rsid w:val="00C0033C"/>
    <w:rsid w:val="00C004F1"/>
    <w:rsid w:val="00C013F2"/>
    <w:rsid w:val="00C0360F"/>
    <w:rsid w:val="00C03C7C"/>
    <w:rsid w:val="00C04180"/>
    <w:rsid w:val="00C04B7A"/>
    <w:rsid w:val="00C04FFA"/>
    <w:rsid w:val="00C07EB2"/>
    <w:rsid w:val="00C10D7F"/>
    <w:rsid w:val="00C11AD5"/>
    <w:rsid w:val="00C1239F"/>
    <w:rsid w:val="00C1292D"/>
    <w:rsid w:val="00C1419B"/>
    <w:rsid w:val="00C1670A"/>
    <w:rsid w:val="00C20296"/>
    <w:rsid w:val="00C212C4"/>
    <w:rsid w:val="00C2363F"/>
    <w:rsid w:val="00C2370C"/>
    <w:rsid w:val="00C24558"/>
    <w:rsid w:val="00C24B67"/>
    <w:rsid w:val="00C25710"/>
    <w:rsid w:val="00C25B5F"/>
    <w:rsid w:val="00C25F52"/>
    <w:rsid w:val="00C27BD9"/>
    <w:rsid w:val="00C27CDF"/>
    <w:rsid w:val="00C3046D"/>
    <w:rsid w:val="00C31582"/>
    <w:rsid w:val="00C32366"/>
    <w:rsid w:val="00C35FAA"/>
    <w:rsid w:val="00C407AC"/>
    <w:rsid w:val="00C40BE3"/>
    <w:rsid w:val="00C40F3A"/>
    <w:rsid w:val="00C41ED7"/>
    <w:rsid w:val="00C44667"/>
    <w:rsid w:val="00C44F47"/>
    <w:rsid w:val="00C45561"/>
    <w:rsid w:val="00C46DA0"/>
    <w:rsid w:val="00C478F5"/>
    <w:rsid w:val="00C533C1"/>
    <w:rsid w:val="00C53CB2"/>
    <w:rsid w:val="00C542AF"/>
    <w:rsid w:val="00C560FF"/>
    <w:rsid w:val="00C56887"/>
    <w:rsid w:val="00C56958"/>
    <w:rsid w:val="00C60266"/>
    <w:rsid w:val="00C609CE"/>
    <w:rsid w:val="00C6149C"/>
    <w:rsid w:val="00C66131"/>
    <w:rsid w:val="00C70E98"/>
    <w:rsid w:val="00C71428"/>
    <w:rsid w:val="00C72DE8"/>
    <w:rsid w:val="00C738F8"/>
    <w:rsid w:val="00C73B4C"/>
    <w:rsid w:val="00C74583"/>
    <w:rsid w:val="00C76831"/>
    <w:rsid w:val="00C8135A"/>
    <w:rsid w:val="00C81587"/>
    <w:rsid w:val="00C81DEA"/>
    <w:rsid w:val="00C83D30"/>
    <w:rsid w:val="00C8481B"/>
    <w:rsid w:val="00C860FD"/>
    <w:rsid w:val="00C86F1A"/>
    <w:rsid w:val="00C90FD5"/>
    <w:rsid w:val="00C9154A"/>
    <w:rsid w:val="00C96352"/>
    <w:rsid w:val="00C977BF"/>
    <w:rsid w:val="00CA1E14"/>
    <w:rsid w:val="00CA22D7"/>
    <w:rsid w:val="00CA2BA6"/>
    <w:rsid w:val="00CA3EBB"/>
    <w:rsid w:val="00CA47B3"/>
    <w:rsid w:val="00CA6C9B"/>
    <w:rsid w:val="00CA7420"/>
    <w:rsid w:val="00CB0680"/>
    <w:rsid w:val="00CB1254"/>
    <w:rsid w:val="00CB41EC"/>
    <w:rsid w:val="00CB5C80"/>
    <w:rsid w:val="00CB697A"/>
    <w:rsid w:val="00CB7181"/>
    <w:rsid w:val="00CB7AB8"/>
    <w:rsid w:val="00CB7BF7"/>
    <w:rsid w:val="00CB7C42"/>
    <w:rsid w:val="00CB7D27"/>
    <w:rsid w:val="00CC0FF5"/>
    <w:rsid w:val="00CC2606"/>
    <w:rsid w:val="00CC287F"/>
    <w:rsid w:val="00CC49EB"/>
    <w:rsid w:val="00CC4DE2"/>
    <w:rsid w:val="00CC604A"/>
    <w:rsid w:val="00CC6C72"/>
    <w:rsid w:val="00CD0AF0"/>
    <w:rsid w:val="00CD1A3E"/>
    <w:rsid w:val="00CD2820"/>
    <w:rsid w:val="00CD2C9A"/>
    <w:rsid w:val="00CD3505"/>
    <w:rsid w:val="00CD49B8"/>
    <w:rsid w:val="00CD5CDD"/>
    <w:rsid w:val="00CD6014"/>
    <w:rsid w:val="00CD6963"/>
    <w:rsid w:val="00CD6BD8"/>
    <w:rsid w:val="00CD71C1"/>
    <w:rsid w:val="00CE1019"/>
    <w:rsid w:val="00CE165D"/>
    <w:rsid w:val="00CE16C3"/>
    <w:rsid w:val="00CE3CDF"/>
    <w:rsid w:val="00CE5026"/>
    <w:rsid w:val="00CE62A2"/>
    <w:rsid w:val="00CE6527"/>
    <w:rsid w:val="00CE7790"/>
    <w:rsid w:val="00CF019A"/>
    <w:rsid w:val="00CF30E5"/>
    <w:rsid w:val="00CF4349"/>
    <w:rsid w:val="00CF550B"/>
    <w:rsid w:val="00D01DD2"/>
    <w:rsid w:val="00D05FB8"/>
    <w:rsid w:val="00D10578"/>
    <w:rsid w:val="00D11578"/>
    <w:rsid w:val="00D11F55"/>
    <w:rsid w:val="00D133F3"/>
    <w:rsid w:val="00D1385D"/>
    <w:rsid w:val="00D1427C"/>
    <w:rsid w:val="00D16C3E"/>
    <w:rsid w:val="00D16E02"/>
    <w:rsid w:val="00D20DC0"/>
    <w:rsid w:val="00D22CF8"/>
    <w:rsid w:val="00D24910"/>
    <w:rsid w:val="00D24BF7"/>
    <w:rsid w:val="00D264AE"/>
    <w:rsid w:val="00D27981"/>
    <w:rsid w:val="00D27EC4"/>
    <w:rsid w:val="00D30552"/>
    <w:rsid w:val="00D31FA1"/>
    <w:rsid w:val="00D332A2"/>
    <w:rsid w:val="00D36873"/>
    <w:rsid w:val="00D37F83"/>
    <w:rsid w:val="00D40BC4"/>
    <w:rsid w:val="00D41935"/>
    <w:rsid w:val="00D42646"/>
    <w:rsid w:val="00D43362"/>
    <w:rsid w:val="00D45C1E"/>
    <w:rsid w:val="00D50FDE"/>
    <w:rsid w:val="00D52C3D"/>
    <w:rsid w:val="00D52F25"/>
    <w:rsid w:val="00D53B18"/>
    <w:rsid w:val="00D5477F"/>
    <w:rsid w:val="00D54AA8"/>
    <w:rsid w:val="00D5591C"/>
    <w:rsid w:val="00D55EB3"/>
    <w:rsid w:val="00D5667B"/>
    <w:rsid w:val="00D56F99"/>
    <w:rsid w:val="00D61B40"/>
    <w:rsid w:val="00D6272E"/>
    <w:rsid w:val="00D63A93"/>
    <w:rsid w:val="00D65E95"/>
    <w:rsid w:val="00D66214"/>
    <w:rsid w:val="00D67DD2"/>
    <w:rsid w:val="00D70075"/>
    <w:rsid w:val="00D709C2"/>
    <w:rsid w:val="00D71FEF"/>
    <w:rsid w:val="00D7348C"/>
    <w:rsid w:val="00D73E13"/>
    <w:rsid w:val="00D74B77"/>
    <w:rsid w:val="00D752AA"/>
    <w:rsid w:val="00D75BCE"/>
    <w:rsid w:val="00D75C79"/>
    <w:rsid w:val="00D77012"/>
    <w:rsid w:val="00D779DE"/>
    <w:rsid w:val="00D8280A"/>
    <w:rsid w:val="00D845DF"/>
    <w:rsid w:val="00D847AB"/>
    <w:rsid w:val="00D85892"/>
    <w:rsid w:val="00D86B78"/>
    <w:rsid w:val="00D90DB8"/>
    <w:rsid w:val="00D9186B"/>
    <w:rsid w:val="00D92337"/>
    <w:rsid w:val="00D92A0E"/>
    <w:rsid w:val="00D92B16"/>
    <w:rsid w:val="00D95EBB"/>
    <w:rsid w:val="00D96525"/>
    <w:rsid w:val="00D975D9"/>
    <w:rsid w:val="00DA0FE1"/>
    <w:rsid w:val="00DA1035"/>
    <w:rsid w:val="00DA2B1C"/>
    <w:rsid w:val="00DA381B"/>
    <w:rsid w:val="00DA5CD4"/>
    <w:rsid w:val="00DA720A"/>
    <w:rsid w:val="00DA72C9"/>
    <w:rsid w:val="00DA7A36"/>
    <w:rsid w:val="00DB0A74"/>
    <w:rsid w:val="00DB135C"/>
    <w:rsid w:val="00DB19AD"/>
    <w:rsid w:val="00DB25B8"/>
    <w:rsid w:val="00DB359E"/>
    <w:rsid w:val="00DB3C04"/>
    <w:rsid w:val="00DB4A36"/>
    <w:rsid w:val="00DB4BBC"/>
    <w:rsid w:val="00DB6EF4"/>
    <w:rsid w:val="00DC168C"/>
    <w:rsid w:val="00DC2154"/>
    <w:rsid w:val="00DC5669"/>
    <w:rsid w:val="00DC5C7A"/>
    <w:rsid w:val="00DC6273"/>
    <w:rsid w:val="00DC6369"/>
    <w:rsid w:val="00DC6E10"/>
    <w:rsid w:val="00DC6E41"/>
    <w:rsid w:val="00DC7B0A"/>
    <w:rsid w:val="00DD0459"/>
    <w:rsid w:val="00DD10ED"/>
    <w:rsid w:val="00DD15CC"/>
    <w:rsid w:val="00DD15DF"/>
    <w:rsid w:val="00DD3008"/>
    <w:rsid w:val="00DD4029"/>
    <w:rsid w:val="00DD4058"/>
    <w:rsid w:val="00DD4D8B"/>
    <w:rsid w:val="00DD7B63"/>
    <w:rsid w:val="00DE2912"/>
    <w:rsid w:val="00DE4DAA"/>
    <w:rsid w:val="00DE6462"/>
    <w:rsid w:val="00DE746C"/>
    <w:rsid w:val="00DF10DB"/>
    <w:rsid w:val="00DF1975"/>
    <w:rsid w:val="00DF1DA4"/>
    <w:rsid w:val="00DF42B9"/>
    <w:rsid w:val="00DF4432"/>
    <w:rsid w:val="00DF564A"/>
    <w:rsid w:val="00DF574A"/>
    <w:rsid w:val="00DF5BCD"/>
    <w:rsid w:val="00E0150C"/>
    <w:rsid w:val="00E01959"/>
    <w:rsid w:val="00E0317F"/>
    <w:rsid w:val="00E04777"/>
    <w:rsid w:val="00E05B5E"/>
    <w:rsid w:val="00E07161"/>
    <w:rsid w:val="00E075DE"/>
    <w:rsid w:val="00E07770"/>
    <w:rsid w:val="00E10097"/>
    <w:rsid w:val="00E10476"/>
    <w:rsid w:val="00E10675"/>
    <w:rsid w:val="00E12C0F"/>
    <w:rsid w:val="00E15A0E"/>
    <w:rsid w:val="00E16E86"/>
    <w:rsid w:val="00E17426"/>
    <w:rsid w:val="00E20EE9"/>
    <w:rsid w:val="00E21216"/>
    <w:rsid w:val="00E217E3"/>
    <w:rsid w:val="00E21C2E"/>
    <w:rsid w:val="00E21DFB"/>
    <w:rsid w:val="00E229C0"/>
    <w:rsid w:val="00E24DC7"/>
    <w:rsid w:val="00E25514"/>
    <w:rsid w:val="00E25E90"/>
    <w:rsid w:val="00E27517"/>
    <w:rsid w:val="00E27EE7"/>
    <w:rsid w:val="00E31246"/>
    <w:rsid w:val="00E32304"/>
    <w:rsid w:val="00E329FB"/>
    <w:rsid w:val="00E336D0"/>
    <w:rsid w:val="00E341E7"/>
    <w:rsid w:val="00E35518"/>
    <w:rsid w:val="00E37BCF"/>
    <w:rsid w:val="00E4081E"/>
    <w:rsid w:val="00E408A3"/>
    <w:rsid w:val="00E423BB"/>
    <w:rsid w:val="00E4736C"/>
    <w:rsid w:val="00E47962"/>
    <w:rsid w:val="00E47AB6"/>
    <w:rsid w:val="00E514E9"/>
    <w:rsid w:val="00E523E8"/>
    <w:rsid w:val="00E530A5"/>
    <w:rsid w:val="00E53517"/>
    <w:rsid w:val="00E53C89"/>
    <w:rsid w:val="00E573F6"/>
    <w:rsid w:val="00E6078B"/>
    <w:rsid w:val="00E61265"/>
    <w:rsid w:val="00E6166C"/>
    <w:rsid w:val="00E646BE"/>
    <w:rsid w:val="00E6516C"/>
    <w:rsid w:val="00E65626"/>
    <w:rsid w:val="00E66075"/>
    <w:rsid w:val="00E66818"/>
    <w:rsid w:val="00E671C6"/>
    <w:rsid w:val="00E672FC"/>
    <w:rsid w:val="00E67EF5"/>
    <w:rsid w:val="00E73127"/>
    <w:rsid w:val="00E740EE"/>
    <w:rsid w:val="00E811B7"/>
    <w:rsid w:val="00E818BA"/>
    <w:rsid w:val="00E82506"/>
    <w:rsid w:val="00E844B6"/>
    <w:rsid w:val="00E877EC"/>
    <w:rsid w:val="00E9131D"/>
    <w:rsid w:val="00E913BA"/>
    <w:rsid w:val="00E93657"/>
    <w:rsid w:val="00E95DC5"/>
    <w:rsid w:val="00E9664A"/>
    <w:rsid w:val="00E97155"/>
    <w:rsid w:val="00EA1674"/>
    <w:rsid w:val="00EA1CCE"/>
    <w:rsid w:val="00EA5021"/>
    <w:rsid w:val="00EA65C0"/>
    <w:rsid w:val="00EA7358"/>
    <w:rsid w:val="00EA74B6"/>
    <w:rsid w:val="00EA7CC8"/>
    <w:rsid w:val="00EA7FF5"/>
    <w:rsid w:val="00EB0207"/>
    <w:rsid w:val="00EB03A7"/>
    <w:rsid w:val="00EC02F7"/>
    <w:rsid w:val="00EC0D3A"/>
    <w:rsid w:val="00EC12B9"/>
    <w:rsid w:val="00EC1C6F"/>
    <w:rsid w:val="00EC21AA"/>
    <w:rsid w:val="00EC494E"/>
    <w:rsid w:val="00EC775B"/>
    <w:rsid w:val="00ED2535"/>
    <w:rsid w:val="00ED2E64"/>
    <w:rsid w:val="00ED3271"/>
    <w:rsid w:val="00ED3872"/>
    <w:rsid w:val="00ED490D"/>
    <w:rsid w:val="00ED622C"/>
    <w:rsid w:val="00ED6F6C"/>
    <w:rsid w:val="00ED7E43"/>
    <w:rsid w:val="00EE01A2"/>
    <w:rsid w:val="00EE20AC"/>
    <w:rsid w:val="00EE2254"/>
    <w:rsid w:val="00EF04A6"/>
    <w:rsid w:val="00EF2E85"/>
    <w:rsid w:val="00EF5457"/>
    <w:rsid w:val="00EF59DE"/>
    <w:rsid w:val="00EF6456"/>
    <w:rsid w:val="00EF655A"/>
    <w:rsid w:val="00EF7E38"/>
    <w:rsid w:val="00F01ABB"/>
    <w:rsid w:val="00F026A7"/>
    <w:rsid w:val="00F02B39"/>
    <w:rsid w:val="00F04790"/>
    <w:rsid w:val="00F048D0"/>
    <w:rsid w:val="00F04B95"/>
    <w:rsid w:val="00F053A7"/>
    <w:rsid w:val="00F07B80"/>
    <w:rsid w:val="00F07ED2"/>
    <w:rsid w:val="00F13AC3"/>
    <w:rsid w:val="00F14840"/>
    <w:rsid w:val="00F16E64"/>
    <w:rsid w:val="00F17980"/>
    <w:rsid w:val="00F20B16"/>
    <w:rsid w:val="00F21354"/>
    <w:rsid w:val="00F22B4F"/>
    <w:rsid w:val="00F24187"/>
    <w:rsid w:val="00F25AC0"/>
    <w:rsid w:val="00F30072"/>
    <w:rsid w:val="00F31781"/>
    <w:rsid w:val="00F31ACE"/>
    <w:rsid w:val="00F31F22"/>
    <w:rsid w:val="00F31FC9"/>
    <w:rsid w:val="00F3325F"/>
    <w:rsid w:val="00F34B41"/>
    <w:rsid w:val="00F36DBA"/>
    <w:rsid w:val="00F3782D"/>
    <w:rsid w:val="00F37B03"/>
    <w:rsid w:val="00F424BA"/>
    <w:rsid w:val="00F42584"/>
    <w:rsid w:val="00F45A01"/>
    <w:rsid w:val="00F47785"/>
    <w:rsid w:val="00F5205C"/>
    <w:rsid w:val="00F53358"/>
    <w:rsid w:val="00F55DDF"/>
    <w:rsid w:val="00F5709F"/>
    <w:rsid w:val="00F60467"/>
    <w:rsid w:val="00F61BF4"/>
    <w:rsid w:val="00F63773"/>
    <w:rsid w:val="00F66A0A"/>
    <w:rsid w:val="00F67141"/>
    <w:rsid w:val="00F73D7B"/>
    <w:rsid w:val="00F73DCF"/>
    <w:rsid w:val="00F742CE"/>
    <w:rsid w:val="00F7461D"/>
    <w:rsid w:val="00F80A89"/>
    <w:rsid w:val="00F80B96"/>
    <w:rsid w:val="00F81A6E"/>
    <w:rsid w:val="00F839F5"/>
    <w:rsid w:val="00F8476A"/>
    <w:rsid w:val="00F91C9F"/>
    <w:rsid w:val="00F95752"/>
    <w:rsid w:val="00F964A7"/>
    <w:rsid w:val="00F96B7A"/>
    <w:rsid w:val="00F9769D"/>
    <w:rsid w:val="00FA070E"/>
    <w:rsid w:val="00FA1399"/>
    <w:rsid w:val="00FA171B"/>
    <w:rsid w:val="00FA2BEC"/>
    <w:rsid w:val="00FA2CB5"/>
    <w:rsid w:val="00FA3F11"/>
    <w:rsid w:val="00FA4226"/>
    <w:rsid w:val="00FA427D"/>
    <w:rsid w:val="00FA44B8"/>
    <w:rsid w:val="00FA4FC7"/>
    <w:rsid w:val="00FA60C0"/>
    <w:rsid w:val="00FB0A36"/>
    <w:rsid w:val="00FB3BAB"/>
    <w:rsid w:val="00FB3C16"/>
    <w:rsid w:val="00FB508F"/>
    <w:rsid w:val="00FB518A"/>
    <w:rsid w:val="00FB52B5"/>
    <w:rsid w:val="00FB6EC2"/>
    <w:rsid w:val="00FC401D"/>
    <w:rsid w:val="00FC4DF2"/>
    <w:rsid w:val="00FC5C4E"/>
    <w:rsid w:val="00FC7A89"/>
    <w:rsid w:val="00FD16A3"/>
    <w:rsid w:val="00FD17F2"/>
    <w:rsid w:val="00FD1D47"/>
    <w:rsid w:val="00FD269F"/>
    <w:rsid w:val="00FD4A07"/>
    <w:rsid w:val="00FD63A2"/>
    <w:rsid w:val="00FD6F7F"/>
    <w:rsid w:val="00FD760C"/>
    <w:rsid w:val="00FD77CE"/>
    <w:rsid w:val="00FE0D01"/>
    <w:rsid w:val="00FE2E21"/>
    <w:rsid w:val="00FE322A"/>
    <w:rsid w:val="00FE4BCA"/>
    <w:rsid w:val="00FE53E3"/>
    <w:rsid w:val="00FE5EB4"/>
    <w:rsid w:val="00FE6FE9"/>
    <w:rsid w:val="00FF05D1"/>
    <w:rsid w:val="00FF23FA"/>
    <w:rsid w:val="00FF6B3C"/>
    <w:rsid w:val="01987A2E"/>
    <w:rsid w:val="020A643C"/>
    <w:rsid w:val="03575F55"/>
    <w:rsid w:val="03834C83"/>
    <w:rsid w:val="03973858"/>
    <w:rsid w:val="040F6669"/>
    <w:rsid w:val="04E02B2B"/>
    <w:rsid w:val="04F60C83"/>
    <w:rsid w:val="04FC4D26"/>
    <w:rsid w:val="055204AE"/>
    <w:rsid w:val="05AF09A3"/>
    <w:rsid w:val="05CD2825"/>
    <w:rsid w:val="05D6061E"/>
    <w:rsid w:val="065B4E4C"/>
    <w:rsid w:val="068966BF"/>
    <w:rsid w:val="06B446F3"/>
    <w:rsid w:val="06D32A27"/>
    <w:rsid w:val="06DF07E2"/>
    <w:rsid w:val="07AB768A"/>
    <w:rsid w:val="07D37FAF"/>
    <w:rsid w:val="0842134C"/>
    <w:rsid w:val="08910764"/>
    <w:rsid w:val="089B03BE"/>
    <w:rsid w:val="08B3460C"/>
    <w:rsid w:val="08B66FA6"/>
    <w:rsid w:val="093162F6"/>
    <w:rsid w:val="09694018"/>
    <w:rsid w:val="09A908B8"/>
    <w:rsid w:val="09C36255"/>
    <w:rsid w:val="0A411845"/>
    <w:rsid w:val="0A911A78"/>
    <w:rsid w:val="0AB72161"/>
    <w:rsid w:val="0B376D0D"/>
    <w:rsid w:val="0BEA3141"/>
    <w:rsid w:val="0BEC1208"/>
    <w:rsid w:val="0C740FCD"/>
    <w:rsid w:val="0C7B4385"/>
    <w:rsid w:val="0D073807"/>
    <w:rsid w:val="0D5045AB"/>
    <w:rsid w:val="0D7337A0"/>
    <w:rsid w:val="0E414ACE"/>
    <w:rsid w:val="0F323D99"/>
    <w:rsid w:val="0F7D4890"/>
    <w:rsid w:val="10091C47"/>
    <w:rsid w:val="10407005"/>
    <w:rsid w:val="10707B5F"/>
    <w:rsid w:val="10926FD2"/>
    <w:rsid w:val="110220E2"/>
    <w:rsid w:val="11200A19"/>
    <w:rsid w:val="11C52D01"/>
    <w:rsid w:val="134D37E4"/>
    <w:rsid w:val="1430407F"/>
    <w:rsid w:val="145747E1"/>
    <w:rsid w:val="153C37DB"/>
    <w:rsid w:val="15655DA6"/>
    <w:rsid w:val="1585201F"/>
    <w:rsid w:val="15C15F3E"/>
    <w:rsid w:val="166E6489"/>
    <w:rsid w:val="16725799"/>
    <w:rsid w:val="16D91EBA"/>
    <w:rsid w:val="176F3141"/>
    <w:rsid w:val="183E5951"/>
    <w:rsid w:val="18811BEB"/>
    <w:rsid w:val="18E11E1D"/>
    <w:rsid w:val="19384E2E"/>
    <w:rsid w:val="193E1C7A"/>
    <w:rsid w:val="198964EF"/>
    <w:rsid w:val="199827FE"/>
    <w:rsid w:val="1A097D76"/>
    <w:rsid w:val="1A163EE3"/>
    <w:rsid w:val="1AF45C78"/>
    <w:rsid w:val="1B866CAC"/>
    <w:rsid w:val="1BFF6C93"/>
    <w:rsid w:val="1C4B594C"/>
    <w:rsid w:val="1C5546A5"/>
    <w:rsid w:val="1C56210D"/>
    <w:rsid w:val="1CC31A2E"/>
    <w:rsid w:val="1DAB47A7"/>
    <w:rsid w:val="1DB5077F"/>
    <w:rsid w:val="1E104199"/>
    <w:rsid w:val="1E756CC3"/>
    <w:rsid w:val="1EA9518B"/>
    <w:rsid w:val="1F7D3A80"/>
    <w:rsid w:val="20D35ABA"/>
    <w:rsid w:val="21A05197"/>
    <w:rsid w:val="21CA1396"/>
    <w:rsid w:val="22596DD3"/>
    <w:rsid w:val="22610EEB"/>
    <w:rsid w:val="22CF34D7"/>
    <w:rsid w:val="2307429F"/>
    <w:rsid w:val="2369516A"/>
    <w:rsid w:val="24366088"/>
    <w:rsid w:val="252C0529"/>
    <w:rsid w:val="25727790"/>
    <w:rsid w:val="25820BA0"/>
    <w:rsid w:val="26B35DCE"/>
    <w:rsid w:val="26C54B2C"/>
    <w:rsid w:val="26E153B5"/>
    <w:rsid w:val="27174C5C"/>
    <w:rsid w:val="27313F6F"/>
    <w:rsid w:val="273B7FE4"/>
    <w:rsid w:val="27B444A9"/>
    <w:rsid w:val="27F54F9D"/>
    <w:rsid w:val="27FB5925"/>
    <w:rsid w:val="282249BA"/>
    <w:rsid w:val="28260B0A"/>
    <w:rsid w:val="282F4C55"/>
    <w:rsid w:val="29233B43"/>
    <w:rsid w:val="294114A5"/>
    <w:rsid w:val="295F614B"/>
    <w:rsid w:val="298025C5"/>
    <w:rsid w:val="298622A2"/>
    <w:rsid w:val="29BA59A3"/>
    <w:rsid w:val="29CA10DD"/>
    <w:rsid w:val="29E03A2B"/>
    <w:rsid w:val="29EC3430"/>
    <w:rsid w:val="2A53570D"/>
    <w:rsid w:val="2AC56314"/>
    <w:rsid w:val="2BD10993"/>
    <w:rsid w:val="2C1D4B8D"/>
    <w:rsid w:val="2C815538"/>
    <w:rsid w:val="2D46629B"/>
    <w:rsid w:val="2D483DC1"/>
    <w:rsid w:val="2E0D5932"/>
    <w:rsid w:val="2E676DCB"/>
    <w:rsid w:val="2E8819F0"/>
    <w:rsid w:val="2E8E0660"/>
    <w:rsid w:val="2E9845CC"/>
    <w:rsid w:val="2EB45C97"/>
    <w:rsid w:val="2F7C1429"/>
    <w:rsid w:val="30060D9F"/>
    <w:rsid w:val="307531BD"/>
    <w:rsid w:val="30CF1364"/>
    <w:rsid w:val="31EA18EB"/>
    <w:rsid w:val="31FE6CEB"/>
    <w:rsid w:val="321B5F48"/>
    <w:rsid w:val="32326CC0"/>
    <w:rsid w:val="328F3F74"/>
    <w:rsid w:val="3359768E"/>
    <w:rsid w:val="336B38C8"/>
    <w:rsid w:val="337A5025"/>
    <w:rsid w:val="3431795E"/>
    <w:rsid w:val="351147E9"/>
    <w:rsid w:val="3555351F"/>
    <w:rsid w:val="357E73F3"/>
    <w:rsid w:val="35F576AC"/>
    <w:rsid w:val="368D390B"/>
    <w:rsid w:val="36A853C4"/>
    <w:rsid w:val="36F62B9D"/>
    <w:rsid w:val="3704791B"/>
    <w:rsid w:val="377C7F39"/>
    <w:rsid w:val="3792347C"/>
    <w:rsid w:val="37C0293D"/>
    <w:rsid w:val="38D01885"/>
    <w:rsid w:val="38D602EF"/>
    <w:rsid w:val="39191D3B"/>
    <w:rsid w:val="39AD728C"/>
    <w:rsid w:val="39CD14B1"/>
    <w:rsid w:val="3B24652D"/>
    <w:rsid w:val="3B31621B"/>
    <w:rsid w:val="3B713B09"/>
    <w:rsid w:val="3B8C077D"/>
    <w:rsid w:val="3B9F72A2"/>
    <w:rsid w:val="3BE473AB"/>
    <w:rsid w:val="3C1D7F17"/>
    <w:rsid w:val="3C2D5AC6"/>
    <w:rsid w:val="3C5D6A6E"/>
    <w:rsid w:val="3C9A0678"/>
    <w:rsid w:val="3CC8119E"/>
    <w:rsid w:val="3CCF19EA"/>
    <w:rsid w:val="3CD76F0F"/>
    <w:rsid w:val="3CEA09F1"/>
    <w:rsid w:val="3D511054"/>
    <w:rsid w:val="3D732B0E"/>
    <w:rsid w:val="3DAA2CE0"/>
    <w:rsid w:val="3DBA7FEB"/>
    <w:rsid w:val="3DD841A1"/>
    <w:rsid w:val="3E22364C"/>
    <w:rsid w:val="3ECA1C1E"/>
    <w:rsid w:val="3FAA4B03"/>
    <w:rsid w:val="3FB3150A"/>
    <w:rsid w:val="40932700"/>
    <w:rsid w:val="410E1158"/>
    <w:rsid w:val="41520B91"/>
    <w:rsid w:val="41653345"/>
    <w:rsid w:val="42EB7271"/>
    <w:rsid w:val="4338699F"/>
    <w:rsid w:val="441445A5"/>
    <w:rsid w:val="447E4301"/>
    <w:rsid w:val="44970D47"/>
    <w:rsid w:val="44D3394B"/>
    <w:rsid w:val="450D5178"/>
    <w:rsid w:val="457D1ADF"/>
    <w:rsid w:val="45F735B3"/>
    <w:rsid w:val="46680143"/>
    <w:rsid w:val="466D33E0"/>
    <w:rsid w:val="472C4F80"/>
    <w:rsid w:val="47330D5C"/>
    <w:rsid w:val="481D611E"/>
    <w:rsid w:val="48B82A67"/>
    <w:rsid w:val="496E1A5C"/>
    <w:rsid w:val="49733EB6"/>
    <w:rsid w:val="4A0E4501"/>
    <w:rsid w:val="4A2319E6"/>
    <w:rsid w:val="4A9E286A"/>
    <w:rsid w:val="4AB11E22"/>
    <w:rsid w:val="4B105FE1"/>
    <w:rsid w:val="4B4D3503"/>
    <w:rsid w:val="4BBF5489"/>
    <w:rsid w:val="4BF92C1C"/>
    <w:rsid w:val="4C3374DA"/>
    <w:rsid w:val="4C8C3872"/>
    <w:rsid w:val="4CBD4F79"/>
    <w:rsid w:val="4CCD3ADC"/>
    <w:rsid w:val="4D1C4DAC"/>
    <w:rsid w:val="4D5F08E8"/>
    <w:rsid w:val="4DA37D6C"/>
    <w:rsid w:val="4DEF0F66"/>
    <w:rsid w:val="4E1857AC"/>
    <w:rsid w:val="4E507CE1"/>
    <w:rsid w:val="4F1D6A04"/>
    <w:rsid w:val="4F89522E"/>
    <w:rsid w:val="4FAF0345"/>
    <w:rsid w:val="50106830"/>
    <w:rsid w:val="502104A0"/>
    <w:rsid w:val="508825A3"/>
    <w:rsid w:val="51137A93"/>
    <w:rsid w:val="5148796E"/>
    <w:rsid w:val="5165303B"/>
    <w:rsid w:val="51740E77"/>
    <w:rsid w:val="519F7BA4"/>
    <w:rsid w:val="521C4B6C"/>
    <w:rsid w:val="52636E23"/>
    <w:rsid w:val="52842EB6"/>
    <w:rsid w:val="52B12E46"/>
    <w:rsid w:val="52D40439"/>
    <w:rsid w:val="53113CD6"/>
    <w:rsid w:val="535B028A"/>
    <w:rsid w:val="53791E9F"/>
    <w:rsid w:val="54143603"/>
    <w:rsid w:val="54157A06"/>
    <w:rsid w:val="54554E92"/>
    <w:rsid w:val="54AE7962"/>
    <w:rsid w:val="54B5148C"/>
    <w:rsid w:val="558C0860"/>
    <w:rsid w:val="55A961EF"/>
    <w:rsid w:val="56137158"/>
    <w:rsid w:val="56205C4C"/>
    <w:rsid w:val="56935FAE"/>
    <w:rsid w:val="56966F8B"/>
    <w:rsid w:val="56F17575"/>
    <w:rsid w:val="572F3E8E"/>
    <w:rsid w:val="57534570"/>
    <w:rsid w:val="576724AE"/>
    <w:rsid w:val="57784471"/>
    <w:rsid w:val="57956E41"/>
    <w:rsid w:val="57E6454C"/>
    <w:rsid w:val="58B4584C"/>
    <w:rsid w:val="590E0258"/>
    <w:rsid w:val="590F3861"/>
    <w:rsid w:val="598905D8"/>
    <w:rsid w:val="5A223FE8"/>
    <w:rsid w:val="5B6B1FDA"/>
    <w:rsid w:val="5B8606C6"/>
    <w:rsid w:val="5B894D60"/>
    <w:rsid w:val="5D082FAD"/>
    <w:rsid w:val="5D81716F"/>
    <w:rsid w:val="5E253FC9"/>
    <w:rsid w:val="5EB77A9C"/>
    <w:rsid w:val="5ECF75EF"/>
    <w:rsid w:val="5EF51BEB"/>
    <w:rsid w:val="5F05100A"/>
    <w:rsid w:val="5F1C3A73"/>
    <w:rsid w:val="5F3218D7"/>
    <w:rsid w:val="5F9A4C5F"/>
    <w:rsid w:val="5FA8728F"/>
    <w:rsid w:val="5FFC67DE"/>
    <w:rsid w:val="600C7B4B"/>
    <w:rsid w:val="60196466"/>
    <w:rsid w:val="60BE0E03"/>
    <w:rsid w:val="60CA7740"/>
    <w:rsid w:val="60CF4CC7"/>
    <w:rsid w:val="61493688"/>
    <w:rsid w:val="616D065A"/>
    <w:rsid w:val="61D74E23"/>
    <w:rsid w:val="61DE6458"/>
    <w:rsid w:val="61E43AB3"/>
    <w:rsid w:val="6296322E"/>
    <w:rsid w:val="636522D0"/>
    <w:rsid w:val="64283888"/>
    <w:rsid w:val="6445396F"/>
    <w:rsid w:val="64507709"/>
    <w:rsid w:val="64756407"/>
    <w:rsid w:val="64A6663A"/>
    <w:rsid w:val="64F26011"/>
    <w:rsid w:val="653813F0"/>
    <w:rsid w:val="656406FB"/>
    <w:rsid w:val="656B7B0C"/>
    <w:rsid w:val="656C5B97"/>
    <w:rsid w:val="65C76299"/>
    <w:rsid w:val="666B22F3"/>
    <w:rsid w:val="668E356E"/>
    <w:rsid w:val="66D356FB"/>
    <w:rsid w:val="67053624"/>
    <w:rsid w:val="68AB7945"/>
    <w:rsid w:val="68F25B2B"/>
    <w:rsid w:val="693762A9"/>
    <w:rsid w:val="695348DB"/>
    <w:rsid w:val="6963044E"/>
    <w:rsid w:val="6A177EFD"/>
    <w:rsid w:val="6A9046D6"/>
    <w:rsid w:val="6AF46FED"/>
    <w:rsid w:val="6B3C7DBA"/>
    <w:rsid w:val="6C6B41A3"/>
    <w:rsid w:val="6CA53998"/>
    <w:rsid w:val="6CB3328F"/>
    <w:rsid w:val="6D6334DB"/>
    <w:rsid w:val="6D88378A"/>
    <w:rsid w:val="6DEC3D19"/>
    <w:rsid w:val="6E0E4AC2"/>
    <w:rsid w:val="6E850DC4"/>
    <w:rsid w:val="6E9315D8"/>
    <w:rsid w:val="6F4D6A39"/>
    <w:rsid w:val="6FA50D19"/>
    <w:rsid w:val="6FF96DB4"/>
    <w:rsid w:val="70012353"/>
    <w:rsid w:val="700B457D"/>
    <w:rsid w:val="705931BC"/>
    <w:rsid w:val="70912956"/>
    <w:rsid w:val="70E72DBD"/>
    <w:rsid w:val="7100110A"/>
    <w:rsid w:val="72071226"/>
    <w:rsid w:val="72805328"/>
    <w:rsid w:val="72D8614B"/>
    <w:rsid w:val="72F6527C"/>
    <w:rsid w:val="731575B8"/>
    <w:rsid w:val="73396415"/>
    <w:rsid w:val="73754BAB"/>
    <w:rsid w:val="738F5A2D"/>
    <w:rsid w:val="741E6BF6"/>
    <w:rsid w:val="74220495"/>
    <w:rsid w:val="74253AE1"/>
    <w:rsid w:val="74FD4A5E"/>
    <w:rsid w:val="75E00725"/>
    <w:rsid w:val="75E874BC"/>
    <w:rsid w:val="766B2A54"/>
    <w:rsid w:val="76A85539"/>
    <w:rsid w:val="76B61E13"/>
    <w:rsid w:val="779D31D6"/>
    <w:rsid w:val="77CE32A3"/>
    <w:rsid w:val="77FD4C52"/>
    <w:rsid w:val="7802382D"/>
    <w:rsid w:val="78757816"/>
    <w:rsid w:val="789B7B8A"/>
    <w:rsid w:val="78A328E7"/>
    <w:rsid w:val="794A3074"/>
    <w:rsid w:val="79976357"/>
    <w:rsid w:val="799E7F52"/>
    <w:rsid w:val="7A1F7FAD"/>
    <w:rsid w:val="7A2D1941"/>
    <w:rsid w:val="7A3E119B"/>
    <w:rsid w:val="7ADD3CE5"/>
    <w:rsid w:val="7B7344BD"/>
    <w:rsid w:val="7B907B64"/>
    <w:rsid w:val="7B9F26D0"/>
    <w:rsid w:val="7BD66AC0"/>
    <w:rsid w:val="7BDC08DB"/>
    <w:rsid w:val="7C42393F"/>
    <w:rsid w:val="7CBA7331"/>
    <w:rsid w:val="7D4F36D4"/>
    <w:rsid w:val="7DF4754F"/>
    <w:rsid w:val="7E0F1996"/>
    <w:rsid w:val="7EC341A5"/>
    <w:rsid w:val="7F9B5299"/>
    <w:rsid w:val="7FB34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5"/>
    <w:autoRedefine/>
    <w:qFormat/>
    <w:uiPriority w:val="0"/>
    <w:pPr>
      <w:keepNext/>
      <w:keepLines/>
      <w:spacing w:before="340" w:after="330" w:line="578" w:lineRule="auto"/>
      <w:outlineLvl w:val="0"/>
    </w:pPr>
    <w:rPr>
      <w:b/>
      <w:kern w:val="44"/>
      <w:sz w:val="44"/>
    </w:rPr>
  </w:style>
  <w:style w:type="paragraph" w:styleId="3">
    <w:name w:val="heading 2"/>
    <w:basedOn w:val="1"/>
    <w:next w:val="1"/>
    <w:link w:val="56"/>
    <w:autoRedefine/>
    <w:qFormat/>
    <w:uiPriority w:val="0"/>
    <w:pPr>
      <w:keepNext/>
      <w:keepLines/>
      <w:spacing w:before="260" w:after="260" w:line="360" w:lineRule="auto"/>
      <w:outlineLvl w:val="1"/>
    </w:pPr>
    <w:rPr>
      <w:rFonts w:ascii="宋体" w:hAnsi="宋体"/>
      <w:b/>
      <w:color w:val="000000"/>
      <w:sz w:val="30"/>
    </w:rPr>
  </w:style>
  <w:style w:type="paragraph" w:styleId="4">
    <w:name w:val="heading 3"/>
    <w:basedOn w:val="1"/>
    <w:next w:val="5"/>
    <w:link w:val="57"/>
    <w:autoRedefine/>
    <w:qFormat/>
    <w:uiPriority w:val="0"/>
    <w:pPr>
      <w:keepNext/>
      <w:keepLines/>
      <w:autoSpaceDE w:val="0"/>
      <w:autoSpaceDN w:val="0"/>
      <w:adjustRightInd w:val="0"/>
      <w:snapToGrid w:val="0"/>
      <w:spacing w:before="360" w:after="260" w:line="360" w:lineRule="auto"/>
      <w:textAlignment w:val="baseline"/>
      <w:outlineLvl w:val="2"/>
    </w:pPr>
    <w:rPr>
      <w:rFonts w:ascii="宋体" w:hAnsi="宋体"/>
      <w:b/>
      <w:sz w:val="28"/>
    </w:rPr>
  </w:style>
  <w:style w:type="paragraph" w:styleId="6">
    <w:name w:val="heading 4"/>
    <w:basedOn w:val="1"/>
    <w:next w:val="1"/>
    <w:link w:val="58"/>
    <w:autoRedefine/>
    <w:qFormat/>
    <w:uiPriority w:val="0"/>
    <w:pPr>
      <w:keepNext/>
      <w:keepLines/>
      <w:spacing w:before="280" w:after="290" w:line="376" w:lineRule="auto"/>
      <w:outlineLvl w:val="3"/>
    </w:pPr>
    <w:rPr>
      <w:rFonts w:ascii="宋体" w:hAnsi="宋体"/>
      <w:b/>
      <w:sz w:val="28"/>
    </w:rPr>
  </w:style>
  <w:style w:type="paragraph" w:styleId="7">
    <w:name w:val="heading 5"/>
    <w:basedOn w:val="1"/>
    <w:next w:val="8"/>
    <w:link w:val="59"/>
    <w:autoRedefine/>
    <w:qFormat/>
    <w:uiPriority w:val="0"/>
    <w:pPr>
      <w:spacing w:before="60" w:after="60" w:line="360" w:lineRule="auto"/>
      <w:outlineLvl w:val="4"/>
    </w:pPr>
    <w:rPr>
      <w:b/>
      <w:bCs/>
      <w:sz w:val="28"/>
      <w:szCs w:val="28"/>
    </w:rPr>
  </w:style>
  <w:style w:type="paragraph" w:styleId="9">
    <w:name w:val="heading 6"/>
    <w:basedOn w:val="1"/>
    <w:next w:val="8"/>
    <w:link w:val="60"/>
    <w:autoRedefine/>
    <w:qFormat/>
    <w:uiPriority w:val="0"/>
    <w:pPr>
      <w:spacing w:before="60" w:after="60" w:line="360" w:lineRule="auto"/>
      <w:outlineLvl w:val="5"/>
    </w:pPr>
    <w:rPr>
      <w:b/>
      <w:bCs/>
      <w:sz w:val="24"/>
      <w:szCs w:val="24"/>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65"/>
    <w:autoRedefine/>
    <w:qFormat/>
    <w:uiPriority w:val="0"/>
    <w:pPr>
      <w:spacing w:line="360" w:lineRule="auto"/>
      <w:ind w:firstLine="420"/>
    </w:pPr>
    <w:rPr>
      <w:rFonts w:asciiTheme="minorHAnsi" w:hAnsiTheme="minorHAnsi" w:cstheme="minorBidi"/>
      <w:sz w:val="24"/>
      <w:szCs w:val="22"/>
    </w:rPr>
  </w:style>
  <w:style w:type="paragraph" w:styleId="8">
    <w:name w:val="Body Text"/>
    <w:basedOn w:val="1"/>
    <w:link w:val="78"/>
    <w:autoRedefine/>
    <w:qFormat/>
    <w:uiPriority w:val="0"/>
    <w:pPr>
      <w:spacing w:line="360" w:lineRule="auto"/>
    </w:pPr>
    <w:rPr>
      <w:rFonts w:ascii="黑体"/>
      <w:sz w:val="24"/>
    </w:rPr>
  </w:style>
  <w:style w:type="paragraph" w:styleId="10">
    <w:name w:val="toc 7"/>
    <w:basedOn w:val="1"/>
    <w:next w:val="1"/>
    <w:autoRedefine/>
    <w:semiHidden/>
    <w:qFormat/>
    <w:uiPriority w:val="0"/>
    <w:pPr>
      <w:ind w:left="1260"/>
      <w:jc w:val="left"/>
    </w:pPr>
    <w:rPr>
      <w:szCs w:val="21"/>
    </w:rPr>
  </w:style>
  <w:style w:type="paragraph" w:styleId="11">
    <w:name w:val="List Bullet"/>
    <w:basedOn w:val="1"/>
    <w:autoRedefine/>
    <w:qFormat/>
    <w:uiPriority w:val="0"/>
    <w:pPr>
      <w:tabs>
        <w:tab w:val="left" w:pos="360"/>
      </w:tabs>
      <w:autoSpaceDE w:val="0"/>
      <w:autoSpaceDN w:val="0"/>
      <w:adjustRightInd w:val="0"/>
      <w:snapToGrid w:val="0"/>
      <w:spacing w:line="360" w:lineRule="auto"/>
      <w:ind w:left="360" w:hanging="360"/>
      <w:textAlignment w:val="baseline"/>
    </w:pPr>
    <w:rPr>
      <w:rFonts w:ascii="宋体" w:hAnsi="Tms Rmn"/>
      <w:snapToGrid w:val="0"/>
      <w:color w:val="000000"/>
      <w:kern w:val="24"/>
      <w:sz w:val="28"/>
    </w:rPr>
  </w:style>
  <w:style w:type="paragraph" w:styleId="12">
    <w:name w:val="Document Map"/>
    <w:basedOn w:val="1"/>
    <w:link w:val="77"/>
    <w:autoRedefine/>
    <w:semiHidden/>
    <w:qFormat/>
    <w:uiPriority w:val="0"/>
    <w:pPr>
      <w:shd w:val="clear" w:color="auto" w:fill="000080"/>
    </w:pPr>
  </w:style>
  <w:style w:type="paragraph" w:styleId="13">
    <w:name w:val="annotation text"/>
    <w:basedOn w:val="1"/>
    <w:link w:val="98"/>
    <w:autoRedefine/>
    <w:semiHidden/>
    <w:qFormat/>
    <w:uiPriority w:val="0"/>
    <w:pPr>
      <w:jc w:val="left"/>
    </w:pPr>
    <w:rPr>
      <w:rFonts w:asciiTheme="minorHAnsi" w:hAnsiTheme="minorHAnsi" w:cstheme="minorBidi"/>
      <w:szCs w:val="24"/>
    </w:rPr>
  </w:style>
  <w:style w:type="paragraph" w:styleId="14">
    <w:name w:val="Body Text 3"/>
    <w:basedOn w:val="1"/>
    <w:link w:val="108"/>
    <w:autoRedefine/>
    <w:qFormat/>
    <w:uiPriority w:val="0"/>
    <w:pPr>
      <w:spacing w:line="360" w:lineRule="auto"/>
    </w:pPr>
    <w:rPr>
      <w:rFonts w:ascii="宋体" w:hAnsi="宋体"/>
      <w:b/>
      <w:bCs/>
    </w:rPr>
  </w:style>
  <w:style w:type="paragraph" w:styleId="15">
    <w:name w:val="Body Text Indent"/>
    <w:basedOn w:val="1"/>
    <w:next w:val="16"/>
    <w:link w:val="110"/>
    <w:autoRedefine/>
    <w:qFormat/>
    <w:uiPriority w:val="0"/>
    <w:pPr>
      <w:spacing w:line="360" w:lineRule="auto"/>
      <w:ind w:left="480"/>
    </w:pPr>
    <w:rPr>
      <w:rFonts w:ascii="宋体"/>
      <w:sz w:val="24"/>
    </w:rPr>
  </w:style>
  <w:style w:type="paragraph" w:styleId="16">
    <w:name w:val="Subtitle"/>
    <w:basedOn w:val="1"/>
    <w:autoRedefine/>
    <w:qFormat/>
    <w:uiPriority w:val="0"/>
    <w:pPr>
      <w:spacing w:line="312" w:lineRule="auto"/>
      <w:jc w:val="center"/>
      <w:outlineLvl w:val="1"/>
    </w:pPr>
    <w:rPr>
      <w:rFonts w:ascii="Arial" w:hAnsi="Arial" w:cs="Arial"/>
      <w:b/>
      <w:bCs/>
      <w:kern w:val="28"/>
      <w:sz w:val="32"/>
      <w:szCs w:val="32"/>
    </w:rPr>
  </w:style>
  <w:style w:type="paragraph" w:styleId="17">
    <w:name w:val="Block Text"/>
    <w:basedOn w:val="1"/>
    <w:next w:val="1"/>
    <w:autoRedefine/>
    <w:unhideWhenUsed/>
    <w:qFormat/>
    <w:uiPriority w:val="99"/>
    <w:pPr>
      <w:spacing w:after="120"/>
      <w:ind w:left="1440" w:leftChars="700" w:right="1440" w:rightChars="700"/>
    </w:pPr>
  </w:style>
  <w:style w:type="paragraph" w:styleId="18">
    <w:name w:val="toc 5"/>
    <w:basedOn w:val="1"/>
    <w:next w:val="1"/>
    <w:autoRedefine/>
    <w:semiHidden/>
    <w:qFormat/>
    <w:uiPriority w:val="0"/>
    <w:pPr>
      <w:ind w:left="840"/>
      <w:jc w:val="left"/>
    </w:pPr>
    <w:rPr>
      <w:szCs w:val="21"/>
    </w:rPr>
  </w:style>
  <w:style w:type="paragraph" w:styleId="19">
    <w:name w:val="toc 3"/>
    <w:basedOn w:val="1"/>
    <w:next w:val="1"/>
    <w:autoRedefine/>
    <w:semiHidden/>
    <w:qFormat/>
    <w:uiPriority w:val="0"/>
    <w:pPr>
      <w:ind w:left="420"/>
      <w:jc w:val="left"/>
    </w:pPr>
    <w:rPr>
      <w:i/>
      <w:iCs/>
      <w:szCs w:val="24"/>
    </w:rPr>
  </w:style>
  <w:style w:type="paragraph" w:styleId="20">
    <w:name w:val="Plain Text"/>
    <w:basedOn w:val="1"/>
    <w:next w:val="1"/>
    <w:link w:val="83"/>
    <w:autoRedefine/>
    <w:qFormat/>
    <w:uiPriority w:val="0"/>
    <w:rPr>
      <w:rFonts w:ascii="宋体" w:hAnsi="Courier New" w:cstheme="minorBidi"/>
      <w:szCs w:val="22"/>
    </w:rPr>
  </w:style>
  <w:style w:type="paragraph" w:styleId="21">
    <w:name w:val="toc 8"/>
    <w:basedOn w:val="1"/>
    <w:next w:val="1"/>
    <w:autoRedefine/>
    <w:semiHidden/>
    <w:qFormat/>
    <w:uiPriority w:val="0"/>
    <w:pPr>
      <w:ind w:left="1470"/>
      <w:jc w:val="left"/>
    </w:pPr>
    <w:rPr>
      <w:szCs w:val="21"/>
    </w:rPr>
  </w:style>
  <w:style w:type="paragraph" w:styleId="22">
    <w:name w:val="Date"/>
    <w:basedOn w:val="1"/>
    <w:next w:val="1"/>
    <w:link w:val="76"/>
    <w:autoRedefine/>
    <w:qFormat/>
    <w:uiPriority w:val="0"/>
    <w:rPr>
      <w:sz w:val="24"/>
    </w:rPr>
  </w:style>
  <w:style w:type="paragraph" w:styleId="23">
    <w:name w:val="Body Text Indent 2"/>
    <w:basedOn w:val="1"/>
    <w:link w:val="105"/>
    <w:autoRedefine/>
    <w:qFormat/>
    <w:uiPriority w:val="0"/>
    <w:pPr>
      <w:autoSpaceDE w:val="0"/>
      <w:autoSpaceDN w:val="0"/>
      <w:adjustRightInd w:val="0"/>
      <w:spacing w:line="360" w:lineRule="auto"/>
      <w:ind w:firstLine="538"/>
      <w:jc w:val="left"/>
    </w:pPr>
    <w:rPr>
      <w:rFonts w:ascii="仿宋_GB2312" w:eastAsia="仿宋_GB2312"/>
      <w:color w:val="000000"/>
      <w:kern w:val="0"/>
      <w:sz w:val="28"/>
    </w:rPr>
  </w:style>
  <w:style w:type="paragraph" w:styleId="24">
    <w:name w:val="Balloon Text"/>
    <w:basedOn w:val="1"/>
    <w:link w:val="96"/>
    <w:autoRedefine/>
    <w:semiHidden/>
    <w:qFormat/>
    <w:uiPriority w:val="0"/>
    <w:rPr>
      <w:sz w:val="18"/>
      <w:szCs w:val="18"/>
    </w:rPr>
  </w:style>
  <w:style w:type="paragraph" w:styleId="25">
    <w:name w:val="footer"/>
    <w:basedOn w:val="1"/>
    <w:next w:val="1"/>
    <w:link w:val="100"/>
    <w:autoRedefine/>
    <w:qFormat/>
    <w:uiPriority w:val="0"/>
    <w:pPr>
      <w:pBdr>
        <w:top w:val="single" w:color="auto" w:sz="4" w:space="1"/>
      </w:pBdr>
      <w:tabs>
        <w:tab w:val="center" w:pos="4153"/>
        <w:tab w:val="right" w:pos="8306"/>
      </w:tabs>
      <w:snapToGrid w:val="0"/>
      <w:spacing w:line="360" w:lineRule="auto"/>
      <w:jc w:val="left"/>
    </w:pPr>
    <w:rPr>
      <w:sz w:val="18"/>
    </w:rPr>
  </w:style>
  <w:style w:type="paragraph" w:styleId="26">
    <w:name w:val="header"/>
    <w:basedOn w:val="1"/>
    <w:link w:val="82"/>
    <w:autoRedefine/>
    <w:qFormat/>
    <w:uiPriority w:val="0"/>
    <w:pPr>
      <w:pBdr>
        <w:bottom w:val="thinThickSmallGap" w:color="auto" w:sz="12" w:space="1"/>
      </w:pBdr>
      <w:tabs>
        <w:tab w:val="center" w:pos="4153"/>
        <w:tab w:val="right" w:pos="8306"/>
      </w:tabs>
      <w:snapToGrid w:val="0"/>
      <w:spacing w:line="360" w:lineRule="auto"/>
      <w:jc w:val="center"/>
    </w:pPr>
    <w:rPr>
      <w:rFonts w:hint="eastAsia" w:ascii="宋体" w:hAnsi="宋体" w:cs="宋体"/>
      <w:sz w:val="18"/>
      <w:szCs w:val="18"/>
    </w:rPr>
  </w:style>
  <w:style w:type="paragraph" w:styleId="27">
    <w:name w:val="toc 1"/>
    <w:basedOn w:val="1"/>
    <w:next w:val="1"/>
    <w:autoRedefine/>
    <w:qFormat/>
    <w:uiPriority w:val="39"/>
    <w:pPr>
      <w:tabs>
        <w:tab w:val="right" w:leader="dot" w:pos="9344"/>
      </w:tabs>
      <w:spacing w:before="120" w:after="120"/>
      <w:jc w:val="left"/>
    </w:pPr>
    <w:rPr>
      <w:rFonts w:ascii="宋体" w:hAnsi="宋体"/>
      <w:b/>
      <w:bCs/>
      <w:caps/>
      <w:sz w:val="24"/>
      <w:szCs w:val="24"/>
    </w:rPr>
  </w:style>
  <w:style w:type="paragraph" w:styleId="28">
    <w:name w:val="toc 4"/>
    <w:basedOn w:val="1"/>
    <w:next w:val="1"/>
    <w:autoRedefine/>
    <w:semiHidden/>
    <w:qFormat/>
    <w:uiPriority w:val="0"/>
    <w:pPr>
      <w:ind w:left="630"/>
      <w:jc w:val="left"/>
    </w:pPr>
    <w:rPr>
      <w:szCs w:val="21"/>
    </w:rPr>
  </w:style>
  <w:style w:type="paragraph" w:styleId="29">
    <w:name w:val="toc 6"/>
    <w:basedOn w:val="1"/>
    <w:next w:val="1"/>
    <w:autoRedefine/>
    <w:semiHidden/>
    <w:qFormat/>
    <w:uiPriority w:val="0"/>
    <w:pPr>
      <w:ind w:left="1050"/>
      <w:jc w:val="left"/>
    </w:pPr>
    <w:rPr>
      <w:szCs w:val="21"/>
    </w:rPr>
  </w:style>
  <w:style w:type="paragraph" w:styleId="30">
    <w:name w:val="Body Text Indent 3"/>
    <w:basedOn w:val="1"/>
    <w:link w:val="79"/>
    <w:autoRedefine/>
    <w:qFormat/>
    <w:uiPriority w:val="0"/>
    <w:pPr>
      <w:spacing w:line="360" w:lineRule="auto"/>
      <w:ind w:firstLine="480"/>
    </w:pPr>
    <w:rPr>
      <w:sz w:val="24"/>
    </w:rPr>
  </w:style>
  <w:style w:type="paragraph" w:styleId="31">
    <w:name w:val="toc 2"/>
    <w:basedOn w:val="1"/>
    <w:next w:val="1"/>
    <w:autoRedefine/>
    <w:qFormat/>
    <w:uiPriority w:val="39"/>
    <w:pPr>
      <w:ind w:left="210"/>
      <w:jc w:val="left"/>
    </w:pPr>
    <w:rPr>
      <w:smallCaps/>
      <w:szCs w:val="24"/>
    </w:rPr>
  </w:style>
  <w:style w:type="paragraph" w:styleId="32">
    <w:name w:val="toc 9"/>
    <w:basedOn w:val="1"/>
    <w:next w:val="1"/>
    <w:autoRedefine/>
    <w:semiHidden/>
    <w:qFormat/>
    <w:uiPriority w:val="0"/>
    <w:pPr>
      <w:ind w:left="1680"/>
      <w:jc w:val="left"/>
    </w:pPr>
    <w:rPr>
      <w:szCs w:val="21"/>
    </w:rPr>
  </w:style>
  <w:style w:type="paragraph" w:styleId="33">
    <w:name w:val="Body Text 2"/>
    <w:basedOn w:val="1"/>
    <w:link w:val="74"/>
    <w:autoRedefine/>
    <w:qFormat/>
    <w:uiPriority w:val="0"/>
    <w:rPr>
      <w:rFonts w:eastAsia="楷体_GB2312"/>
      <w:sz w:val="28"/>
    </w:rPr>
  </w:style>
  <w:style w:type="paragraph" w:styleId="34">
    <w:name w:val="HTML Preformatted"/>
    <w:basedOn w:val="1"/>
    <w:link w:val="8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35">
    <w:name w:val="Normal (Web)"/>
    <w:basedOn w:val="1"/>
    <w:autoRedefine/>
    <w:qFormat/>
    <w:uiPriority w:val="99"/>
    <w:rPr>
      <w:sz w:val="24"/>
      <w:szCs w:val="24"/>
    </w:rPr>
  </w:style>
  <w:style w:type="paragraph" w:styleId="36">
    <w:name w:val="index 1"/>
    <w:basedOn w:val="1"/>
    <w:next w:val="1"/>
    <w:autoRedefine/>
    <w:semiHidden/>
    <w:qFormat/>
    <w:uiPriority w:val="0"/>
    <w:rPr>
      <w:rFonts w:ascii="宋体" w:hAnsi="宋体"/>
      <w:sz w:val="24"/>
      <w:szCs w:val="24"/>
    </w:rPr>
  </w:style>
  <w:style w:type="paragraph" w:styleId="37">
    <w:name w:val="annotation subject"/>
    <w:basedOn w:val="13"/>
    <w:next w:val="13"/>
    <w:link w:val="102"/>
    <w:autoRedefine/>
    <w:semiHidden/>
    <w:qFormat/>
    <w:uiPriority w:val="0"/>
    <w:rPr>
      <w:b/>
      <w:bCs/>
      <w:szCs w:val="20"/>
    </w:rPr>
  </w:style>
  <w:style w:type="paragraph" w:styleId="38">
    <w:name w:val="Body Text First Indent 2"/>
    <w:basedOn w:val="15"/>
    <w:next w:val="17"/>
    <w:autoRedefine/>
    <w:unhideWhenUsed/>
    <w:qFormat/>
    <w:uiPriority w:val="0"/>
    <w:pPr>
      <w:ind w:firstLine="420" w:firstLineChars="200"/>
    </w:pPr>
  </w:style>
  <w:style w:type="table" w:styleId="40">
    <w:name w:val="Table Grid"/>
    <w:basedOn w:val="39"/>
    <w:autoRedefine/>
    <w:qFormat/>
    <w:uiPriority w:val="0"/>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basedOn w:val="41"/>
    <w:autoRedefine/>
    <w:qFormat/>
    <w:uiPriority w:val="22"/>
    <w:rPr>
      <w:b/>
    </w:rPr>
  </w:style>
  <w:style w:type="character" w:styleId="43">
    <w:name w:val="page number"/>
    <w:basedOn w:val="41"/>
    <w:autoRedefine/>
    <w:qFormat/>
    <w:uiPriority w:val="0"/>
    <w:rPr>
      <w:rFonts w:eastAsia="宋体"/>
      <w:sz w:val="18"/>
    </w:rPr>
  </w:style>
  <w:style w:type="character" w:styleId="44">
    <w:name w:val="FollowedHyperlink"/>
    <w:autoRedefine/>
    <w:qFormat/>
    <w:uiPriority w:val="0"/>
    <w:rPr>
      <w:color w:val="800080"/>
      <w:u w:val="single"/>
    </w:rPr>
  </w:style>
  <w:style w:type="character" w:styleId="45">
    <w:name w:val="Emphasis"/>
    <w:basedOn w:val="41"/>
    <w:autoRedefine/>
    <w:qFormat/>
    <w:uiPriority w:val="20"/>
    <w:rPr>
      <w:i/>
    </w:rPr>
  </w:style>
  <w:style w:type="character" w:styleId="46">
    <w:name w:val="HTML Definition"/>
    <w:basedOn w:val="41"/>
    <w:autoRedefine/>
    <w:semiHidden/>
    <w:unhideWhenUsed/>
    <w:qFormat/>
    <w:uiPriority w:val="99"/>
    <w:rPr>
      <w:i/>
    </w:rPr>
  </w:style>
  <w:style w:type="character" w:styleId="47">
    <w:name w:val="HTML Acronym"/>
    <w:basedOn w:val="41"/>
    <w:autoRedefine/>
    <w:semiHidden/>
    <w:unhideWhenUsed/>
    <w:qFormat/>
    <w:uiPriority w:val="99"/>
  </w:style>
  <w:style w:type="character" w:styleId="48">
    <w:name w:val="HTML Variable"/>
    <w:basedOn w:val="41"/>
    <w:autoRedefine/>
    <w:semiHidden/>
    <w:unhideWhenUsed/>
    <w:qFormat/>
    <w:uiPriority w:val="99"/>
    <w:rPr>
      <w:i/>
    </w:rPr>
  </w:style>
  <w:style w:type="character" w:styleId="49">
    <w:name w:val="Hyperlink"/>
    <w:autoRedefine/>
    <w:qFormat/>
    <w:uiPriority w:val="99"/>
    <w:rPr>
      <w:color w:val="0000FF"/>
      <w:u w:val="single"/>
    </w:rPr>
  </w:style>
  <w:style w:type="character" w:styleId="50">
    <w:name w:val="HTML Code"/>
    <w:basedOn w:val="41"/>
    <w:autoRedefine/>
    <w:semiHidden/>
    <w:unhideWhenUsed/>
    <w:qFormat/>
    <w:uiPriority w:val="99"/>
    <w:rPr>
      <w:rFonts w:hint="default" w:ascii="Consolas" w:hAnsi="Consolas" w:eastAsia="Consolas" w:cs="Consolas"/>
      <w:color w:val="C7254E"/>
      <w:sz w:val="21"/>
      <w:szCs w:val="21"/>
      <w:shd w:val="clear" w:fill="F9F2F4"/>
    </w:rPr>
  </w:style>
  <w:style w:type="character" w:styleId="51">
    <w:name w:val="annotation reference"/>
    <w:autoRedefine/>
    <w:semiHidden/>
    <w:qFormat/>
    <w:uiPriority w:val="0"/>
    <w:rPr>
      <w:sz w:val="21"/>
      <w:szCs w:val="21"/>
    </w:rPr>
  </w:style>
  <w:style w:type="character" w:styleId="52">
    <w:name w:val="HTML Cite"/>
    <w:basedOn w:val="41"/>
    <w:autoRedefine/>
    <w:semiHidden/>
    <w:unhideWhenUsed/>
    <w:qFormat/>
    <w:uiPriority w:val="99"/>
    <w:rPr>
      <w:i/>
    </w:rPr>
  </w:style>
  <w:style w:type="character" w:styleId="53">
    <w:name w:val="HTML Keyboard"/>
    <w:basedOn w:val="41"/>
    <w:autoRedefine/>
    <w:semiHidden/>
    <w:unhideWhenUsed/>
    <w:qFormat/>
    <w:uiPriority w:val="99"/>
    <w:rPr>
      <w:rFonts w:hint="default" w:ascii="Consolas" w:hAnsi="Consolas" w:eastAsia="Consolas" w:cs="Consolas"/>
      <w:color w:val="FFFFFF"/>
      <w:sz w:val="21"/>
      <w:szCs w:val="21"/>
      <w:shd w:val="clear" w:fill="333333"/>
    </w:rPr>
  </w:style>
  <w:style w:type="character" w:styleId="54">
    <w:name w:val="HTML Sample"/>
    <w:basedOn w:val="41"/>
    <w:autoRedefine/>
    <w:semiHidden/>
    <w:unhideWhenUsed/>
    <w:qFormat/>
    <w:uiPriority w:val="99"/>
    <w:rPr>
      <w:rFonts w:ascii="Consolas" w:hAnsi="Consolas" w:eastAsia="Consolas" w:cs="Consolas"/>
      <w:sz w:val="21"/>
      <w:szCs w:val="21"/>
    </w:rPr>
  </w:style>
  <w:style w:type="character" w:customStyle="1" w:styleId="55">
    <w:name w:val="标题 1 Char"/>
    <w:basedOn w:val="41"/>
    <w:link w:val="2"/>
    <w:autoRedefine/>
    <w:qFormat/>
    <w:uiPriority w:val="0"/>
    <w:rPr>
      <w:rFonts w:ascii="Times New Roman" w:hAnsi="Times New Roman" w:eastAsia="宋体" w:cs="Times New Roman"/>
      <w:b/>
      <w:kern w:val="44"/>
      <w:sz w:val="44"/>
      <w:szCs w:val="20"/>
    </w:rPr>
  </w:style>
  <w:style w:type="character" w:customStyle="1" w:styleId="56">
    <w:name w:val="标题 2 Char"/>
    <w:basedOn w:val="41"/>
    <w:link w:val="3"/>
    <w:autoRedefine/>
    <w:qFormat/>
    <w:uiPriority w:val="0"/>
    <w:rPr>
      <w:rFonts w:ascii="宋体" w:hAnsi="宋体" w:eastAsia="宋体" w:cs="Times New Roman"/>
      <w:b/>
      <w:color w:val="000000"/>
      <w:sz w:val="30"/>
      <w:szCs w:val="20"/>
    </w:rPr>
  </w:style>
  <w:style w:type="character" w:customStyle="1" w:styleId="57">
    <w:name w:val="标题 3 Char"/>
    <w:basedOn w:val="41"/>
    <w:link w:val="4"/>
    <w:autoRedefine/>
    <w:qFormat/>
    <w:uiPriority w:val="0"/>
    <w:rPr>
      <w:rFonts w:ascii="宋体" w:hAnsi="宋体" w:eastAsia="宋体" w:cs="Times New Roman"/>
      <w:b/>
      <w:sz w:val="28"/>
      <w:szCs w:val="20"/>
    </w:rPr>
  </w:style>
  <w:style w:type="character" w:customStyle="1" w:styleId="58">
    <w:name w:val="标题 4 Char"/>
    <w:basedOn w:val="41"/>
    <w:link w:val="6"/>
    <w:autoRedefine/>
    <w:qFormat/>
    <w:uiPriority w:val="0"/>
    <w:rPr>
      <w:rFonts w:ascii="宋体" w:hAnsi="宋体" w:eastAsia="宋体" w:cs="Times New Roman"/>
      <w:b/>
      <w:sz w:val="28"/>
      <w:szCs w:val="20"/>
    </w:rPr>
  </w:style>
  <w:style w:type="character" w:customStyle="1" w:styleId="59">
    <w:name w:val="标题 5 Char"/>
    <w:basedOn w:val="41"/>
    <w:link w:val="7"/>
    <w:autoRedefine/>
    <w:qFormat/>
    <w:uiPriority w:val="0"/>
    <w:rPr>
      <w:rFonts w:ascii="Times New Roman" w:hAnsi="Times New Roman" w:eastAsia="宋体" w:cs="Times New Roman"/>
      <w:b/>
      <w:bCs/>
      <w:sz w:val="28"/>
      <w:szCs w:val="28"/>
    </w:rPr>
  </w:style>
  <w:style w:type="character" w:customStyle="1" w:styleId="60">
    <w:name w:val="标题 6 Char"/>
    <w:basedOn w:val="41"/>
    <w:link w:val="9"/>
    <w:autoRedefine/>
    <w:qFormat/>
    <w:uiPriority w:val="0"/>
    <w:rPr>
      <w:rFonts w:ascii="Times New Roman" w:hAnsi="Times New Roman" w:eastAsia="宋体" w:cs="Times New Roman"/>
      <w:b/>
      <w:bCs/>
      <w:sz w:val="24"/>
      <w:szCs w:val="24"/>
    </w:rPr>
  </w:style>
  <w:style w:type="character" w:customStyle="1" w:styleId="61">
    <w:name w:val="unnamed21"/>
    <w:autoRedefine/>
    <w:qFormat/>
    <w:uiPriority w:val="0"/>
    <w:rPr>
      <w:b/>
      <w:bCs/>
      <w:color w:val="FF6600"/>
      <w:sz w:val="26"/>
      <w:szCs w:val="26"/>
      <w:u w:val="none"/>
    </w:rPr>
  </w:style>
  <w:style w:type="character" w:customStyle="1" w:styleId="62">
    <w:name w:val="p141"/>
    <w:basedOn w:val="41"/>
    <w:autoRedefine/>
    <w:qFormat/>
    <w:uiPriority w:val="0"/>
    <w:rPr>
      <w:sz w:val="21"/>
      <w:szCs w:val="21"/>
    </w:rPr>
  </w:style>
  <w:style w:type="character" w:customStyle="1" w:styleId="63">
    <w:name w:val="纯文本 Char"/>
    <w:link w:val="20"/>
    <w:autoRedefine/>
    <w:qFormat/>
    <w:uiPriority w:val="0"/>
    <w:rPr>
      <w:rFonts w:ascii="宋体" w:hAnsi="Courier New" w:eastAsia="宋体"/>
    </w:rPr>
  </w:style>
  <w:style w:type="character" w:customStyle="1" w:styleId="64">
    <w:name w:val="Char Char6"/>
    <w:autoRedefine/>
    <w:qFormat/>
    <w:uiPriority w:val="0"/>
    <w:rPr>
      <w:rFonts w:ascii="宋体" w:hAnsi="Courier New" w:eastAsia="宋体"/>
      <w:kern w:val="2"/>
      <w:sz w:val="24"/>
      <w:lang w:val="en-US" w:eastAsia="zh-CN" w:bidi="ar-SA"/>
    </w:rPr>
  </w:style>
  <w:style w:type="character" w:customStyle="1" w:styleId="65">
    <w:name w:val="正文缩进 Char"/>
    <w:link w:val="5"/>
    <w:autoRedefine/>
    <w:qFormat/>
    <w:uiPriority w:val="0"/>
    <w:rPr>
      <w:rFonts w:eastAsia="宋体"/>
      <w:sz w:val="24"/>
    </w:rPr>
  </w:style>
  <w:style w:type="character" w:customStyle="1" w:styleId="66">
    <w:name w:val="批注文字 Char"/>
    <w:link w:val="13"/>
    <w:autoRedefine/>
    <w:qFormat/>
    <w:uiPriority w:val="0"/>
    <w:rPr>
      <w:rFonts w:eastAsia="宋体"/>
      <w:szCs w:val="24"/>
    </w:rPr>
  </w:style>
  <w:style w:type="character" w:customStyle="1" w:styleId="67">
    <w:name w:val="banner11"/>
    <w:autoRedefine/>
    <w:qFormat/>
    <w:uiPriority w:val="0"/>
    <w:rPr>
      <w:color w:val="000099"/>
      <w:sz w:val="32"/>
      <w:szCs w:val="32"/>
    </w:rPr>
  </w:style>
  <w:style w:type="character" w:customStyle="1" w:styleId="68">
    <w:name w:val="页眉 Char"/>
    <w:link w:val="26"/>
    <w:autoRedefine/>
    <w:qFormat/>
    <w:uiPriority w:val="0"/>
    <w:rPr>
      <w:rFonts w:ascii="宋体" w:hAnsi="宋体" w:eastAsia="宋体" w:cs="宋体"/>
      <w:sz w:val="18"/>
      <w:szCs w:val="18"/>
    </w:rPr>
  </w:style>
  <w:style w:type="character" w:customStyle="1" w:styleId="69">
    <w:name w:val="text1"/>
    <w:autoRedefine/>
    <w:qFormat/>
    <w:uiPriority w:val="0"/>
    <w:rPr>
      <w:sz w:val="21"/>
      <w:szCs w:val="21"/>
      <w:u w:val="none"/>
    </w:rPr>
  </w:style>
  <w:style w:type="character" w:customStyle="1" w:styleId="70">
    <w:name w:val="页脚2 Char"/>
    <w:link w:val="71"/>
    <w:autoRedefine/>
    <w:qFormat/>
    <w:uiPriority w:val="0"/>
    <w:rPr>
      <w:rFonts w:ascii="宋体" w:hAnsi="宋体" w:eastAsia="宋体"/>
      <w:sz w:val="18"/>
      <w:szCs w:val="18"/>
    </w:rPr>
  </w:style>
  <w:style w:type="paragraph" w:customStyle="1" w:styleId="71">
    <w:name w:val="页脚2"/>
    <w:basedOn w:val="1"/>
    <w:link w:val="70"/>
    <w:autoRedefine/>
    <w:qFormat/>
    <w:uiPriority w:val="0"/>
    <w:pPr>
      <w:widowControl/>
      <w:pBdr>
        <w:top w:val="single" w:color="auto" w:sz="6" w:space="0"/>
      </w:pBdr>
      <w:jc w:val="right"/>
      <w:textAlignment w:val="center"/>
    </w:pPr>
    <w:rPr>
      <w:rFonts w:ascii="宋体" w:hAnsi="宋体" w:cstheme="minorBidi"/>
      <w:sz w:val="18"/>
      <w:szCs w:val="18"/>
    </w:rPr>
  </w:style>
  <w:style w:type="paragraph" w:customStyle="1" w:styleId="72">
    <w:name w:val="text"/>
    <w:basedOn w:val="1"/>
    <w:autoRedefine/>
    <w:qFormat/>
    <w:uiPriority w:val="0"/>
    <w:pPr>
      <w:widowControl/>
      <w:spacing w:before="100" w:beforeAutospacing="1" w:after="100" w:afterAutospacing="1" w:line="347" w:lineRule="atLeast"/>
      <w:jc w:val="left"/>
    </w:pPr>
    <w:rPr>
      <w:rFonts w:ascii="Arial Unicode MS" w:hAnsi="Arial Unicode MS" w:eastAsia="Arial Unicode MS" w:cs="Arial Unicode MS"/>
      <w:color w:val="000000"/>
      <w:kern w:val="0"/>
      <w:szCs w:val="21"/>
    </w:rPr>
  </w:style>
  <w:style w:type="paragraph" w:customStyle="1" w:styleId="73">
    <w:name w:val="D文1"/>
    <w:basedOn w:val="1"/>
    <w:autoRedefine/>
    <w:qFormat/>
    <w:uiPriority w:val="0"/>
    <w:pPr>
      <w:tabs>
        <w:tab w:val="left" w:pos="720"/>
      </w:tabs>
      <w:autoSpaceDE w:val="0"/>
      <w:autoSpaceDN w:val="0"/>
      <w:adjustRightInd w:val="0"/>
      <w:spacing w:after="120" w:line="480" w:lineRule="atLeast"/>
      <w:ind w:left="680" w:firstLine="510"/>
    </w:pPr>
    <w:rPr>
      <w:rFonts w:ascii="宋体"/>
      <w:kern w:val="0"/>
      <w:sz w:val="24"/>
    </w:rPr>
  </w:style>
  <w:style w:type="character" w:customStyle="1" w:styleId="74">
    <w:name w:val="正文文本 2 Char"/>
    <w:basedOn w:val="41"/>
    <w:link w:val="33"/>
    <w:autoRedefine/>
    <w:qFormat/>
    <w:uiPriority w:val="0"/>
    <w:rPr>
      <w:rFonts w:ascii="Times New Roman" w:hAnsi="Times New Roman" w:eastAsia="楷体_GB2312" w:cs="Times New Roman"/>
      <w:sz w:val="28"/>
      <w:szCs w:val="20"/>
    </w:rPr>
  </w:style>
  <w:style w:type="paragraph" w:customStyle="1" w:styleId="75">
    <w:name w:val="xl22"/>
    <w:basedOn w:val="1"/>
    <w:autoRedefine/>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character" w:customStyle="1" w:styleId="76">
    <w:name w:val="日期 Char"/>
    <w:basedOn w:val="41"/>
    <w:link w:val="22"/>
    <w:autoRedefine/>
    <w:qFormat/>
    <w:uiPriority w:val="0"/>
    <w:rPr>
      <w:rFonts w:ascii="Times New Roman" w:hAnsi="Times New Roman" w:eastAsia="宋体" w:cs="Times New Roman"/>
      <w:sz w:val="24"/>
      <w:szCs w:val="20"/>
    </w:rPr>
  </w:style>
  <w:style w:type="character" w:customStyle="1" w:styleId="77">
    <w:name w:val="文档结构图 Char"/>
    <w:basedOn w:val="41"/>
    <w:link w:val="12"/>
    <w:autoRedefine/>
    <w:semiHidden/>
    <w:qFormat/>
    <w:uiPriority w:val="0"/>
    <w:rPr>
      <w:rFonts w:ascii="Times New Roman" w:hAnsi="Times New Roman" w:eastAsia="宋体" w:cs="Times New Roman"/>
      <w:szCs w:val="20"/>
      <w:shd w:val="clear" w:color="auto" w:fill="000080"/>
    </w:rPr>
  </w:style>
  <w:style w:type="character" w:customStyle="1" w:styleId="78">
    <w:name w:val="正文文本 Char"/>
    <w:basedOn w:val="41"/>
    <w:link w:val="8"/>
    <w:autoRedefine/>
    <w:qFormat/>
    <w:uiPriority w:val="0"/>
    <w:rPr>
      <w:rFonts w:ascii="黑体" w:hAnsi="Times New Roman" w:eastAsia="宋体" w:cs="Times New Roman"/>
      <w:sz w:val="24"/>
      <w:szCs w:val="20"/>
    </w:rPr>
  </w:style>
  <w:style w:type="character" w:customStyle="1" w:styleId="79">
    <w:name w:val="正文文本缩进 3 Char"/>
    <w:basedOn w:val="41"/>
    <w:link w:val="30"/>
    <w:autoRedefine/>
    <w:qFormat/>
    <w:uiPriority w:val="0"/>
    <w:rPr>
      <w:rFonts w:ascii="Times New Roman" w:hAnsi="Times New Roman" w:eastAsia="宋体" w:cs="Times New Roman"/>
      <w:sz w:val="24"/>
      <w:szCs w:val="20"/>
    </w:rPr>
  </w:style>
  <w:style w:type="paragraph" w:customStyle="1" w:styleId="80">
    <w:name w:val="样式 样式 标题 2H2PIM2Heading 2 Hidden2nd levelh22Header 2l2Titr... + ..."/>
    <w:basedOn w:val="1"/>
    <w:autoRedefine/>
    <w:qFormat/>
    <w:uiPriority w:val="0"/>
    <w:pPr>
      <w:keepNext/>
      <w:keepLines/>
      <w:spacing w:beforeLines="50" w:line="360" w:lineRule="auto"/>
      <w:ind w:left="180"/>
      <w:outlineLvl w:val="1"/>
    </w:pPr>
    <w:rPr>
      <w:rFonts w:ascii="宋体" w:hAnsi="宋体"/>
      <w:b/>
      <w:sz w:val="28"/>
    </w:rPr>
  </w:style>
  <w:style w:type="paragraph" w:customStyle="1" w:styleId="81">
    <w:name w:val="Char Char Char1 Char"/>
    <w:basedOn w:val="1"/>
    <w:autoRedefine/>
    <w:qFormat/>
    <w:uiPriority w:val="0"/>
    <w:pPr>
      <w:tabs>
        <w:tab w:val="left" w:pos="425"/>
      </w:tabs>
      <w:ind w:left="425" w:hanging="425"/>
    </w:pPr>
    <w:rPr>
      <w:rFonts w:eastAsia="仿宋_GB2312"/>
      <w:kern w:val="24"/>
      <w:sz w:val="24"/>
      <w:szCs w:val="24"/>
    </w:rPr>
  </w:style>
  <w:style w:type="character" w:customStyle="1" w:styleId="82">
    <w:name w:val="页眉 Char1"/>
    <w:basedOn w:val="41"/>
    <w:link w:val="26"/>
    <w:autoRedefine/>
    <w:semiHidden/>
    <w:qFormat/>
    <w:uiPriority w:val="99"/>
    <w:rPr>
      <w:rFonts w:ascii="Times New Roman" w:hAnsi="Times New Roman" w:eastAsia="宋体" w:cs="Times New Roman"/>
      <w:sz w:val="18"/>
      <w:szCs w:val="18"/>
    </w:rPr>
  </w:style>
  <w:style w:type="character" w:customStyle="1" w:styleId="83">
    <w:name w:val="纯文本 Char1"/>
    <w:basedOn w:val="41"/>
    <w:link w:val="20"/>
    <w:autoRedefine/>
    <w:semiHidden/>
    <w:qFormat/>
    <w:uiPriority w:val="99"/>
    <w:rPr>
      <w:rFonts w:ascii="宋体" w:hAnsi="Courier New" w:eastAsia="宋体" w:cs="Courier New"/>
      <w:szCs w:val="21"/>
    </w:rPr>
  </w:style>
  <w:style w:type="paragraph" w:customStyle="1" w:styleId="84">
    <w:name w:val="Char Char Char"/>
    <w:basedOn w:val="1"/>
    <w:autoRedefine/>
    <w:qFormat/>
    <w:uiPriority w:val="0"/>
    <w:rPr>
      <w:rFonts w:ascii="Tahoma" w:hAnsi="Tahoma"/>
      <w:sz w:val="24"/>
    </w:rPr>
  </w:style>
  <w:style w:type="paragraph" w:customStyle="1" w:styleId="8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6">
    <w:name w:val="HTML 预设格式 Char"/>
    <w:basedOn w:val="41"/>
    <w:link w:val="34"/>
    <w:autoRedefine/>
    <w:qFormat/>
    <w:uiPriority w:val="0"/>
    <w:rPr>
      <w:rFonts w:ascii="黑体" w:hAnsi="Courier New" w:eastAsia="黑体" w:cs="Courier New"/>
      <w:kern w:val="0"/>
      <w:sz w:val="20"/>
      <w:szCs w:val="20"/>
    </w:rPr>
  </w:style>
  <w:style w:type="paragraph" w:customStyle="1" w:styleId="87">
    <w:name w:val="正文3"/>
    <w:basedOn w:val="1"/>
    <w:autoRedefine/>
    <w:qFormat/>
    <w:uiPriority w:val="0"/>
    <w:pPr>
      <w:spacing w:before="60" w:after="60" w:line="360" w:lineRule="auto"/>
      <w:outlineLvl w:val="8"/>
    </w:pPr>
    <w:rPr>
      <w:sz w:val="24"/>
      <w:szCs w:val="21"/>
    </w:rPr>
  </w:style>
  <w:style w:type="paragraph" w:customStyle="1" w:styleId="88">
    <w:name w:val="p0"/>
    <w:basedOn w:val="1"/>
    <w:autoRedefine/>
    <w:qFormat/>
    <w:uiPriority w:val="0"/>
    <w:pPr>
      <w:widowControl/>
    </w:pPr>
    <w:rPr>
      <w:kern w:val="0"/>
      <w:szCs w:val="21"/>
    </w:rPr>
  </w:style>
  <w:style w:type="paragraph" w:customStyle="1" w:styleId="89">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90">
    <w:name w:val="xl24"/>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91">
    <w:name w:val="Char Char Char Char Char Char Char Char Char Char"/>
    <w:basedOn w:val="1"/>
    <w:autoRedefine/>
    <w:qFormat/>
    <w:uiPriority w:val="0"/>
    <w:rPr>
      <w:rFonts w:ascii="Tahoma" w:hAnsi="Tahoma"/>
      <w:sz w:val="24"/>
    </w:rPr>
  </w:style>
  <w:style w:type="paragraph" w:customStyle="1" w:styleId="92">
    <w:name w:val="表格"/>
    <w:basedOn w:val="1"/>
    <w:autoRedefine/>
    <w:qFormat/>
    <w:uiPriority w:val="0"/>
    <w:pPr>
      <w:spacing w:line="400" w:lineRule="exact"/>
    </w:pPr>
    <w:rPr>
      <w:sz w:val="24"/>
      <w:szCs w:val="24"/>
    </w:rPr>
  </w:style>
  <w:style w:type="paragraph" w:customStyle="1" w:styleId="93">
    <w:name w:val="Char Char Char1"/>
    <w:basedOn w:val="1"/>
    <w:autoRedefine/>
    <w:qFormat/>
    <w:uiPriority w:val="0"/>
    <w:rPr>
      <w:rFonts w:ascii="宋体" w:hAnsi="宋体"/>
      <w:b/>
      <w:sz w:val="28"/>
      <w:szCs w:val="28"/>
    </w:rPr>
  </w:style>
  <w:style w:type="paragraph" w:customStyle="1" w:styleId="94">
    <w:name w:val="样式 标题 3H3l3CTh33rd levelLevel 3 HeadHeading 3 - oldISO2..."/>
    <w:basedOn w:val="4"/>
    <w:autoRedefine/>
    <w:qFormat/>
    <w:uiPriority w:val="0"/>
    <w:pPr>
      <w:keepNext w:val="0"/>
      <w:keepLines w:val="0"/>
      <w:autoSpaceDE/>
      <w:autoSpaceDN/>
      <w:adjustRightInd/>
      <w:snapToGrid/>
      <w:spacing w:before="0" w:after="0"/>
      <w:ind w:left="737" w:hanging="539"/>
      <w:textAlignment w:val="auto"/>
    </w:pPr>
    <w:rPr>
      <w:sz w:val="24"/>
    </w:rPr>
  </w:style>
  <w:style w:type="paragraph" w:customStyle="1" w:styleId="95">
    <w:name w:val="列出段落1"/>
    <w:basedOn w:val="1"/>
    <w:autoRedefine/>
    <w:qFormat/>
    <w:uiPriority w:val="34"/>
    <w:pPr>
      <w:autoSpaceDE w:val="0"/>
      <w:autoSpaceDN w:val="0"/>
      <w:adjustRightInd w:val="0"/>
      <w:ind w:firstLine="420" w:firstLineChars="200"/>
    </w:pPr>
    <w:rPr>
      <w:kern w:val="0"/>
      <w:sz w:val="20"/>
    </w:rPr>
  </w:style>
  <w:style w:type="character" w:customStyle="1" w:styleId="96">
    <w:name w:val="批注框文本 Char"/>
    <w:basedOn w:val="41"/>
    <w:link w:val="24"/>
    <w:autoRedefine/>
    <w:semiHidden/>
    <w:qFormat/>
    <w:uiPriority w:val="0"/>
    <w:rPr>
      <w:rFonts w:ascii="Times New Roman" w:hAnsi="Times New Roman" w:eastAsia="宋体" w:cs="Times New Roman"/>
      <w:sz w:val="18"/>
      <w:szCs w:val="18"/>
    </w:rPr>
  </w:style>
  <w:style w:type="paragraph" w:customStyle="1" w:styleId="97">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character" w:customStyle="1" w:styleId="98">
    <w:name w:val="批注文字 Char1"/>
    <w:basedOn w:val="41"/>
    <w:link w:val="13"/>
    <w:autoRedefine/>
    <w:semiHidden/>
    <w:qFormat/>
    <w:uiPriority w:val="99"/>
    <w:rPr>
      <w:rFonts w:ascii="Times New Roman" w:hAnsi="Times New Roman" w:eastAsia="宋体" w:cs="Times New Roman"/>
      <w:szCs w:val="20"/>
    </w:rPr>
  </w:style>
  <w:style w:type="paragraph" w:customStyle="1" w:styleId="99">
    <w:name w:val="Char"/>
    <w:basedOn w:val="1"/>
    <w:autoRedefine/>
    <w:qFormat/>
    <w:uiPriority w:val="0"/>
    <w:pPr>
      <w:widowControl/>
      <w:spacing w:after="160" w:line="240" w:lineRule="exact"/>
      <w:jc w:val="left"/>
    </w:pPr>
    <w:rPr>
      <w:rFonts w:ascii="Verdana" w:hAnsi="Verdana"/>
      <w:kern w:val="0"/>
      <w:lang w:eastAsia="en-US"/>
    </w:rPr>
  </w:style>
  <w:style w:type="character" w:customStyle="1" w:styleId="100">
    <w:name w:val="页脚 Char"/>
    <w:basedOn w:val="41"/>
    <w:link w:val="25"/>
    <w:autoRedefine/>
    <w:qFormat/>
    <w:uiPriority w:val="0"/>
    <w:rPr>
      <w:rFonts w:ascii="Times New Roman" w:hAnsi="Times New Roman" w:eastAsia="宋体" w:cs="Times New Roman"/>
      <w:sz w:val="18"/>
      <w:szCs w:val="20"/>
    </w:rPr>
  </w:style>
  <w:style w:type="paragraph" w:customStyle="1" w:styleId="101">
    <w:name w:val="xl29"/>
    <w:basedOn w:val="1"/>
    <w:autoRedefine/>
    <w:qFormat/>
    <w:uiPriority w:val="0"/>
    <w:pPr>
      <w:widowControl/>
      <w:spacing w:before="100" w:after="100"/>
      <w:jc w:val="center"/>
    </w:pPr>
    <w:rPr>
      <w:rFonts w:ascii="宋体" w:hAnsi="宋体"/>
      <w:kern w:val="0"/>
      <w:sz w:val="28"/>
    </w:rPr>
  </w:style>
  <w:style w:type="character" w:customStyle="1" w:styleId="102">
    <w:name w:val="批注主题 Char"/>
    <w:basedOn w:val="98"/>
    <w:link w:val="37"/>
    <w:autoRedefine/>
    <w:semiHidden/>
    <w:qFormat/>
    <w:uiPriority w:val="0"/>
    <w:rPr>
      <w:b/>
      <w:bCs/>
    </w:rPr>
  </w:style>
  <w:style w:type="paragraph" w:customStyle="1" w:styleId="103">
    <w:name w:val="图"/>
    <w:basedOn w:val="1"/>
    <w:autoRedefine/>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104">
    <w:name w:val="表"/>
    <w:basedOn w:val="1"/>
    <w:autoRedefine/>
    <w:qFormat/>
    <w:uiPriority w:val="0"/>
    <w:pPr>
      <w:jc w:val="center"/>
    </w:pPr>
    <w:rPr>
      <w:rFonts w:ascii="宋体" w:hAnsi="宋体"/>
    </w:rPr>
  </w:style>
  <w:style w:type="character" w:customStyle="1" w:styleId="105">
    <w:name w:val="正文文本缩进 2 Char"/>
    <w:basedOn w:val="41"/>
    <w:link w:val="23"/>
    <w:autoRedefine/>
    <w:qFormat/>
    <w:uiPriority w:val="0"/>
    <w:rPr>
      <w:rFonts w:ascii="仿宋_GB2312" w:hAnsi="Times New Roman" w:eastAsia="仿宋_GB2312" w:cs="Times New Roman"/>
      <w:color w:val="000000"/>
      <w:kern w:val="0"/>
      <w:sz w:val="28"/>
      <w:szCs w:val="20"/>
    </w:rPr>
  </w:style>
  <w:style w:type="paragraph" w:customStyle="1" w:styleId="106">
    <w:name w:val="正文1"/>
    <w:basedOn w:val="1"/>
    <w:autoRedefine/>
    <w:qFormat/>
    <w:uiPriority w:val="0"/>
    <w:pPr>
      <w:spacing w:before="60" w:after="60" w:line="360" w:lineRule="auto"/>
      <w:outlineLvl w:val="6"/>
    </w:pPr>
    <w:rPr>
      <w:sz w:val="24"/>
      <w:szCs w:val="24"/>
    </w:rPr>
  </w:style>
  <w:style w:type="paragraph" w:customStyle="1" w:styleId="107">
    <w:name w:val="Char1 Char Char Char Char Char Char Char Char Char"/>
    <w:basedOn w:val="1"/>
    <w:autoRedefine/>
    <w:qFormat/>
    <w:uiPriority w:val="0"/>
    <w:pPr>
      <w:widowControl/>
      <w:spacing w:line="400" w:lineRule="exact"/>
      <w:jc w:val="center"/>
    </w:pPr>
    <w:rPr>
      <w:rFonts w:ascii="Verdana" w:hAnsi="Verdana" w:cs="Verdana"/>
      <w:kern w:val="0"/>
      <w:szCs w:val="21"/>
      <w:lang w:eastAsia="en-US"/>
    </w:rPr>
  </w:style>
  <w:style w:type="character" w:customStyle="1" w:styleId="108">
    <w:name w:val="正文文本 3 Char"/>
    <w:basedOn w:val="41"/>
    <w:link w:val="14"/>
    <w:autoRedefine/>
    <w:qFormat/>
    <w:uiPriority w:val="0"/>
    <w:rPr>
      <w:rFonts w:ascii="宋体" w:hAnsi="宋体" w:eastAsia="宋体" w:cs="Times New Roman"/>
      <w:b/>
      <w:bCs/>
      <w:szCs w:val="20"/>
    </w:rPr>
  </w:style>
  <w:style w:type="paragraph" w:customStyle="1" w:styleId="109">
    <w:name w:val="正文2"/>
    <w:basedOn w:val="1"/>
    <w:autoRedefine/>
    <w:qFormat/>
    <w:uiPriority w:val="0"/>
    <w:pPr>
      <w:spacing w:before="60" w:after="60" w:line="360" w:lineRule="auto"/>
      <w:outlineLvl w:val="7"/>
    </w:pPr>
    <w:rPr>
      <w:sz w:val="24"/>
      <w:szCs w:val="24"/>
    </w:rPr>
  </w:style>
  <w:style w:type="character" w:customStyle="1" w:styleId="110">
    <w:name w:val="正文文本缩进 Char"/>
    <w:basedOn w:val="41"/>
    <w:link w:val="15"/>
    <w:autoRedefine/>
    <w:qFormat/>
    <w:uiPriority w:val="0"/>
    <w:rPr>
      <w:rFonts w:ascii="宋体" w:hAnsi="Times New Roman" w:eastAsia="宋体" w:cs="Times New Roman"/>
      <w:sz w:val="24"/>
      <w:szCs w:val="20"/>
    </w:rPr>
  </w:style>
  <w:style w:type="paragraph" w:customStyle="1" w:styleId="1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2">
    <w:name w:val="章标题"/>
    <w:next w:val="1"/>
    <w:autoRedefine/>
    <w:qFormat/>
    <w:uiPriority w:val="0"/>
    <w:pPr>
      <w:spacing w:before="50" w:after="50" w:line="360" w:lineRule="auto"/>
      <w:jc w:val="both"/>
      <w:outlineLvl w:val="1"/>
    </w:pPr>
    <w:rPr>
      <w:rFonts w:ascii="黑体" w:hAnsi="Times New Roman" w:eastAsia="黑体" w:cs="Times New Roman"/>
      <w:sz w:val="21"/>
      <w:lang w:val="en-US" w:eastAsia="zh-CN" w:bidi="ar-SA"/>
    </w:rPr>
  </w:style>
  <w:style w:type="paragraph" w:customStyle="1" w:styleId="113">
    <w:name w:val="Char1"/>
    <w:basedOn w:val="1"/>
    <w:autoRedefine/>
    <w:qFormat/>
    <w:uiPriority w:val="0"/>
    <w:pPr>
      <w:widowControl/>
      <w:spacing w:after="160" w:line="240" w:lineRule="exact"/>
      <w:jc w:val="left"/>
    </w:pPr>
    <w:rPr>
      <w:rFonts w:ascii="Verdana" w:hAnsi="Verdana"/>
      <w:kern w:val="0"/>
      <w:lang w:eastAsia="en-US"/>
    </w:rPr>
  </w:style>
  <w:style w:type="paragraph" w:customStyle="1" w:styleId="114">
    <w:name w:val="Char1 Char Char Char"/>
    <w:basedOn w:val="1"/>
    <w:autoRedefine/>
    <w:qFormat/>
    <w:uiPriority w:val="0"/>
    <w:pPr>
      <w:ind w:left="420" w:hanging="420"/>
    </w:pPr>
    <w:rPr>
      <w:sz w:val="24"/>
      <w:szCs w:val="24"/>
    </w:rPr>
  </w:style>
  <w:style w:type="paragraph" w:customStyle="1" w:styleId="115">
    <w:name w:val="列出段落11"/>
    <w:basedOn w:val="1"/>
    <w:autoRedefine/>
    <w:qFormat/>
    <w:uiPriority w:val="0"/>
    <w:pPr>
      <w:ind w:firstLine="420" w:firstLineChars="200"/>
    </w:pPr>
  </w:style>
  <w:style w:type="paragraph" w:customStyle="1" w:styleId="116">
    <w:name w:val="Char Char"/>
    <w:basedOn w:val="1"/>
    <w:autoRedefine/>
    <w:qFormat/>
    <w:uiPriority w:val="0"/>
    <w:pPr>
      <w:widowControl/>
      <w:spacing w:after="160" w:line="240" w:lineRule="exact"/>
      <w:jc w:val="left"/>
    </w:pPr>
    <w:rPr>
      <w:rFonts w:ascii="Verdana" w:hAnsi="Verdana"/>
      <w:kern w:val="0"/>
      <w:lang w:eastAsia="en-US"/>
    </w:rPr>
  </w:style>
  <w:style w:type="paragraph" w:customStyle="1" w:styleId="117">
    <w:name w:val="Char Char1"/>
    <w:basedOn w:val="1"/>
    <w:autoRedefine/>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18">
    <w:name w:val="列出段落2"/>
    <w:basedOn w:val="1"/>
    <w:autoRedefine/>
    <w:qFormat/>
    <w:uiPriority w:val="0"/>
    <w:pPr>
      <w:ind w:firstLine="420" w:firstLineChars="200"/>
    </w:pPr>
    <w:rPr>
      <w:rFonts w:ascii="Calibri" w:hAnsi="Calibri"/>
      <w:szCs w:val="22"/>
    </w:rPr>
  </w:style>
  <w:style w:type="paragraph" w:styleId="119">
    <w:name w:val="List Paragraph"/>
    <w:basedOn w:val="1"/>
    <w:autoRedefine/>
    <w:qFormat/>
    <w:uiPriority w:val="34"/>
    <w:pPr>
      <w:ind w:firstLine="420" w:firstLineChars="200"/>
    </w:pPr>
    <w:rPr>
      <w:rFonts w:ascii="Calibri" w:hAnsi="Calibri"/>
      <w:szCs w:val="22"/>
    </w:rPr>
  </w:style>
  <w:style w:type="paragraph" w:customStyle="1" w:styleId="120">
    <w:name w:val="BodyText"/>
    <w:basedOn w:val="1"/>
    <w:autoRedefine/>
    <w:qFormat/>
    <w:uiPriority w:val="0"/>
    <w:pPr>
      <w:spacing w:after="120"/>
    </w:pPr>
  </w:style>
  <w:style w:type="paragraph" w:customStyle="1" w:styleId="121">
    <w:name w:val="Table Text"/>
    <w:basedOn w:val="1"/>
    <w:autoRedefine/>
    <w:semiHidden/>
    <w:qFormat/>
    <w:uiPriority w:val="0"/>
    <w:rPr>
      <w:rFonts w:ascii="宋体" w:hAnsi="宋体" w:eastAsia="宋体" w:cs="宋体"/>
      <w:sz w:val="18"/>
      <w:szCs w:val="18"/>
      <w:lang w:val="en-US" w:eastAsia="en-US" w:bidi="ar-SA"/>
    </w:rPr>
  </w:style>
  <w:style w:type="table" w:customStyle="1" w:styleId="122">
    <w:name w:val="Table Normal"/>
    <w:autoRedefine/>
    <w:semiHidden/>
    <w:unhideWhenUsed/>
    <w:qFormat/>
    <w:uiPriority w:val="0"/>
    <w:tblPr>
      <w:tblCellMar>
        <w:top w:w="0" w:type="dxa"/>
        <w:left w:w="0" w:type="dxa"/>
        <w:bottom w:w="0" w:type="dxa"/>
        <w:right w:w="0" w:type="dxa"/>
      </w:tblCellMar>
    </w:tblPr>
  </w:style>
  <w:style w:type="paragraph" w:customStyle="1" w:styleId="123">
    <w:name w:val="Table Paragraph"/>
    <w:basedOn w:val="1"/>
    <w:autoRedefine/>
    <w:qFormat/>
    <w:uiPriority w:val="0"/>
    <w:pPr>
      <w:adjustRightInd/>
    </w:pPr>
    <w:rPr>
      <w:rFonts w:ascii="宋体" w:hAnsi="宋体" w:cs="宋体"/>
      <w:sz w:val="22"/>
      <w:szCs w:val="22"/>
      <w:lang w:val="zh-CN" w:bidi="zh-CN"/>
    </w:rPr>
  </w:style>
  <w:style w:type="character" w:customStyle="1" w:styleId="124">
    <w:name w:val="oz-tabs-strip-text"/>
    <w:basedOn w:val="41"/>
    <w:autoRedefine/>
    <w:qFormat/>
    <w:uiPriority w:val="0"/>
    <w:rPr>
      <w:sz w:val="16"/>
      <w:szCs w:val="16"/>
    </w:rPr>
  </w:style>
  <w:style w:type="character" w:customStyle="1" w:styleId="125">
    <w:name w:val="oz-l-btn-text"/>
    <w:basedOn w:val="41"/>
    <w:autoRedefine/>
    <w:qFormat/>
    <w:uiPriority w:val="0"/>
  </w:style>
  <w:style w:type="character" w:customStyle="1" w:styleId="126">
    <w:name w:val="oz-l-btn-left"/>
    <w:basedOn w:val="41"/>
    <w:autoRedefine/>
    <w:qFormat/>
    <w:uiPriority w:val="0"/>
  </w:style>
  <w:style w:type="character" w:customStyle="1" w:styleId="127">
    <w:name w:val="oz-l-btn-left1"/>
    <w:basedOn w:val="41"/>
    <w:autoRedefine/>
    <w:qFormat/>
    <w:uiPriority w:val="0"/>
  </w:style>
  <w:style w:type="paragraph" w:customStyle="1" w:styleId="128">
    <w:name w:val="_Style 127"/>
    <w:basedOn w:val="1"/>
    <w:next w:val="1"/>
    <w:autoRedefine/>
    <w:qFormat/>
    <w:uiPriority w:val="0"/>
    <w:pPr>
      <w:pBdr>
        <w:bottom w:val="single" w:color="auto" w:sz="6" w:space="1"/>
      </w:pBdr>
      <w:jc w:val="center"/>
    </w:pPr>
    <w:rPr>
      <w:rFonts w:ascii="Arial" w:eastAsia="宋体"/>
      <w:vanish/>
      <w:sz w:val="16"/>
    </w:rPr>
  </w:style>
  <w:style w:type="paragraph" w:customStyle="1" w:styleId="129">
    <w:name w:val="_Style 128"/>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50</Pages>
  <Words>28458</Words>
  <Characters>29752</Characters>
  <Lines>190</Lines>
  <Paragraphs>53</Paragraphs>
  <TotalTime>4</TotalTime>
  <ScaleCrop>false</ScaleCrop>
  <LinksUpToDate>false</LinksUpToDate>
  <CharactersWithSpaces>31599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2016-10-11T02:49:00Z</dcterms:created>
  <dc:creator>微软用户</dc:creator>
  <cp:lastModifiedBy>招标代理公司-lili</cp:lastModifiedBy>
  <cp:lastPrinted>2024-05-08T08:10:00Z</cp:lastPrinted>
  <dcterms:modified xsi:type="dcterms:W3CDTF">2024-05-15T04:22:28Z</dcterms:modified>
  <dc:title>项目名称：广东省英德监狱购买数字对讲机集群系统服务项目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FC20EF026C09421B9BF878C854CE7746_13</vt:lpwstr>
  </property>
</Properties>
</file>