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0"/>
        <w:jc w:val="center"/>
        <w:rPr>
          <w:rFonts w:hint="default" w:ascii="宋体" w:hAnsi="宋体" w:eastAsia="宋体" w:cs="Times New Roman"/>
          <w:b/>
          <w:bCs/>
          <w:sz w:val="36"/>
          <w:szCs w:val="24"/>
          <w:lang w:val="en-US"/>
        </w:rPr>
      </w:pPr>
      <w:bookmarkStart w:id="5" w:name="_GoBack"/>
      <w:bookmarkEnd w:id="5"/>
      <w:r>
        <w:rPr>
          <w:rFonts w:hint="eastAsia" w:ascii="宋体" w:hAnsi="宋体" w:eastAsia="宋体" w:cs="Times New Roman"/>
          <w:b/>
          <w:bCs/>
          <w:sz w:val="36"/>
          <w:szCs w:val="24"/>
          <w:lang w:eastAsia="zh-CN"/>
        </w:rPr>
        <w:t>广东省</w:t>
      </w:r>
      <w:r>
        <w:rPr>
          <w:rFonts w:hint="eastAsia" w:ascii="宋体" w:hAnsi="宋体" w:eastAsia="宋体" w:cs="Times New Roman"/>
          <w:b/>
          <w:bCs/>
          <w:sz w:val="36"/>
          <w:szCs w:val="24"/>
        </w:rPr>
        <w:t>英德</w:t>
      </w:r>
      <w:r>
        <w:rPr>
          <w:rFonts w:hint="eastAsia" w:ascii="宋体" w:hAnsi="宋体" w:eastAsia="宋体" w:cs="Times New Roman"/>
          <w:b/>
          <w:bCs/>
          <w:sz w:val="36"/>
          <w:szCs w:val="24"/>
          <w:lang w:eastAsia="zh-CN"/>
        </w:rPr>
        <w:t>监狱</w:t>
      </w:r>
      <w:r>
        <w:rPr>
          <w:rFonts w:hint="eastAsia" w:ascii="宋体" w:hAnsi="宋体" w:eastAsia="宋体" w:cs="Times New Roman"/>
          <w:b/>
          <w:bCs/>
          <w:sz w:val="36"/>
          <w:szCs w:val="24"/>
          <w:lang w:val="en-US" w:eastAsia="zh-CN"/>
        </w:rPr>
        <w:t>2024年</w:t>
      </w:r>
    </w:p>
    <w:p>
      <w:pPr>
        <w:spacing w:line="360" w:lineRule="auto"/>
        <w:ind w:firstLine="420"/>
        <w:jc w:val="center"/>
        <w:rPr>
          <w:rFonts w:ascii="宋体" w:hAnsi="宋体" w:eastAsia="宋体" w:cs="Times New Roman"/>
          <w:b/>
          <w:bCs/>
          <w:sz w:val="36"/>
          <w:szCs w:val="24"/>
        </w:rPr>
      </w:pPr>
      <w:r>
        <w:rPr>
          <w:rFonts w:hint="eastAsia" w:ascii="宋体" w:hAnsi="宋体" w:eastAsia="宋体" w:cs="Times New Roman"/>
          <w:b/>
          <w:bCs/>
          <w:sz w:val="36"/>
          <w:szCs w:val="24"/>
          <w:lang w:eastAsia="zh-CN"/>
        </w:rPr>
        <w:t>信息系统</w:t>
      </w:r>
      <w:r>
        <w:rPr>
          <w:rFonts w:ascii="宋体" w:hAnsi="宋体" w:eastAsia="宋体" w:cs="Times New Roman"/>
          <w:b/>
          <w:bCs/>
          <w:sz w:val="36"/>
          <w:szCs w:val="24"/>
        </w:rPr>
        <w:t>安全等级保护测评</w:t>
      </w:r>
      <w:r>
        <w:rPr>
          <w:rFonts w:hint="eastAsia" w:ascii="宋体" w:hAnsi="宋体" w:eastAsia="宋体" w:cs="Times New Roman"/>
          <w:b/>
          <w:bCs/>
          <w:sz w:val="36"/>
          <w:szCs w:val="24"/>
          <w:lang w:eastAsia="zh-CN"/>
        </w:rPr>
        <w:t>项目</w:t>
      </w:r>
      <w:r>
        <w:rPr>
          <w:rFonts w:ascii="宋体" w:hAnsi="宋体" w:eastAsia="宋体" w:cs="Times New Roman"/>
          <w:b/>
          <w:bCs/>
          <w:sz w:val="36"/>
          <w:szCs w:val="24"/>
        </w:rPr>
        <w:t>采购需求书</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1.</w:t>
      </w:r>
      <w:r>
        <w:rPr>
          <w:rFonts w:hint="eastAsia" w:ascii="宋体" w:hAnsi="宋体" w:cstheme="minorBidi"/>
          <w:kern w:val="44"/>
          <w:sz w:val="28"/>
          <w:szCs w:val="28"/>
        </w:rPr>
        <w:t>项目概况</w:t>
      </w:r>
    </w:p>
    <w:p>
      <w:pPr>
        <w:pageBreakBefore w:val="0"/>
        <w:kinsoku/>
        <w:wordWrap/>
        <w:overflowPunct/>
        <w:topLinePunct w:val="0"/>
        <w:autoSpaceDE/>
        <w:autoSpaceDN/>
        <w:bidi w:val="0"/>
        <w:spacing w:line="560" w:lineRule="exact"/>
        <w:ind w:firstLine="420"/>
        <w:rPr>
          <w:rFonts w:ascii="宋体" w:hAnsi="宋体" w:eastAsia="宋体" w:cs="Times New Roman"/>
          <w:sz w:val="28"/>
          <w:szCs w:val="28"/>
        </w:rPr>
      </w:pPr>
      <w:r>
        <w:rPr>
          <w:rFonts w:hint="eastAsia" w:ascii="宋体" w:hAnsi="宋体" w:eastAsia="宋体" w:cs="Times New Roman"/>
          <w:sz w:val="28"/>
          <w:szCs w:val="28"/>
          <w:lang w:val="en-US" w:eastAsia="zh-CN"/>
        </w:rPr>
        <w:t>1.1</w:t>
      </w:r>
      <w:r>
        <w:rPr>
          <w:rFonts w:hint="eastAsia" w:ascii="宋体" w:hAnsi="宋体" w:eastAsia="宋体" w:cs="Times New Roman"/>
          <w:sz w:val="28"/>
          <w:szCs w:val="28"/>
        </w:rPr>
        <w:t>采购</w:t>
      </w:r>
      <w:r>
        <w:rPr>
          <w:rFonts w:ascii="宋体" w:hAnsi="宋体" w:eastAsia="宋体" w:cs="Times New Roman"/>
          <w:sz w:val="28"/>
          <w:szCs w:val="28"/>
        </w:rPr>
        <w:t>项目名称：</w:t>
      </w:r>
      <w:r>
        <w:rPr>
          <w:rFonts w:hint="eastAsia" w:ascii="宋体" w:hAnsi="宋体" w:eastAsia="宋体" w:cs="Times New Roman"/>
          <w:sz w:val="28"/>
          <w:szCs w:val="28"/>
        </w:rPr>
        <w:t>广东省英德监狱2024年信息系统安全等级保护测评项目</w:t>
      </w:r>
    </w:p>
    <w:p>
      <w:pPr>
        <w:pageBreakBefore w:val="0"/>
        <w:kinsoku/>
        <w:wordWrap/>
        <w:overflowPunct/>
        <w:topLinePunct w:val="0"/>
        <w:autoSpaceDE/>
        <w:autoSpaceDN/>
        <w:bidi w:val="0"/>
        <w:spacing w:line="560" w:lineRule="exact"/>
        <w:ind w:firstLine="420"/>
        <w:rPr>
          <w:rFonts w:ascii="宋体" w:hAnsi="宋体" w:eastAsia="宋体" w:cs="Times New Roman"/>
          <w:sz w:val="28"/>
          <w:szCs w:val="28"/>
        </w:rPr>
      </w:pPr>
      <w:r>
        <w:rPr>
          <w:rFonts w:hint="eastAsia" w:ascii="宋体" w:hAnsi="宋体" w:eastAsia="宋体" w:cs="Times New Roman"/>
          <w:sz w:val="28"/>
          <w:szCs w:val="28"/>
          <w:lang w:val="en-US" w:eastAsia="zh-CN"/>
        </w:rPr>
        <w:t>1.2</w:t>
      </w:r>
      <w:r>
        <w:rPr>
          <w:rFonts w:ascii="宋体" w:hAnsi="宋体" w:eastAsia="宋体" w:cs="Times New Roman"/>
          <w:sz w:val="28"/>
          <w:szCs w:val="28"/>
        </w:rPr>
        <w:t>本项目预算金额：</w:t>
      </w:r>
      <w:r>
        <w:rPr>
          <w:rFonts w:hint="eastAsia" w:ascii="宋体" w:hAnsi="宋体" w:eastAsia="宋体" w:cs="Times New Roman"/>
          <w:sz w:val="28"/>
          <w:szCs w:val="28"/>
          <w:lang w:val="en-US" w:eastAsia="zh-CN"/>
        </w:rPr>
        <w:t>40.7</w:t>
      </w:r>
      <w:r>
        <w:rPr>
          <w:rFonts w:ascii="宋体" w:hAnsi="宋体" w:eastAsia="宋体" w:cs="Times New Roman"/>
          <w:sz w:val="28"/>
          <w:szCs w:val="28"/>
        </w:rPr>
        <w:t>万元</w:t>
      </w:r>
    </w:p>
    <w:p>
      <w:pPr>
        <w:pageBreakBefore w:val="0"/>
        <w:kinsoku/>
        <w:wordWrap/>
        <w:overflowPunct/>
        <w:topLinePunct w:val="0"/>
        <w:autoSpaceDE/>
        <w:autoSpaceDN/>
        <w:bidi w:val="0"/>
        <w:spacing w:line="560" w:lineRule="exact"/>
        <w:ind w:firstLine="420"/>
        <w:rPr>
          <w:rFonts w:ascii="宋体" w:hAnsi="宋体" w:eastAsia="宋体" w:cs="Times New Roman"/>
          <w:sz w:val="28"/>
          <w:szCs w:val="28"/>
        </w:rPr>
      </w:pPr>
      <w:r>
        <w:rPr>
          <w:rFonts w:hint="eastAsia" w:ascii="宋体" w:hAnsi="宋体" w:eastAsia="宋体" w:cs="Times New Roman"/>
          <w:sz w:val="28"/>
          <w:szCs w:val="28"/>
          <w:lang w:val="en-US" w:eastAsia="zh-CN"/>
        </w:rPr>
        <w:t>1.3</w:t>
      </w:r>
      <w:r>
        <w:rPr>
          <w:rFonts w:hint="eastAsia" w:ascii="宋体" w:hAnsi="宋体" w:eastAsia="宋体" w:cs="Times New Roman"/>
          <w:sz w:val="28"/>
          <w:szCs w:val="28"/>
        </w:rPr>
        <w:t>采购内容：确定</w:t>
      </w:r>
      <w:r>
        <w:rPr>
          <w:rFonts w:hint="eastAsia" w:ascii="宋体" w:hAnsi="宋体" w:eastAsia="宋体" w:cs="Times New Roman"/>
          <w:sz w:val="28"/>
          <w:szCs w:val="28"/>
          <w:lang w:eastAsia="zh-CN"/>
        </w:rPr>
        <w:t>服务</w:t>
      </w:r>
      <w:r>
        <w:rPr>
          <w:rFonts w:hint="eastAsia" w:ascii="宋体" w:hAnsi="宋体" w:eastAsia="宋体" w:cs="Times New Roman"/>
          <w:sz w:val="28"/>
          <w:szCs w:val="28"/>
        </w:rPr>
        <w:t>机构，为采购人信息化项目提供信息系统安全等级保护和相关服务。</w:t>
      </w:r>
    </w:p>
    <w:p>
      <w:pPr>
        <w:pageBreakBefore w:val="0"/>
        <w:kinsoku/>
        <w:wordWrap/>
        <w:overflowPunct/>
        <w:topLinePunct w:val="0"/>
        <w:autoSpaceDE/>
        <w:autoSpaceDN/>
        <w:bidi w:val="0"/>
        <w:spacing w:line="560" w:lineRule="exact"/>
        <w:ind w:firstLine="420"/>
        <w:rPr>
          <w:rFonts w:hint="eastAsia" w:ascii="宋体" w:hAnsi="宋体" w:eastAsia="宋体" w:cs="Times New Roman"/>
          <w:sz w:val="28"/>
          <w:szCs w:val="28"/>
          <w:lang w:eastAsia="zh-CN"/>
        </w:rPr>
      </w:pPr>
      <w:r>
        <w:rPr>
          <w:rFonts w:hint="eastAsia" w:ascii="宋体" w:hAnsi="宋体" w:eastAsia="宋体" w:cs="Times New Roman"/>
          <w:sz w:val="28"/>
          <w:szCs w:val="28"/>
          <w:lang w:val="en-US" w:eastAsia="zh-CN"/>
        </w:rPr>
        <w:t>1.4</w:t>
      </w:r>
      <w:r>
        <w:rPr>
          <w:rFonts w:ascii="宋体" w:hAnsi="宋体" w:eastAsia="宋体" w:cs="Times New Roman"/>
          <w:sz w:val="28"/>
          <w:szCs w:val="28"/>
        </w:rPr>
        <w:t>服务地点：</w:t>
      </w:r>
      <w:r>
        <w:rPr>
          <w:rFonts w:hint="eastAsia" w:ascii="宋体" w:hAnsi="宋体" w:eastAsia="宋体" w:cs="Times New Roman"/>
          <w:sz w:val="28"/>
          <w:szCs w:val="28"/>
          <w:lang w:eastAsia="zh-CN"/>
        </w:rPr>
        <w:t>广东省英德监狱</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2.</w:t>
      </w:r>
      <w:r>
        <w:rPr>
          <w:rFonts w:ascii="宋体" w:hAnsi="宋体" w:cstheme="minorBidi"/>
          <w:kern w:val="44"/>
          <w:sz w:val="28"/>
          <w:szCs w:val="28"/>
        </w:rPr>
        <w:t>项目背景</w:t>
      </w:r>
    </w:p>
    <w:p>
      <w:pPr>
        <w:pageBreakBefore w:val="0"/>
        <w:tabs>
          <w:tab w:val="left" w:pos="2521"/>
        </w:tabs>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网络安全等级保护是国家信息安全保障的基本制度、基本策略、基本方法。2017年6月1日实施的《中华人民共和国网络安全法》第二十一条中，明确提出了“国家实行网络安全等级保护制度，履行安全保护义务</w:t>
      </w:r>
      <w:r>
        <w:rPr>
          <w:rFonts w:hint="eastAsia" w:ascii="宋体" w:hAnsi="宋体" w:eastAsia="宋体" w:cs="Times New Roman"/>
          <w:sz w:val="28"/>
          <w:szCs w:val="28"/>
          <w:lang w:eastAsia="zh-CN"/>
        </w:rPr>
        <w:t>，</w:t>
      </w:r>
      <w:r>
        <w:rPr>
          <w:rFonts w:ascii="宋体" w:hAnsi="宋体" w:eastAsia="宋体" w:cs="Times New Roman"/>
          <w:sz w:val="28"/>
          <w:szCs w:val="28"/>
        </w:rPr>
        <w:t>保障网络免受干扰、破坏或者未经授权访问，防止网络数据泄露或者被窃取、篡改</w:t>
      </w:r>
      <w:r>
        <w:rPr>
          <w:rFonts w:hint="eastAsia" w:ascii="宋体" w:hAnsi="宋体" w:eastAsia="宋体" w:cs="Times New Roman"/>
          <w:sz w:val="28"/>
          <w:szCs w:val="28"/>
        </w:rPr>
        <w:t>”，</w:t>
      </w:r>
      <w:r>
        <w:rPr>
          <w:rFonts w:ascii="宋体" w:hAnsi="宋体" w:eastAsia="宋体" w:cs="Times New Roman"/>
          <w:sz w:val="28"/>
          <w:szCs w:val="28"/>
        </w:rPr>
        <w:t>为贯彻落实等级保护主管部门关于网络安全等级保护工作的要求，必须规范网络安全等级保护管理，切实提高</w:t>
      </w:r>
      <w:r>
        <w:rPr>
          <w:rFonts w:hint="eastAsia" w:ascii="宋体" w:hAnsi="宋体" w:eastAsia="宋体" w:cs="Times New Roman"/>
          <w:sz w:val="28"/>
          <w:szCs w:val="28"/>
        </w:rPr>
        <w:t>英德</w:t>
      </w:r>
      <w:r>
        <w:rPr>
          <w:rFonts w:hint="eastAsia" w:ascii="宋体" w:hAnsi="宋体" w:eastAsia="宋体" w:cs="Times New Roman"/>
          <w:sz w:val="28"/>
          <w:szCs w:val="28"/>
          <w:lang w:eastAsia="zh-CN"/>
        </w:rPr>
        <w:t>监狱</w:t>
      </w:r>
      <w:r>
        <w:rPr>
          <w:rFonts w:ascii="宋体" w:hAnsi="宋体" w:eastAsia="宋体" w:cs="Times New Roman"/>
          <w:sz w:val="28"/>
          <w:szCs w:val="28"/>
        </w:rPr>
        <w:t>的网络安全防护与管控能力。本次采购主要是对</w:t>
      </w:r>
      <w:r>
        <w:rPr>
          <w:rFonts w:hint="eastAsia" w:ascii="宋体" w:hAnsi="宋体" w:eastAsia="宋体" w:cs="Times New Roman"/>
          <w:sz w:val="28"/>
          <w:szCs w:val="28"/>
        </w:rPr>
        <w:t>英德</w:t>
      </w:r>
      <w:r>
        <w:rPr>
          <w:rFonts w:hint="eastAsia" w:ascii="宋体" w:hAnsi="宋体" w:eastAsia="宋体" w:cs="Times New Roman"/>
          <w:sz w:val="28"/>
          <w:szCs w:val="28"/>
          <w:lang w:eastAsia="zh-CN"/>
        </w:rPr>
        <w:t>监狱</w:t>
      </w:r>
      <w:r>
        <w:rPr>
          <w:rFonts w:ascii="宋体" w:hAnsi="宋体" w:eastAsia="宋体" w:cs="Times New Roman"/>
          <w:sz w:val="28"/>
          <w:szCs w:val="28"/>
        </w:rPr>
        <w:t>的信息系统提供网络安全等级保护测评服务，进一步巩固前期</w:t>
      </w:r>
      <w:r>
        <w:rPr>
          <w:rFonts w:hint="eastAsia" w:ascii="宋体" w:hAnsi="宋体" w:eastAsia="宋体" w:cs="Times New Roman"/>
          <w:sz w:val="28"/>
          <w:szCs w:val="28"/>
        </w:rPr>
        <w:t>英德</w:t>
      </w:r>
      <w:r>
        <w:rPr>
          <w:rFonts w:hint="eastAsia" w:ascii="宋体" w:hAnsi="宋体" w:eastAsia="宋体" w:cs="Times New Roman"/>
          <w:sz w:val="28"/>
          <w:szCs w:val="28"/>
          <w:lang w:eastAsia="zh-CN"/>
        </w:rPr>
        <w:t>监狱</w:t>
      </w:r>
      <w:r>
        <w:rPr>
          <w:rFonts w:ascii="宋体" w:hAnsi="宋体" w:eastAsia="宋体" w:cs="Times New Roman"/>
          <w:sz w:val="28"/>
          <w:szCs w:val="28"/>
        </w:rPr>
        <w:t>在网络安全方面所取得的工作成果和推进等级保护工作落地。</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3.</w:t>
      </w:r>
      <w:r>
        <w:rPr>
          <w:rFonts w:hint="eastAsia" w:ascii="宋体" w:hAnsi="宋体" w:cstheme="minorBidi"/>
          <w:kern w:val="44"/>
          <w:sz w:val="28"/>
          <w:szCs w:val="28"/>
        </w:rPr>
        <w:t>资格要求</w:t>
      </w:r>
    </w:p>
    <w:p>
      <w:pPr>
        <w:pageBreakBefore w:val="0"/>
        <w:kinsoku/>
        <w:wordWrap/>
        <w:overflowPunct/>
        <w:topLinePunct w:val="0"/>
        <w:autoSpaceDE/>
        <w:autoSpaceDN/>
        <w:bidi w:val="0"/>
        <w:spacing w:line="560" w:lineRule="exact"/>
        <w:rPr>
          <w:rFonts w:ascii="宋体" w:hAnsi="宋体" w:eastAsia="宋体" w:cs="Times New Roman"/>
          <w:sz w:val="28"/>
          <w:szCs w:val="28"/>
          <w:lang w:val="hr-HR"/>
        </w:rPr>
      </w:pPr>
      <w:r>
        <w:rPr>
          <w:rFonts w:hint="eastAsia" w:ascii="宋体" w:hAnsi="宋体" w:eastAsia="宋体" w:cs="Times New Roman"/>
          <w:sz w:val="28"/>
          <w:szCs w:val="28"/>
          <w:lang w:val="hr-HR"/>
        </w:rPr>
        <w:t>报价供应商资格要求：</w:t>
      </w:r>
    </w:p>
    <w:p>
      <w:pPr>
        <w:pageBreakBefore w:val="0"/>
        <w:kinsoku/>
        <w:wordWrap/>
        <w:overflowPunct/>
        <w:topLinePunct w:val="0"/>
        <w:autoSpaceDE/>
        <w:autoSpaceDN/>
        <w:bidi w:val="0"/>
        <w:spacing w:line="560" w:lineRule="exact"/>
        <w:ind w:firstLine="420"/>
        <w:rPr>
          <w:rFonts w:ascii="宋体" w:hAnsi="宋体" w:eastAsia="宋体" w:cs="Times New Roman"/>
          <w:sz w:val="28"/>
          <w:szCs w:val="28"/>
          <w:lang w:val="hr-HR"/>
        </w:rPr>
      </w:pPr>
      <w:r>
        <w:rPr>
          <w:rFonts w:hint="eastAsia" w:ascii="宋体" w:hAnsi="宋体" w:eastAsia="宋体" w:cs="Times New Roman"/>
          <w:sz w:val="28"/>
          <w:szCs w:val="28"/>
          <w:lang w:val="en-US" w:eastAsia="zh-CN"/>
        </w:rPr>
        <w:t>3.1</w:t>
      </w:r>
      <w:r>
        <w:rPr>
          <w:rFonts w:hint="eastAsia" w:ascii="宋体" w:hAnsi="宋体" w:eastAsia="宋体" w:cs="Times New Roman"/>
          <w:sz w:val="28"/>
          <w:szCs w:val="28"/>
          <w:lang w:val="hr-HR" w:eastAsia="zh-CN"/>
        </w:rPr>
        <w:t>应标单位</w:t>
      </w:r>
      <w:r>
        <w:rPr>
          <w:rFonts w:ascii="宋体" w:hAnsi="宋体" w:eastAsia="宋体" w:cs="Times New Roman"/>
          <w:sz w:val="28"/>
          <w:szCs w:val="28"/>
          <w:lang w:val="hr-HR"/>
        </w:rPr>
        <w:t>必须是具有独立承担民事责任的能力的在中华人民共和国境内注册的法人或其他组织，</w:t>
      </w:r>
      <w:r>
        <w:rPr>
          <w:rFonts w:hint="eastAsia" w:ascii="宋体" w:hAnsi="宋体" w:eastAsia="宋体" w:cs="Times New Roman"/>
          <w:sz w:val="28"/>
          <w:szCs w:val="28"/>
          <w:lang w:val="hr-HR" w:eastAsia="zh-CN"/>
        </w:rPr>
        <w:t>具备有效</w:t>
      </w:r>
      <w:r>
        <w:rPr>
          <w:rFonts w:ascii="宋体" w:hAnsi="宋体" w:eastAsia="宋体" w:cs="Times New Roman"/>
          <w:sz w:val="28"/>
          <w:szCs w:val="28"/>
          <w:lang w:val="hr-HR"/>
        </w:rPr>
        <w:t>的营业执照（或事业法人登记证等相关证明）复印件。</w:t>
      </w:r>
    </w:p>
    <w:p>
      <w:pPr>
        <w:pageBreakBefore w:val="0"/>
        <w:kinsoku/>
        <w:wordWrap/>
        <w:overflowPunct/>
        <w:topLinePunct w:val="0"/>
        <w:autoSpaceDE/>
        <w:autoSpaceDN/>
        <w:bidi w:val="0"/>
        <w:spacing w:line="560" w:lineRule="exact"/>
        <w:ind w:firstLine="420"/>
        <w:rPr>
          <w:rFonts w:ascii="宋体" w:hAnsi="宋体" w:eastAsia="宋体" w:cs="Times New Roman"/>
          <w:sz w:val="28"/>
          <w:szCs w:val="28"/>
          <w:lang w:val="hr-HR"/>
        </w:rPr>
      </w:pPr>
      <w:r>
        <w:rPr>
          <w:rFonts w:ascii="宋体" w:hAnsi="宋体" w:eastAsia="宋体" w:cs="Times New Roman"/>
          <w:sz w:val="28"/>
          <w:szCs w:val="28"/>
          <w:lang w:val="hr-HR"/>
        </w:rPr>
        <w:t>3</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val="hr-HR" w:eastAsia="zh-CN"/>
        </w:rPr>
        <w:t>应标单位</w:t>
      </w:r>
      <w:r>
        <w:rPr>
          <w:rFonts w:ascii="宋体" w:hAnsi="宋体" w:eastAsia="宋体" w:cs="Times New Roman"/>
          <w:sz w:val="28"/>
          <w:szCs w:val="28"/>
          <w:lang w:val="hr-HR"/>
        </w:rPr>
        <w:t>必须具备有效期内经公安部认证</w:t>
      </w:r>
      <w:r>
        <w:rPr>
          <w:rFonts w:hint="eastAsia" w:ascii="宋体" w:hAnsi="宋体" w:eastAsia="宋体" w:cs="Times New Roman"/>
          <w:sz w:val="28"/>
          <w:szCs w:val="28"/>
          <w:lang w:val="hr-HR" w:eastAsia="zh-CN"/>
        </w:rPr>
        <w:t>颁发</w:t>
      </w:r>
      <w:r>
        <w:rPr>
          <w:rFonts w:ascii="宋体" w:hAnsi="宋体" w:eastAsia="宋体" w:cs="Times New Roman"/>
          <w:sz w:val="28"/>
          <w:szCs w:val="28"/>
          <w:lang w:val="hr-HR"/>
        </w:rPr>
        <w:t>的《网络安全等级测评与检测评估机构服务认证证书》，并提供复印件</w:t>
      </w:r>
      <w:r>
        <w:rPr>
          <w:rFonts w:hint="eastAsia" w:ascii="宋体" w:hAnsi="宋体" w:eastAsia="宋体" w:cs="Times New Roman"/>
          <w:sz w:val="28"/>
          <w:szCs w:val="28"/>
          <w:lang w:val="hr-HR"/>
        </w:rPr>
        <w:t>加盖公章</w:t>
      </w:r>
      <w:r>
        <w:rPr>
          <w:rFonts w:ascii="宋体" w:hAnsi="宋体" w:eastAsia="宋体" w:cs="Times New Roman"/>
          <w:sz w:val="28"/>
          <w:szCs w:val="28"/>
          <w:lang w:val="hr-HR"/>
        </w:rPr>
        <w:t>。</w:t>
      </w:r>
    </w:p>
    <w:p>
      <w:pPr>
        <w:pStyle w:val="7"/>
        <w:pageBreakBefore w:val="0"/>
        <w:kinsoku/>
        <w:wordWrap/>
        <w:overflowPunct/>
        <w:topLinePunct w:val="0"/>
        <w:autoSpaceDE/>
        <w:autoSpaceDN/>
        <w:bidi w:val="0"/>
        <w:spacing w:line="560" w:lineRule="exact"/>
        <w:rPr>
          <w:rFonts w:hint="eastAsia" w:ascii="宋体" w:hAnsi="宋体" w:cs="Times New Roman"/>
          <w:sz w:val="28"/>
          <w:szCs w:val="28"/>
          <w:lang w:val="en-US" w:eastAsia="zh-CN"/>
        </w:rPr>
      </w:pPr>
      <w:r>
        <w:rPr>
          <w:rFonts w:hint="eastAsia" w:ascii="宋体" w:hAnsi="宋体" w:cs="Times New Roman"/>
          <w:sz w:val="28"/>
          <w:szCs w:val="28"/>
          <w:lang w:val="en-US" w:eastAsia="zh-CN"/>
        </w:rPr>
        <w:t>3.3应标单位需提供公司在网络安全等级保护网（https://www.djbh.net/agency?q=agencyIn&amp;tab=2）的在库证明（输入以上网址，查询公司，截图，盖公司章）。</w:t>
      </w:r>
    </w:p>
    <w:p>
      <w:pPr>
        <w:pStyle w:val="7"/>
        <w:pageBreakBefore w:val="0"/>
        <w:kinsoku/>
        <w:wordWrap/>
        <w:overflowPunct/>
        <w:topLinePunct w:val="0"/>
        <w:autoSpaceDE/>
        <w:autoSpaceDN/>
        <w:bidi w:val="0"/>
        <w:spacing w:line="560" w:lineRule="exact"/>
        <w:rPr>
          <w:rFonts w:hint="default" w:eastAsia="宋体"/>
          <w:sz w:val="28"/>
          <w:szCs w:val="28"/>
          <w:lang w:val="en-US" w:eastAsia="zh-CN"/>
        </w:rPr>
      </w:pPr>
      <w:r>
        <w:rPr>
          <w:rFonts w:hint="eastAsia" w:ascii="宋体" w:hAnsi="宋体" w:cs="Times New Roman"/>
          <w:sz w:val="28"/>
          <w:szCs w:val="28"/>
          <w:lang w:val="en-US" w:eastAsia="zh-CN"/>
        </w:rPr>
        <w:t>3.4本项目不接受联合体投标。</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4.</w:t>
      </w:r>
      <w:r>
        <w:rPr>
          <w:rFonts w:ascii="宋体" w:hAnsi="宋体" w:cstheme="minorBidi"/>
          <w:kern w:val="44"/>
          <w:sz w:val="28"/>
          <w:szCs w:val="28"/>
        </w:rPr>
        <w:t>等级保护测评依据</w:t>
      </w:r>
    </w:p>
    <w:p>
      <w:pPr>
        <w:pageBreakBefore w:val="0"/>
        <w:kinsoku/>
        <w:wordWrap/>
        <w:overflowPunct/>
        <w:topLinePunct w:val="0"/>
        <w:autoSpaceDE/>
        <w:autoSpaceDN/>
        <w:bidi w:val="0"/>
        <w:spacing w:line="560" w:lineRule="exact"/>
        <w:ind w:firstLine="420"/>
        <w:rPr>
          <w:rFonts w:ascii="宋体" w:hAnsi="宋体" w:eastAsia="宋体"/>
          <w:sz w:val="28"/>
          <w:szCs w:val="28"/>
        </w:rPr>
      </w:pPr>
      <w:r>
        <w:rPr>
          <w:rFonts w:hint="eastAsia" w:ascii="宋体" w:hAnsi="宋体" w:eastAsia="宋体"/>
          <w:sz w:val="28"/>
          <w:szCs w:val="28"/>
        </w:rPr>
        <w:t>《中华人民共和国网络安全法》</w:t>
      </w:r>
    </w:p>
    <w:p>
      <w:pPr>
        <w:pageBreakBefore w:val="0"/>
        <w:kinsoku/>
        <w:wordWrap/>
        <w:overflowPunct/>
        <w:topLinePunct w:val="0"/>
        <w:autoSpaceDE/>
        <w:autoSpaceDN/>
        <w:bidi w:val="0"/>
        <w:spacing w:line="560" w:lineRule="exact"/>
        <w:ind w:firstLine="420"/>
        <w:rPr>
          <w:rFonts w:ascii="宋体" w:hAnsi="宋体" w:eastAsia="宋体"/>
          <w:sz w:val="28"/>
          <w:szCs w:val="28"/>
        </w:rPr>
      </w:pPr>
      <w:r>
        <w:rPr>
          <w:rFonts w:hint="eastAsia" w:ascii="宋体" w:hAnsi="宋体" w:eastAsia="宋体"/>
          <w:sz w:val="28"/>
          <w:szCs w:val="28"/>
        </w:rPr>
        <w:t>《中华人民共和国计算机信息系统安全保护条例》</w:t>
      </w:r>
      <w:r>
        <w:rPr>
          <w:rFonts w:ascii="宋体" w:hAnsi="宋体" w:eastAsia="宋体"/>
          <w:sz w:val="28"/>
          <w:szCs w:val="28"/>
        </w:rPr>
        <w:t>([1994]国务院147号令)</w:t>
      </w:r>
    </w:p>
    <w:p>
      <w:pPr>
        <w:pageBreakBefore w:val="0"/>
        <w:kinsoku/>
        <w:wordWrap/>
        <w:overflowPunct/>
        <w:topLinePunct w:val="0"/>
        <w:autoSpaceDE/>
        <w:autoSpaceDN/>
        <w:bidi w:val="0"/>
        <w:spacing w:line="560" w:lineRule="exact"/>
        <w:ind w:firstLine="420"/>
        <w:rPr>
          <w:rFonts w:ascii="宋体" w:hAnsi="宋体" w:eastAsia="宋体"/>
          <w:sz w:val="28"/>
          <w:szCs w:val="28"/>
        </w:rPr>
      </w:pPr>
      <w:r>
        <w:rPr>
          <w:rFonts w:hint="eastAsia" w:ascii="宋体" w:hAnsi="宋体" w:eastAsia="宋体"/>
          <w:sz w:val="28"/>
          <w:szCs w:val="28"/>
        </w:rPr>
        <w:t>《关于加强信息安全保障工作的意见》(中办发[2003]27号)</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《关于信息安全等级保护工作的实施意见》(公通字[2004]66号)</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《信息安全等级保护管理办法》(公通字[2007]43号)</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《关于开展全国重要信息系统安全等级保护定级工作的通知》(公信安</w:t>
      </w:r>
      <w:r>
        <w:rPr>
          <w:rFonts w:ascii="宋体" w:hAnsi="宋体" w:eastAsia="宋体"/>
          <w:sz w:val="28"/>
          <w:szCs w:val="28"/>
        </w:rPr>
        <w:t>[2007]861号</w:t>
      </w:r>
      <w:r>
        <w:rPr>
          <w:rFonts w:hint="eastAsia" w:ascii="宋体" w:hAnsi="宋体" w:eastAsia="宋体"/>
          <w:sz w:val="28"/>
          <w:szCs w:val="28"/>
        </w:rPr>
        <w:t>)</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《信息安全等级保护备案实施细则》</w:t>
      </w:r>
      <w:r>
        <w:rPr>
          <w:rFonts w:ascii="宋体" w:hAnsi="宋体" w:eastAsia="宋体"/>
          <w:sz w:val="28"/>
          <w:szCs w:val="28"/>
        </w:rPr>
        <w:t>(</w:t>
      </w:r>
      <w:r>
        <w:rPr>
          <w:rFonts w:hint="eastAsia" w:ascii="宋体" w:hAnsi="宋体" w:eastAsia="宋体"/>
          <w:sz w:val="28"/>
          <w:szCs w:val="28"/>
        </w:rPr>
        <w:t>公信安[2007]1360号</w:t>
      </w:r>
      <w:r>
        <w:rPr>
          <w:rFonts w:ascii="宋体" w:hAnsi="宋体" w:eastAsia="宋体"/>
          <w:sz w:val="28"/>
          <w:szCs w:val="28"/>
        </w:rPr>
        <w:t>)</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GB/T 25058-2019</w:t>
      </w:r>
      <w:r>
        <w:rPr>
          <w:rFonts w:ascii="宋体" w:hAnsi="宋体" w:eastAsia="宋体"/>
          <w:sz w:val="28"/>
          <w:szCs w:val="28"/>
        </w:rPr>
        <w:t xml:space="preserve"> </w:t>
      </w:r>
      <w:r>
        <w:rPr>
          <w:rFonts w:hint="eastAsia" w:ascii="宋体" w:hAnsi="宋体" w:eastAsia="宋体"/>
          <w:sz w:val="28"/>
          <w:szCs w:val="28"/>
        </w:rPr>
        <w:t>《信息安全技术网络安全等级保护实施指南》</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GB/T 22240-2020</w:t>
      </w:r>
      <w:r>
        <w:rPr>
          <w:rFonts w:ascii="宋体" w:hAnsi="宋体" w:eastAsia="宋体"/>
          <w:sz w:val="28"/>
          <w:szCs w:val="28"/>
        </w:rPr>
        <w:t xml:space="preserve"> </w:t>
      </w:r>
      <w:r>
        <w:rPr>
          <w:rFonts w:hint="eastAsia" w:ascii="宋体" w:hAnsi="宋体" w:eastAsia="宋体"/>
          <w:sz w:val="28"/>
          <w:szCs w:val="28"/>
        </w:rPr>
        <w:t>《信息安全技术网络安全等级保护定级指南》</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GB/T 22239-2019</w:t>
      </w:r>
      <w:r>
        <w:rPr>
          <w:rFonts w:ascii="宋体" w:hAnsi="宋体" w:eastAsia="宋体"/>
          <w:sz w:val="28"/>
          <w:szCs w:val="28"/>
        </w:rPr>
        <w:t xml:space="preserve"> </w:t>
      </w:r>
      <w:r>
        <w:rPr>
          <w:rFonts w:hint="eastAsia" w:ascii="宋体" w:hAnsi="宋体" w:eastAsia="宋体"/>
          <w:sz w:val="28"/>
          <w:szCs w:val="28"/>
        </w:rPr>
        <w:t>《信息安全技术网络安全等级保护基本要求》</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GB/T 28448-2019</w:t>
      </w:r>
      <w:r>
        <w:rPr>
          <w:rFonts w:ascii="宋体" w:hAnsi="宋体" w:eastAsia="宋体"/>
          <w:sz w:val="28"/>
          <w:szCs w:val="28"/>
        </w:rPr>
        <w:t xml:space="preserve"> </w:t>
      </w:r>
      <w:bookmarkStart w:id="0" w:name="_Hlk107508042"/>
      <w:r>
        <w:rPr>
          <w:rFonts w:hint="eastAsia" w:ascii="宋体" w:hAnsi="宋体" w:eastAsia="宋体"/>
          <w:sz w:val="28"/>
          <w:szCs w:val="28"/>
        </w:rPr>
        <w:t>《信息安全技术网络安全等级保护测评要求》</w:t>
      </w:r>
      <w:bookmarkEnd w:id="0"/>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hint="eastAsia" w:ascii="宋体" w:hAnsi="宋体" w:eastAsia="宋体"/>
          <w:sz w:val="28"/>
          <w:szCs w:val="28"/>
        </w:rPr>
        <w:t>GB/T 28449-2018</w:t>
      </w:r>
      <w:r>
        <w:rPr>
          <w:rFonts w:ascii="宋体" w:hAnsi="宋体" w:eastAsia="宋体"/>
          <w:sz w:val="28"/>
          <w:szCs w:val="28"/>
        </w:rPr>
        <w:t xml:space="preserve"> </w:t>
      </w:r>
      <w:r>
        <w:rPr>
          <w:rFonts w:hint="eastAsia" w:ascii="宋体" w:hAnsi="宋体" w:eastAsia="宋体"/>
          <w:sz w:val="28"/>
          <w:szCs w:val="28"/>
        </w:rPr>
        <w:t>《信息安全技术 网络安全等级保护测评过程指南》</w:t>
      </w:r>
    </w:p>
    <w:p>
      <w:pPr>
        <w:pageBreakBefore w:val="0"/>
        <w:kinsoku/>
        <w:wordWrap/>
        <w:overflowPunct/>
        <w:topLinePunct w:val="0"/>
        <w:autoSpaceDE/>
        <w:autoSpaceDN/>
        <w:bidi w:val="0"/>
        <w:spacing w:line="560" w:lineRule="exact"/>
        <w:ind w:left="420" w:leftChars="200"/>
        <w:rPr>
          <w:rFonts w:ascii="宋体" w:hAnsi="宋体" w:eastAsia="宋体"/>
          <w:sz w:val="28"/>
          <w:szCs w:val="28"/>
        </w:rPr>
      </w:pPr>
      <w:r>
        <w:rPr>
          <w:rFonts w:ascii="宋体" w:hAnsi="宋体" w:eastAsia="宋体"/>
          <w:sz w:val="28"/>
          <w:szCs w:val="28"/>
        </w:rPr>
        <w:t>GB/T 20984-2</w:t>
      </w:r>
      <w:r>
        <w:rPr>
          <w:rFonts w:hint="eastAsia" w:ascii="宋体" w:hAnsi="宋体" w:eastAsia="宋体"/>
          <w:sz w:val="28"/>
          <w:szCs w:val="28"/>
        </w:rPr>
        <w:t>022</w:t>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信息安全技术</w:t>
      </w:r>
      <w:r>
        <w:rPr>
          <w:rFonts w:hint="eastAsia" w:ascii="宋体" w:hAnsi="宋体" w:eastAsia="宋体"/>
          <w:sz w:val="28"/>
          <w:szCs w:val="28"/>
        </w:rPr>
        <w:t xml:space="preserve"> </w:t>
      </w:r>
      <w:r>
        <w:rPr>
          <w:rFonts w:ascii="宋体" w:hAnsi="宋体" w:eastAsia="宋体"/>
          <w:sz w:val="28"/>
          <w:szCs w:val="28"/>
        </w:rPr>
        <w:t>信息安全风险评估规范》</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5.</w:t>
      </w:r>
      <w:r>
        <w:rPr>
          <w:rFonts w:hint="eastAsia" w:ascii="宋体" w:hAnsi="宋体" w:cstheme="minorBidi"/>
          <w:kern w:val="44"/>
          <w:sz w:val="28"/>
          <w:szCs w:val="28"/>
        </w:rPr>
        <w:t>服务项目内容</w:t>
      </w:r>
    </w:p>
    <w:p>
      <w:pPr>
        <w:pStyle w:val="3"/>
        <w:pageBreakBefore w:val="0"/>
        <w:numPr>
          <w:ilvl w:val="0"/>
          <w:numId w:val="0"/>
        </w:numPr>
        <w:tabs>
          <w:tab w:val="left" w:pos="576"/>
        </w:tabs>
        <w:kinsoku/>
        <w:wordWrap/>
        <w:overflowPunct/>
        <w:topLinePunct w:val="0"/>
        <w:autoSpaceDE/>
        <w:autoSpaceDN/>
        <w:bidi w:val="0"/>
        <w:spacing w:line="560" w:lineRule="exact"/>
        <w:ind w:leftChars="0"/>
        <w:rPr>
          <w:rFonts w:ascii="宋体" w:hAnsi="宋体"/>
          <w:b/>
          <w:bCs/>
          <w:sz w:val="28"/>
          <w:szCs w:val="28"/>
          <w:lang w:val="hr-HR"/>
        </w:rPr>
      </w:pPr>
      <w:r>
        <w:rPr>
          <w:rFonts w:hint="eastAsia" w:ascii="宋体" w:hAnsi="宋体"/>
          <w:b/>
          <w:bCs/>
          <w:sz w:val="28"/>
          <w:szCs w:val="28"/>
          <w:lang w:val="en-US" w:eastAsia="zh-CN"/>
        </w:rPr>
        <w:t>5.1</w:t>
      </w:r>
      <w:r>
        <w:rPr>
          <w:rFonts w:hint="eastAsia" w:ascii="宋体" w:hAnsi="宋体"/>
          <w:b/>
          <w:bCs/>
          <w:sz w:val="28"/>
          <w:szCs w:val="28"/>
          <w:lang w:val="hr-HR"/>
        </w:rPr>
        <w:t>信息系统信息安全等级保护测评需求</w:t>
      </w:r>
    </w:p>
    <w:p>
      <w:pPr>
        <w:pStyle w:val="7"/>
        <w:pageBreakBefore w:val="0"/>
        <w:kinsoku/>
        <w:wordWrap/>
        <w:overflowPunct/>
        <w:topLinePunct w:val="0"/>
        <w:autoSpaceDE/>
        <w:autoSpaceDN/>
        <w:bidi w:val="0"/>
        <w:spacing w:before="120" w:line="560" w:lineRule="exact"/>
        <w:ind w:firstLine="480"/>
        <w:rPr>
          <w:rFonts w:ascii="宋体" w:hAnsi="宋体"/>
          <w:sz w:val="28"/>
          <w:szCs w:val="28"/>
          <w:lang w:val="hr-HR"/>
        </w:rPr>
      </w:pPr>
      <w:r>
        <w:rPr>
          <w:rFonts w:hint="eastAsia" w:ascii="宋体" w:hAnsi="宋体"/>
          <w:sz w:val="28"/>
          <w:szCs w:val="28"/>
          <w:lang w:val="hr-HR"/>
        </w:rPr>
        <w:t>根据信息系统安全等级保护定级要求，须对以下2个三级信息系统进行复评，拟对以下2个信息系统进行测评及定级二级，10个信息系统进行一级专家评审，具体情况如下：</w:t>
      </w:r>
    </w:p>
    <w:tbl>
      <w:tblPr>
        <w:tblStyle w:val="17"/>
        <w:tblW w:w="8344" w:type="dxa"/>
        <w:jc w:val="center"/>
        <w:tblInd w:w="0" w:type="dxa"/>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
      <w:tblGrid>
        <w:gridCol w:w="543"/>
        <w:gridCol w:w="2458"/>
        <w:gridCol w:w="1200"/>
        <w:gridCol w:w="850"/>
        <w:gridCol w:w="892"/>
        <w:gridCol w:w="2401"/>
      </w:tblGrid>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437" w:hRule="atLeast"/>
          <w:jc w:val="center"/>
        </w:trPr>
        <w:tc>
          <w:tcPr>
            <w:tcW w:w="8344" w:type="dxa"/>
            <w:gridSpan w:val="6"/>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信息系统信息安全等级保护测评服务</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473" w:hRule="atLeast"/>
          <w:jc w:val="center"/>
        </w:trPr>
        <w:tc>
          <w:tcPr>
            <w:tcW w:w="8344" w:type="dxa"/>
            <w:gridSpan w:val="6"/>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序号</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16"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系统名称</w:t>
            </w:r>
          </w:p>
        </w:tc>
        <w:tc>
          <w:tcPr>
            <w:tcW w:w="1200" w:type="dxa"/>
            <w:tcBorders>
              <w:tl2br w:val="nil"/>
              <w:tr2bl w:val="nil"/>
            </w:tcBorders>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服务内容</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数量</w:t>
            </w:r>
          </w:p>
        </w:tc>
        <w:tc>
          <w:tcPr>
            <w:tcW w:w="892"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级别</w:t>
            </w:r>
          </w:p>
        </w:tc>
        <w:tc>
          <w:tcPr>
            <w:tcW w:w="2401"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备注</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2</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监管改造信息管理系统</w:t>
            </w:r>
          </w:p>
        </w:tc>
        <w:tc>
          <w:tcPr>
            <w:tcW w:w="1200" w:type="dxa"/>
            <w:tcBorders>
              <w:tl2br w:val="nil"/>
              <w:tr2bl w:val="nil"/>
            </w:tcBorders>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等保测评</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三级</w:t>
            </w:r>
          </w:p>
        </w:tc>
        <w:tc>
          <w:tcPr>
            <w:tcW w:w="2401" w:type="dxa"/>
            <w:vMerge w:val="restart"/>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复评</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3</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刑罚执行网上协同工作平台</w:t>
            </w:r>
          </w:p>
        </w:tc>
        <w:tc>
          <w:tcPr>
            <w:tcW w:w="1200" w:type="dxa"/>
            <w:tcBorders>
              <w:tl2br w:val="nil"/>
              <w:tr2bl w:val="nil"/>
            </w:tcBorders>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等保测评</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三级</w:t>
            </w:r>
          </w:p>
        </w:tc>
        <w:tc>
          <w:tcPr>
            <w:tcW w:w="2401" w:type="dxa"/>
            <w:vMerge w:val="continue"/>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22"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4</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欣档档案管理系统</w:t>
            </w:r>
          </w:p>
        </w:tc>
        <w:tc>
          <w:tcPr>
            <w:tcW w:w="1200" w:type="dxa"/>
            <w:tcBorders>
              <w:tl2br w:val="nil"/>
              <w:tr2bl w:val="nil"/>
            </w:tcBorders>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等保测评</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二级</w:t>
            </w:r>
          </w:p>
        </w:tc>
        <w:tc>
          <w:tcPr>
            <w:tcW w:w="2401" w:type="dxa"/>
            <w:vMerge w:val="restart"/>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初评，含定级备案</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71"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5</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亲情电话管理系统</w:t>
            </w:r>
          </w:p>
        </w:tc>
        <w:tc>
          <w:tcPr>
            <w:tcW w:w="1200" w:type="dxa"/>
            <w:tcBorders>
              <w:tl2br w:val="nil"/>
              <w:tr2bl w:val="nil"/>
            </w:tcBorders>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等保测评</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二级</w:t>
            </w:r>
          </w:p>
        </w:tc>
        <w:tc>
          <w:tcPr>
            <w:tcW w:w="2401" w:type="dxa"/>
            <w:vMerge w:val="continue"/>
            <w:tcBorders>
              <w:tl2br w:val="nil"/>
              <w:tr2bl w:val="nil"/>
            </w:tcBorders>
            <w:tcMar>
              <w:top w:w="15" w:type="dxa"/>
              <w:left w:w="15" w:type="dxa"/>
              <w:right w:w="15" w:type="dxa"/>
            </w:tcMa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44"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6</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财务管理系统（用友软件）</w:t>
            </w:r>
          </w:p>
        </w:tc>
        <w:tc>
          <w:tcPr>
            <w:tcW w:w="1200" w:type="dxa"/>
            <w:tcBorders>
              <w:tl2br w:val="nil"/>
              <w:tr2bl w:val="nil"/>
            </w:tcBorders>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restart"/>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专家评审意见</w:t>
            </w: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32"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7</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ITC对讲监听</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65"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8</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生卫系统</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48"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9</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狱务公开查询系统</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536"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10</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罪犯减假暂提请资格筛查系统</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11</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内网终端管理系统</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12</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视频人脸比对</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69"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13</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机房动环系统</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286"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14</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英德容灾备份系统（爱数）</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r>
        <w:tblPrEx>
          <w:tblBorders>
            <w:top w:val="single" w:color="000000" w:sz="18" w:space="0"/>
            <w:left w:val="single" w:color="000000" w:sz="18" w:space="0"/>
            <w:bottom w:val="single" w:color="000000" w:sz="18" w:space="0"/>
            <w:right w:val="single" w:color="000000" w:sz="18" w:space="0"/>
            <w:insideH w:val="single" w:color="000000" w:sz="8" w:space="0"/>
            <w:insideV w:val="single" w:color="000000" w:sz="8" w:space="0"/>
          </w:tblBorders>
          <w:tblLayout w:type="fixed"/>
          <w:tblCellMar>
            <w:top w:w="0" w:type="dxa"/>
            <w:left w:w="0" w:type="dxa"/>
            <w:bottom w:w="0" w:type="dxa"/>
            <w:right w:w="0" w:type="dxa"/>
          </w:tblCellMar>
        </w:tblPrEx>
        <w:trPr>
          <w:trHeight w:val="322" w:hRule="atLeast"/>
          <w:jc w:val="center"/>
        </w:trPr>
        <w:tc>
          <w:tcPr>
            <w:tcW w:w="543"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15</w:t>
            </w:r>
          </w:p>
        </w:tc>
        <w:tc>
          <w:tcPr>
            <w:tcW w:w="2458"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科达监控平台</w:t>
            </w:r>
          </w:p>
        </w:tc>
        <w:tc>
          <w:tcPr>
            <w:tcW w:w="1200" w:type="dxa"/>
            <w:tcBorders>
              <w:tl2br w:val="nil"/>
              <w:tr2bl w:val="nil"/>
            </w:tcBorders>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定级备案</w:t>
            </w:r>
          </w:p>
        </w:tc>
        <w:tc>
          <w:tcPr>
            <w:tcW w:w="850" w:type="dxa"/>
            <w:tcBorders>
              <w:tl2br w:val="nil"/>
              <w:tr2bl w:val="nil"/>
            </w:tcBorders>
            <w:tcMar>
              <w:top w:w="15" w:type="dxa"/>
              <w:left w:w="15" w:type="dxa"/>
              <w:right w:w="15" w:type="dxa"/>
            </w:tcMar>
            <w:vAlign w:val="center"/>
          </w:tcPr>
          <w:p>
            <w:pPr>
              <w:pageBreakBefore w:val="0"/>
              <w:widowControl/>
              <w:kinsoku/>
              <w:wordWrap/>
              <w:overflowPunct/>
              <w:topLinePunct w:val="0"/>
              <w:autoSpaceDE/>
              <w:autoSpaceDN/>
              <w:bidi w:val="0"/>
              <w:spacing w:line="560" w:lineRule="exact"/>
              <w:jc w:val="center"/>
              <w:textAlignment w:val="center"/>
              <w:rPr>
                <w:rFonts w:ascii="宋体" w:hAnsi="宋体" w:eastAsia="宋体" w:cs="Times New Roman"/>
                <w:sz w:val="24"/>
                <w:szCs w:val="24"/>
                <w:lang w:val="hr-HR"/>
              </w:rPr>
            </w:pPr>
            <w:r>
              <w:rPr>
                <w:rFonts w:hint="eastAsia" w:ascii="宋体" w:hAnsi="宋体" w:eastAsia="宋体" w:cs="Times New Roman"/>
                <w:sz w:val="24"/>
                <w:szCs w:val="24"/>
                <w:lang w:val="hr-HR"/>
              </w:rPr>
              <w:t>1</w:t>
            </w:r>
          </w:p>
        </w:tc>
        <w:tc>
          <w:tcPr>
            <w:tcW w:w="892" w:type="dxa"/>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r>
              <w:rPr>
                <w:rFonts w:hint="eastAsia" w:ascii="宋体" w:hAnsi="宋体" w:eastAsia="宋体" w:cs="Times New Roman"/>
                <w:sz w:val="24"/>
                <w:szCs w:val="24"/>
                <w:lang w:val="hr-HR"/>
              </w:rPr>
              <w:t>一级</w:t>
            </w:r>
          </w:p>
        </w:tc>
        <w:tc>
          <w:tcPr>
            <w:tcW w:w="2401" w:type="dxa"/>
            <w:vMerge w:val="continue"/>
            <w:tcBorders>
              <w:tl2br w:val="nil"/>
              <w:tr2bl w:val="nil"/>
            </w:tcBorders>
            <w:tcMar>
              <w:top w:w="15" w:type="dxa"/>
              <w:left w:w="15" w:type="dxa"/>
              <w:right w:w="15" w:type="dxa"/>
            </w:tcMar>
          </w:tcPr>
          <w:p>
            <w:pPr>
              <w:pageBreakBefore w:val="0"/>
              <w:kinsoku/>
              <w:wordWrap/>
              <w:overflowPunct/>
              <w:topLinePunct w:val="0"/>
              <w:autoSpaceDE/>
              <w:autoSpaceDN/>
              <w:bidi w:val="0"/>
              <w:spacing w:line="560" w:lineRule="exact"/>
              <w:jc w:val="center"/>
              <w:rPr>
                <w:rFonts w:ascii="宋体" w:hAnsi="宋体" w:eastAsia="宋体" w:cs="Times New Roman"/>
                <w:sz w:val="24"/>
                <w:szCs w:val="24"/>
                <w:lang w:val="hr-HR"/>
              </w:rPr>
            </w:pPr>
          </w:p>
        </w:tc>
      </w:tr>
    </w:tbl>
    <w:p>
      <w:pPr>
        <w:pStyle w:val="7"/>
        <w:pageBreakBefore w:val="0"/>
        <w:kinsoku/>
        <w:wordWrap/>
        <w:overflowPunct/>
        <w:topLinePunct w:val="0"/>
        <w:autoSpaceDE/>
        <w:autoSpaceDN/>
        <w:bidi w:val="0"/>
        <w:spacing w:before="120" w:line="560" w:lineRule="exact"/>
        <w:ind w:firstLine="0" w:firstLineChars="0"/>
        <w:rPr>
          <w:rFonts w:hint="eastAsia" w:ascii="宋体" w:hAnsi="宋体"/>
          <w:sz w:val="28"/>
          <w:szCs w:val="28"/>
          <w:lang w:val="hr-HR"/>
        </w:rPr>
      </w:pPr>
      <w:r>
        <w:rPr>
          <w:rFonts w:hint="eastAsia" w:ascii="宋体" w:hAnsi="宋体"/>
          <w:sz w:val="28"/>
          <w:szCs w:val="28"/>
          <w:lang w:val="hr-HR"/>
        </w:rPr>
        <w:t>具体要求：</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sz w:val="28"/>
          <w:szCs w:val="28"/>
          <w:lang w:val="hr-HR"/>
        </w:rPr>
        <w:t>（1）测评方对采购人的2个三级等保信息系统进行测试评估、分析差距、出具差距测评报告和安全整改建议；</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sz w:val="28"/>
          <w:szCs w:val="28"/>
          <w:lang w:val="hr-HR"/>
        </w:rPr>
        <w:t>（2）测评方对采购人的2个拟定级二级等保信息系统进行测试评估、分析差距、出具差距测评报告、协助进行系统备案和安全整改建议；</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sz w:val="28"/>
          <w:szCs w:val="28"/>
          <w:lang w:val="hr-HR"/>
        </w:rPr>
        <w:t>（3）测评方对采购人的10个拟定级一级等保信息系统进行专家评估、出具专家意见、协助</w:t>
      </w:r>
      <w:r>
        <w:rPr>
          <w:rFonts w:hint="eastAsia" w:ascii="宋体" w:hAnsi="宋体"/>
          <w:sz w:val="28"/>
          <w:szCs w:val="28"/>
          <w:lang w:val="hr-HR" w:eastAsia="zh-CN"/>
        </w:rPr>
        <w:t>采购人出具专家定级评审意见和</w:t>
      </w:r>
      <w:r>
        <w:rPr>
          <w:rFonts w:hint="eastAsia" w:ascii="宋体" w:hAnsi="宋体"/>
          <w:sz w:val="28"/>
          <w:szCs w:val="28"/>
          <w:lang w:val="hr-HR"/>
        </w:rPr>
        <w:t>安全整改建议；</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sz w:val="28"/>
          <w:szCs w:val="28"/>
          <w:lang w:val="hr-HR"/>
        </w:rPr>
        <w:t>（4）采购人根据差距测评报告与安全整改建议实施安全整改，测评方需协助采购人按照等级保护相关标准完善安全管理制度；</w:t>
      </w:r>
    </w:p>
    <w:p>
      <w:pPr>
        <w:pStyle w:val="7"/>
        <w:keepNext w:val="0"/>
        <w:keepLines w:val="0"/>
        <w:pageBreakBefore w:val="0"/>
        <w:kinsoku/>
        <w:wordWrap/>
        <w:overflowPunct/>
        <w:topLinePunct w:val="0"/>
        <w:autoSpaceDE/>
        <w:autoSpaceDN/>
        <w:bidi w:val="0"/>
        <w:adjustRightInd/>
        <w:snapToGrid/>
        <w:spacing w:before="120" w:line="560" w:lineRule="exact"/>
        <w:ind w:firstLine="560" w:firstLineChars="200"/>
        <w:rPr>
          <w:rFonts w:ascii="宋体" w:hAnsi="宋体"/>
          <w:sz w:val="28"/>
          <w:szCs w:val="28"/>
          <w:lang w:val="hr-HR"/>
        </w:rPr>
      </w:pPr>
      <w:r>
        <w:rPr>
          <w:rFonts w:hint="eastAsia" w:ascii="宋体" w:hAnsi="宋体"/>
          <w:sz w:val="28"/>
          <w:szCs w:val="28"/>
          <w:lang w:val="hr-HR"/>
        </w:rPr>
        <w:t>（5）测评方再次对采购人的以上二级、三级信息系统进行测试评估、出具等级保护2.0测评报告，并协助采购人通过等级保护主管部门的备案与检查。</w:t>
      </w:r>
    </w:p>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rPr>
          <w:rFonts w:ascii="宋体" w:hAnsi="宋体"/>
          <w:b/>
          <w:bCs/>
          <w:sz w:val="28"/>
          <w:szCs w:val="28"/>
          <w:lang w:val="hr-HR"/>
        </w:rPr>
      </w:pPr>
      <w:r>
        <w:rPr>
          <w:rFonts w:hint="eastAsia" w:ascii="宋体" w:hAnsi="宋体"/>
          <w:b/>
          <w:bCs/>
          <w:sz w:val="28"/>
          <w:szCs w:val="28"/>
          <w:lang w:val="en-US" w:eastAsia="zh-CN"/>
        </w:rPr>
        <w:t>5.2</w:t>
      </w:r>
      <w:r>
        <w:rPr>
          <w:rFonts w:hint="eastAsia" w:ascii="宋体" w:hAnsi="宋体"/>
          <w:b/>
          <w:bCs/>
          <w:sz w:val="28"/>
          <w:szCs w:val="28"/>
          <w:lang w:val="hr-HR"/>
        </w:rPr>
        <w:t>网络安全演练需求</w:t>
      </w:r>
    </w:p>
    <w:p>
      <w:pPr>
        <w:pStyle w:val="7"/>
        <w:keepNext w:val="0"/>
        <w:keepLines w:val="0"/>
        <w:pageBreakBefore w:val="0"/>
        <w:kinsoku/>
        <w:wordWrap/>
        <w:overflowPunct/>
        <w:topLinePunct w:val="0"/>
        <w:autoSpaceDE/>
        <w:autoSpaceDN/>
        <w:bidi w:val="0"/>
        <w:adjustRightInd/>
        <w:snapToGrid/>
        <w:spacing w:before="120" w:line="560" w:lineRule="exact"/>
        <w:ind w:firstLine="480"/>
        <w:rPr>
          <w:rFonts w:ascii="宋体" w:hAnsi="宋体"/>
          <w:sz w:val="28"/>
          <w:szCs w:val="28"/>
          <w:lang w:val="hr-HR"/>
        </w:rPr>
      </w:pPr>
      <w:r>
        <w:rPr>
          <w:rFonts w:hint="eastAsia" w:ascii="宋体" w:hAnsi="宋体"/>
          <w:sz w:val="28"/>
          <w:szCs w:val="28"/>
          <w:lang w:val="hr-HR"/>
        </w:rPr>
        <w:t>全年开展两次网络安全演练（第三季度、第四季度），具体需求如下：</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left"/>
        <w:textAlignment w:val="center"/>
        <w:rPr>
          <w:rFonts w:ascii="宋体" w:hAnsi="宋体" w:eastAsia="宋体" w:cs="Times New Roman"/>
          <w:sz w:val="28"/>
          <w:szCs w:val="28"/>
          <w:lang w:val="hr-HR"/>
        </w:rPr>
      </w:pPr>
      <w:r>
        <w:rPr>
          <w:rFonts w:hint="eastAsia" w:ascii="宋体" w:hAnsi="宋体" w:eastAsia="宋体" w:cs="Times New Roman"/>
          <w:kern w:val="2"/>
          <w:sz w:val="28"/>
          <w:szCs w:val="28"/>
          <w:lang w:val="en-US" w:eastAsia="zh-CN" w:bidi="ar-SA"/>
          <w14:ligatures w14:val="none"/>
        </w:rPr>
        <w:t>5.2.1</w:t>
      </w:r>
      <w:r>
        <w:rPr>
          <w:rFonts w:hint="eastAsia" w:ascii="宋体" w:hAnsi="宋体" w:eastAsia="宋体" w:cs="Times New Roman"/>
          <w:kern w:val="2"/>
          <w:sz w:val="28"/>
          <w:szCs w:val="28"/>
          <w:lang w:val="hr-HR" w:eastAsia="zh-CN" w:bidi="ar-SA"/>
          <w14:ligatures w14:val="none"/>
        </w:rPr>
        <w:t>以桌面模拟形式进行网络安全演练，模拟安全事件的发生及处置过程，完成判断、决策、处置等应急响应的流程，检验和提高相关人员的临场组织指挥、应急处置和后勤保障能力。场景：数据泄露、勒索病毒、木马邮件、网页篡改等；</w:t>
      </w:r>
    </w:p>
    <w:p>
      <w:pPr>
        <w:pStyle w:val="7"/>
        <w:keepNext w:val="0"/>
        <w:keepLines w:val="0"/>
        <w:pageBreakBefore w:val="0"/>
        <w:kinsoku/>
        <w:wordWrap/>
        <w:overflowPunct/>
        <w:topLinePunct w:val="0"/>
        <w:autoSpaceDE/>
        <w:autoSpaceDN/>
        <w:bidi w:val="0"/>
        <w:adjustRightInd/>
        <w:snapToGrid/>
        <w:spacing w:before="120" w:line="560" w:lineRule="exact"/>
        <w:ind w:firstLine="560" w:firstLineChars="200"/>
        <w:rPr>
          <w:rFonts w:hint="eastAsia" w:ascii="宋体" w:hAnsi="宋体" w:eastAsia="宋体"/>
          <w:sz w:val="28"/>
          <w:szCs w:val="28"/>
          <w:lang w:val="hr-HR" w:eastAsia="zh-CN"/>
        </w:rPr>
      </w:pPr>
      <w:r>
        <w:rPr>
          <w:rFonts w:hint="eastAsia" w:ascii="宋体" w:hAnsi="宋体"/>
          <w:sz w:val="28"/>
          <w:szCs w:val="28"/>
          <w:lang w:val="en-US" w:eastAsia="zh-CN"/>
        </w:rPr>
        <w:t>5.2.2</w:t>
      </w:r>
      <w:r>
        <w:rPr>
          <w:rFonts w:hint="eastAsia" w:ascii="宋体" w:hAnsi="宋体"/>
          <w:sz w:val="28"/>
          <w:szCs w:val="28"/>
          <w:lang w:val="hr-HR"/>
        </w:rPr>
        <w:t>线下演练</w:t>
      </w:r>
      <w:r>
        <w:rPr>
          <w:rFonts w:hint="eastAsia" w:ascii="宋体" w:hAnsi="宋体"/>
          <w:sz w:val="28"/>
          <w:szCs w:val="28"/>
          <w:lang w:val="hr-HR" w:eastAsia="zh-CN"/>
        </w:rPr>
        <w:t>时间为2024年第三季度、第四季度各实施一次安全演练，</w:t>
      </w:r>
      <w:r>
        <w:rPr>
          <w:rFonts w:hint="eastAsia" w:ascii="宋体" w:hAnsi="宋体"/>
          <w:sz w:val="28"/>
          <w:szCs w:val="28"/>
          <w:lang w:val="hr-HR"/>
        </w:rPr>
        <w:t>每次选取不同场景作演练，每次演练2名或以上专家。</w:t>
      </w:r>
      <w:r>
        <w:rPr>
          <w:rFonts w:hint="eastAsia" w:ascii="宋体" w:hAnsi="宋体"/>
          <w:sz w:val="28"/>
          <w:szCs w:val="28"/>
          <w:lang w:val="hr-HR" w:eastAsia="zh-CN"/>
        </w:rPr>
        <w:t>具体时间由采购方决定，演练实施完毕并完成交付符合采购方需求规定的第二次项目成果即视为完成此服务。</w:t>
      </w:r>
    </w:p>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rPr>
          <w:rFonts w:ascii="宋体" w:hAnsi="宋体"/>
          <w:b/>
          <w:bCs/>
          <w:sz w:val="28"/>
          <w:szCs w:val="28"/>
          <w:lang w:val="hr-HR"/>
        </w:rPr>
      </w:pPr>
      <w:r>
        <w:rPr>
          <w:rFonts w:hint="eastAsia" w:ascii="宋体" w:hAnsi="宋体"/>
          <w:b/>
          <w:bCs/>
          <w:sz w:val="28"/>
          <w:szCs w:val="28"/>
          <w:lang w:val="en-US" w:eastAsia="zh-CN"/>
        </w:rPr>
        <w:t>5.3</w:t>
      </w:r>
      <w:r>
        <w:rPr>
          <w:rFonts w:hint="eastAsia" w:ascii="宋体" w:hAnsi="宋体"/>
          <w:b/>
          <w:bCs/>
          <w:sz w:val="28"/>
          <w:szCs w:val="28"/>
          <w:lang w:val="hr-HR"/>
        </w:rPr>
        <w:t>网络安全培训需求</w:t>
      </w:r>
    </w:p>
    <w:p>
      <w:pPr>
        <w:pStyle w:val="7"/>
        <w:keepNext w:val="0"/>
        <w:keepLines w:val="0"/>
        <w:pageBreakBefore w:val="0"/>
        <w:kinsoku/>
        <w:wordWrap/>
        <w:overflowPunct/>
        <w:topLinePunct w:val="0"/>
        <w:autoSpaceDE/>
        <w:autoSpaceDN/>
        <w:bidi w:val="0"/>
        <w:adjustRightInd/>
        <w:snapToGrid/>
        <w:spacing w:before="120" w:line="560" w:lineRule="exact"/>
        <w:ind w:firstLine="480"/>
        <w:rPr>
          <w:rFonts w:ascii="宋体" w:hAnsi="宋体"/>
          <w:sz w:val="28"/>
          <w:szCs w:val="28"/>
          <w:lang w:val="hr-HR"/>
        </w:rPr>
      </w:pPr>
      <w:r>
        <w:rPr>
          <w:rFonts w:hint="eastAsia" w:ascii="宋体" w:hAnsi="宋体"/>
          <w:sz w:val="28"/>
          <w:szCs w:val="28"/>
          <w:lang w:val="hr-HR"/>
        </w:rPr>
        <w:t>根据省局及清远地区年度网络安全检查要求，同时，确实提高监狱警察职工网络安全意识，聘请网络安全专家对全监警察职工开展1天网络安全培训（第三季度前完成），具体需求如下：</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b w:val="0"/>
          <w:bCs w:val="0"/>
          <w:sz w:val="28"/>
          <w:szCs w:val="28"/>
          <w:lang w:val="en-US" w:eastAsia="zh-CN"/>
        </w:rPr>
        <w:t>5.3.1</w:t>
      </w:r>
      <w:r>
        <w:rPr>
          <w:rFonts w:hint="eastAsia" w:ascii="宋体" w:hAnsi="宋体"/>
          <w:sz w:val="28"/>
          <w:szCs w:val="28"/>
          <w:lang w:val="hr-HR"/>
        </w:rPr>
        <w:t>开展网络安全专题研讨和技术人员专题网络培训，全面提高警察职工的安全意识和技术人员的防护水平，了解前沿网络安全知识，掌握网络安全基础知识及提高应急处理能力；</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b w:val="0"/>
          <w:bCs w:val="0"/>
          <w:sz w:val="28"/>
          <w:szCs w:val="28"/>
          <w:lang w:val="en-US" w:eastAsia="zh-CN"/>
        </w:rPr>
        <w:t>5.3.2</w:t>
      </w:r>
      <w:r>
        <w:rPr>
          <w:rFonts w:hint="eastAsia" w:ascii="宋体" w:hAnsi="宋体"/>
          <w:sz w:val="28"/>
          <w:szCs w:val="28"/>
          <w:lang w:val="hr-HR"/>
        </w:rPr>
        <w:t>举办网络安全专题讲座培训，由专家进行授课，课时1天（至少两场次）。</w:t>
      </w:r>
    </w:p>
    <w:p>
      <w:pPr>
        <w:pStyle w:val="3"/>
        <w:pageBreakBefore w:val="0"/>
        <w:numPr>
          <w:ilvl w:val="0"/>
          <w:numId w:val="0"/>
        </w:numPr>
        <w:tabs>
          <w:tab w:val="left" w:pos="576"/>
        </w:tabs>
        <w:kinsoku/>
        <w:wordWrap/>
        <w:overflowPunct/>
        <w:topLinePunct w:val="0"/>
        <w:autoSpaceDE/>
        <w:autoSpaceDN/>
        <w:bidi w:val="0"/>
        <w:spacing w:line="560" w:lineRule="exact"/>
        <w:ind w:leftChars="0"/>
        <w:rPr>
          <w:rFonts w:ascii="宋体" w:hAnsi="宋体"/>
          <w:b/>
          <w:bCs/>
          <w:sz w:val="28"/>
          <w:szCs w:val="28"/>
          <w:lang w:val="hr-HR"/>
        </w:rPr>
      </w:pPr>
      <w:r>
        <w:rPr>
          <w:rFonts w:hint="eastAsia" w:ascii="宋体" w:hAnsi="宋体"/>
          <w:b/>
          <w:bCs/>
          <w:sz w:val="28"/>
          <w:szCs w:val="28"/>
          <w:lang w:val="en-US" w:eastAsia="zh-CN"/>
        </w:rPr>
        <w:t>5.4</w:t>
      </w:r>
      <w:r>
        <w:rPr>
          <w:rFonts w:hint="eastAsia" w:ascii="宋体" w:hAnsi="宋体"/>
          <w:b/>
          <w:bCs/>
          <w:sz w:val="28"/>
          <w:szCs w:val="28"/>
          <w:lang w:val="hr-HR"/>
        </w:rPr>
        <w:t>巡检需求</w:t>
      </w:r>
    </w:p>
    <w:p>
      <w:pPr>
        <w:pStyle w:val="7"/>
        <w:pageBreakBefore w:val="0"/>
        <w:kinsoku/>
        <w:wordWrap/>
        <w:overflowPunct/>
        <w:topLinePunct w:val="0"/>
        <w:autoSpaceDE/>
        <w:autoSpaceDN/>
        <w:bidi w:val="0"/>
        <w:spacing w:before="120" w:line="560" w:lineRule="exact"/>
        <w:ind w:firstLine="480"/>
        <w:rPr>
          <w:rFonts w:ascii="宋体" w:hAnsi="宋体"/>
          <w:sz w:val="28"/>
          <w:szCs w:val="28"/>
          <w:lang w:val="hr-HR"/>
        </w:rPr>
      </w:pPr>
      <w:r>
        <w:rPr>
          <w:rFonts w:hint="eastAsia" w:ascii="宋体" w:hAnsi="宋体"/>
          <w:sz w:val="28"/>
          <w:szCs w:val="28"/>
          <w:lang w:val="hr-HR"/>
        </w:rPr>
        <w:t>安排技术人员对监狱中心机房进行全面巡检（每季度至少1次，一年至少4次），包括运行环境、网络环境、硬件配置的检查，以及对操作系统日志的检查与分析，根据系统的报错信息，发现系统潜在问题，对排查出的故障隐患和安全漏洞，提供解决措施及方案。对以上的巡查过程，形成巡查的记录。</w:t>
      </w:r>
    </w:p>
    <w:p>
      <w:pPr>
        <w:pStyle w:val="7"/>
        <w:pageBreakBefore w:val="0"/>
        <w:numPr>
          <w:ilvl w:val="0"/>
          <w:numId w:val="0"/>
        </w:numPr>
        <w:kinsoku/>
        <w:wordWrap/>
        <w:overflowPunct/>
        <w:topLinePunct w:val="0"/>
        <w:autoSpaceDE/>
        <w:autoSpaceDN/>
        <w:bidi w:val="0"/>
        <w:spacing w:before="120" w:line="560" w:lineRule="exact"/>
        <w:ind w:leftChars="0"/>
        <w:rPr>
          <w:rFonts w:ascii="宋体" w:hAnsi="宋体"/>
          <w:b/>
          <w:bCs/>
          <w:sz w:val="28"/>
          <w:szCs w:val="28"/>
          <w:lang w:val="hr-HR"/>
        </w:rPr>
      </w:pPr>
      <w:r>
        <w:rPr>
          <w:rFonts w:hint="eastAsia" w:ascii="宋体" w:hAnsi="宋体"/>
          <w:b/>
          <w:bCs/>
          <w:sz w:val="28"/>
          <w:szCs w:val="28"/>
          <w:lang w:val="en-US" w:eastAsia="zh-CN"/>
        </w:rPr>
        <w:t>5.5</w:t>
      </w:r>
      <w:r>
        <w:rPr>
          <w:rFonts w:hint="eastAsia" w:ascii="宋体" w:hAnsi="宋体"/>
          <w:b/>
          <w:bCs/>
          <w:sz w:val="28"/>
          <w:szCs w:val="28"/>
          <w:lang w:val="hr-HR"/>
        </w:rPr>
        <w:t>应急处置需求</w:t>
      </w:r>
    </w:p>
    <w:p>
      <w:pPr>
        <w:pStyle w:val="7"/>
        <w:pageBreakBefore w:val="0"/>
        <w:kinsoku/>
        <w:wordWrap/>
        <w:overflowPunct/>
        <w:topLinePunct w:val="0"/>
        <w:autoSpaceDE/>
        <w:autoSpaceDN/>
        <w:bidi w:val="0"/>
        <w:spacing w:before="120" w:line="560" w:lineRule="exact"/>
        <w:ind w:left="360" w:firstLine="280" w:firstLineChars="100"/>
        <w:rPr>
          <w:rFonts w:hint="eastAsia" w:ascii="宋体" w:hAnsi="宋体"/>
          <w:sz w:val="28"/>
          <w:szCs w:val="28"/>
          <w:lang w:val="hr-HR"/>
        </w:rPr>
      </w:pPr>
      <w:r>
        <w:rPr>
          <w:rFonts w:hint="eastAsia" w:ascii="宋体" w:hAnsi="宋体"/>
          <w:sz w:val="28"/>
          <w:szCs w:val="28"/>
          <w:lang w:val="hr-HR"/>
        </w:rPr>
        <w:t>监狱发生突发网络安全事件时，现场协助处理监狱突发网络安</w:t>
      </w:r>
    </w:p>
    <w:p>
      <w:pPr>
        <w:pStyle w:val="7"/>
        <w:pageBreakBefore w:val="0"/>
        <w:kinsoku/>
        <w:wordWrap/>
        <w:overflowPunct/>
        <w:topLinePunct w:val="0"/>
        <w:autoSpaceDE/>
        <w:autoSpaceDN/>
        <w:bidi w:val="0"/>
        <w:spacing w:before="120" w:line="560" w:lineRule="exact"/>
        <w:ind w:left="0" w:leftChars="0" w:firstLine="0" w:firstLineChars="0"/>
        <w:rPr>
          <w:rFonts w:ascii="宋体" w:hAnsi="宋体"/>
          <w:sz w:val="28"/>
          <w:szCs w:val="28"/>
          <w:lang w:val="hr-HR"/>
        </w:rPr>
      </w:pPr>
      <w:r>
        <w:rPr>
          <w:rFonts w:hint="eastAsia" w:ascii="宋体" w:hAnsi="宋体"/>
          <w:sz w:val="28"/>
          <w:szCs w:val="28"/>
          <w:lang w:val="hr-HR"/>
        </w:rPr>
        <w:t>全事件，确保监狱网络安全。具体需求如下：</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b w:val="0"/>
          <w:bCs w:val="0"/>
          <w:sz w:val="28"/>
          <w:szCs w:val="28"/>
          <w:lang w:val="en-US" w:eastAsia="zh-CN"/>
        </w:rPr>
        <w:t>5.5.1</w:t>
      </w:r>
      <w:r>
        <w:rPr>
          <w:rFonts w:hint="eastAsia" w:ascii="宋体" w:hAnsi="宋体"/>
          <w:sz w:val="28"/>
          <w:szCs w:val="28"/>
          <w:lang w:val="hr-HR"/>
        </w:rPr>
        <w:t>在接到监狱发生二级网络安全事件（网络中断或间断时间在2-3小时，或者系统数据部分损坏、丢失，可以通过备份进行恢复。例如：某服务器被入侵后，数据被删除，被删除数据有备份）寻求技术支撑时，2名或以上的专家8小时内到达现场，并提供可行性解决问题方法或技术；</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b w:val="0"/>
          <w:bCs w:val="0"/>
          <w:sz w:val="28"/>
          <w:szCs w:val="28"/>
          <w:lang w:val="en-US" w:eastAsia="zh-CN"/>
        </w:rPr>
        <w:t>5.5.2</w:t>
      </w:r>
      <w:r>
        <w:rPr>
          <w:rFonts w:hint="eastAsia" w:ascii="宋体" w:hAnsi="宋体"/>
          <w:sz w:val="28"/>
          <w:szCs w:val="28"/>
          <w:lang w:val="hr-HR"/>
        </w:rPr>
        <w:t>在接到监狱发生一级网络安全事件（网络中断或间断时间在4小时以上，或者系统数据损坏、丢失，并且无法 恢复，或者重要数据泄露，或者系统、网络被破坏，在60分钟内无法恢复）寻求技术支撑时，2名或以上</w:t>
      </w:r>
      <w:r>
        <w:rPr>
          <w:rFonts w:hint="eastAsia" w:ascii="宋体" w:hAnsi="宋体"/>
          <w:sz w:val="28"/>
          <w:szCs w:val="28"/>
          <w:lang w:val="hr-HR" w:eastAsia="zh-CN"/>
        </w:rPr>
        <w:t>的</w:t>
      </w:r>
      <w:r>
        <w:rPr>
          <w:rFonts w:hint="eastAsia" w:ascii="宋体" w:hAnsi="宋体"/>
          <w:sz w:val="28"/>
          <w:szCs w:val="28"/>
          <w:lang w:val="hr-HR"/>
        </w:rPr>
        <w:t>专家4小时内到达现场，并提供可行性解决问题方法或技术；</w:t>
      </w:r>
    </w:p>
    <w:p>
      <w:pPr>
        <w:pStyle w:val="7"/>
        <w:pageBreakBefore w:val="0"/>
        <w:kinsoku/>
        <w:wordWrap/>
        <w:overflowPunct/>
        <w:topLinePunct w:val="0"/>
        <w:autoSpaceDE/>
        <w:autoSpaceDN/>
        <w:bidi w:val="0"/>
        <w:spacing w:before="120" w:line="560" w:lineRule="exact"/>
        <w:ind w:firstLine="560" w:firstLineChars="200"/>
        <w:rPr>
          <w:rFonts w:ascii="宋体" w:hAnsi="宋体"/>
          <w:sz w:val="28"/>
          <w:szCs w:val="28"/>
          <w:lang w:val="hr-HR"/>
        </w:rPr>
      </w:pPr>
      <w:r>
        <w:rPr>
          <w:rFonts w:hint="eastAsia" w:ascii="宋体" w:hAnsi="宋体"/>
          <w:sz w:val="28"/>
          <w:szCs w:val="28"/>
          <w:lang w:val="en-US" w:eastAsia="zh-CN"/>
        </w:rPr>
        <w:t>5.5.3</w:t>
      </w:r>
      <w:r>
        <w:rPr>
          <w:rFonts w:hint="eastAsia" w:ascii="宋体" w:hAnsi="宋体"/>
          <w:sz w:val="28"/>
          <w:szCs w:val="28"/>
          <w:lang w:val="hr-HR"/>
        </w:rPr>
        <w:t>在网络安全事件处理完毕后形成总结评估报告，包括安全事件发生的原因、事件规模、应急处理手段、处理的效果、事件的调查结果以及对后续风险进行评估并提出改进意见。</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6.</w:t>
      </w:r>
      <w:r>
        <w:rPr>
          <w:rFonts w:hint="eastAsia" w:ascii="宋体" w:hAnsi="宋体" w:cstheme="minorBidi"/>
          <w:kern w:val="44"/>
          <w:sz w:val="28"/>
          <w:szCs w:val="28"/>
        </w:rPr>
        <w:t>服</w:t>
      </w:r>
      <w:r>
        <w:rPr>
          <w:rFonts w:ascii="宋体" w:hAnsi="宋体" w:cstheme="minorBidi"/>
          <w:kern w:val="44"/>
          <w:sz w:val="28"/>
          <w:szCs w:val="28"/>
        </w:rPr>
        <w:t>务实施</w:t>
      </w:r>
    </w:p>
    <w:p>
      <w:pPr>
        <w:pStyle w:val="3"/>
        <w:keepNext/>
        <w:keepLines/>
        <w:pageBreakBefore w:val="0"/>
        <w:kinsoku/>
        <w:wordWrap/>
        <w:overflowPunct/>
        <w:topLinePunct w:val="0"/>
        <w:autoSpaceDE/>
        <w:autoSpaceDN/>
        <w:bidi w:val="0"/>
        <w:spacing w:line="560" w:lineRule="exact"/>
        <w:ind w:left="576" w:hanging="576" w:firstLineChars="0"/>
        <w:rPr>
          <w:rFonts w:ascii="宋体" w:hAnsi="宋体" w:cstheme="majorBidi"/>
          <w:sz w:val="28"/>
          <w:szCs w:val="28"/>
        </w:rPr>
      </w:pPr>
      <w:r>
        <w:rPr>
          <w:rFonts w:hint="eastAsia" w:ascii="宋体" w:hAnsi="宋体" w:cstheme="majorBidi"/>
          <w:sz w:val="28"/>
          <w:szCs w:val="28"/>
          <w:lang w:val="en-US" w:eastAsia="zh-CN"/>
        </w:rPr>
        <w:t>6.1信息系统信息安全等级保护测评</w:t>
      </w:r>
      <w:r>
        <w:rPr>
          <w:rFonts w:ascii="宋体" w:hAnsi="宋体" w:cstheme="majorBidi"/>
          <w:sz w:val="28"/>
          <w:szCs w:val="28"/>
        </w:rPr>
        <w:t>服务目标</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通过</w:t>
      </w:r>
      <w:r>
        <w:rPr>
          <w:rFonts w:hint="eastAsia" w:ascii="宋体" w:hAnsi="宋体" w:eastAsia="宋体" w:cs="Times New Roman"/>
          <w:sz w:val="28"/>
          <w:szCs w:val="28"/>
        </w:rPr>
        <w:t>网络</w:t>
      </w:r>
      <w:r>
        <w:rPr>
          <w:rFonts w:ascii="宋体" w:hAnsi="宋体" w:eastAsia="宋体" w:cs="Times New Roman"/>
          <w:sz w:val="28"/>
          <w:szCs w:val="28"/>
        </w:rPr>
        <w:t>安全等级保护测评服务，对本单位运行的信息系统开展符合性测评，衡量信息系统的安全保护管理措施和技术防护措施是否符合等级保护基本要求，是否具备了相应的安全等级保护能力。找出问题，针对性的制定整改措施，推进信息安全防护体系不断完善。</w:t>
      </w:r>
    </w:p>
    <w:p>
      <w:pPr>
        <w:pageBreakBefore w:val="0"/>
        <w:kinsoku/>
        <w:wordWrap/>
        <w:overflowPunct/>
        <w:topLinePunct w:val="0"/>
        <w:autoSpaceDE/>
        <w:autoSpaceDN/>
        <w:bidi w:val="0"/>
        <w:spacing w:line="560" w:lineRule="exact"/>
        <w:ind w:firstLine="562" w:firstLineChars="200"/>
        <w:rPr>
          <w:rFonts w:hint="default" w:ascii="宋体" w:hAnsi="宋体" w:eastAsia="宋体" w:cs="Times New Roman"/>
          <w:b/>
          <w:bCs/>
          <w:sz w:val="28"/>
          <w:szCs w:val="28"/>
          <w:lang w:val="en-US" w:eastAsia="zh-CN"/>
        </w:rPr>
      </w:pPr>
      <w:r>
        <w:rPr>
          <w:rFonts w:hint="eastAsia" w:ascii="宋体" w:hAnsi="宋体" w:eastAsia="宋体" w:cs="Times New Roman"/>
          <w:b/>
          <w:bCs/>
          <w:sz w:val="28"/>
          <w:szCs w:val="28"/>
          <w:lang w:val="en-US" w:eastAsia="zh-CN"/>
        </w:rPr>
        <w:t>6.1.1信息系统信息安全等级保护测评内容</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依据《信息安全技术</w:t>
      </w:r>
      <w:r>
        <w:rPr>
          <w:rFonts w:hint="eastAsia" w:ascii="宋体" w:hAnsi="宋体" w:eastAsia="宋体" w:cs="Times New Roman"/>
          <w:sz w:val="28"/>
          <w:szCs w:val="28"/>
          <w:lang w:val="en-US" w:eastAsia="zh-CN"/>
        </w:rPr>
        <w:t xml:space="preserve"> </w:t>
      </w:r>
      <w:r>
        <w:rPr>
          <w:rFonts w:ascii="宋体" w:hAnsi="宋体" w:eastAsia="宋体" w:cs="Times New Roman"/>
          <w:sz w:val="28"/>
          <w:szCs w:val="28"/>
        </w:rPr>
        <w:t>网络安全等级保护基本要求》，对采购人各信息系统的安全技术体系和安全管理体系等进行合规性检查，出具《信息系统安全问题清单》</w:t>
      </w:r>
      <w:r>
        <w:rPr>
          <w:rFonts w:hint="eastAsia" w:ascii="宋体" w:hAnsi="宋体" w:eastAsia="宋体" w:cs="Times New Roman"/>
          <w:sz w:val="28"/>
          <w:szCs w:val="28"/>
        </w:rPr>
        <w:t>。</w:t>
      </w:r>
      <w:r>
        <w:rPr>
          <w:rFonts w:ascii="宋体" w:hAnsi="宋体" w:eastAsia="宋体" w:cs="Times New Roman"/>
          <w:sz w:val="28"/>
          <w:szCs w:val="28"/>
        </w:rPr>
        <w:t>在安全整改工作完成后，投标人组织现场验收测评，</w:t>
      </w:r>
      <w:r>
        <w:rPr>
          <w:rFonts w:hint="eastAsia" w:ascii="宋体" w:hAnsi="宋体" w:eastAsia="宋体" w:cs="Times New Roman"/>
          <w:sz w:val="28"/>
          <w:szCs w:val="28"/>
        </w:rPr>
        <w:t>符合验收条件后，</w:t>
      </w:r>
      <w:r>
        <w:rPr>
          <w:rFonts w:ascii="宋体" w:hAnsi="宋体" w:eastAsia="宋体" w:cs="Times New Roman"/>
          <w:sz w:val="28"/>
          <w:szCs w:val="28"/>
        </w:rPr>
        <w:t>出具符合公安部门要求的《网络安全等级保护等级测评报告》</w:t>
      </w:r>
      <w:r>
        <w:rPr>
          <w:rFonts w:hint="eastAsia" w:ascii="宋体" w:hAnsi="宋体" w:eastAsia="宋体" w:cs="Times New Roman"/>
          <w:sz w:val="28"/>
          <w:szCs w:val="28"/>
        </w:rPr>
        <w:t>。等保测评内容分成单项测评和整体测评</w:t>
      </w:r>
      <w:r>
        <w:rPr>
          <w:rFonts w:ascii="宋体" w:hAnsi="宋体" w:eastAsia="宋体" w:cs="Times New Roman"/>
          <w:sz w:val="28"/>
          <w:szCs w:val="28"/>
        </w:rPr>
        <w:t>：</w:t>
      </w:r>
    </w:p>
    <w:p>
      <w:pPr>
        <w:pageBreakBefore w:val="0"/>
        <w:kinsoku/>
        <w:wordWrap/>
        <w:overflowPunct/>
        <w:topLinePunct w:val="0"/>
        <w:autoSpaceDE/>
        <w:autoSpaceDN/>
        <w:bidi w:val="0"/>
        <w:spacing w:line="560" w:lineRule="exact"/>
        <w:ind w:firstLine="420"/>
        <w:rPr>
          <w:rFonts w:ascii="宋体" w:hAnsi="宋体" w:eastAsia="宋体" w:cs="Times New Roman"/>
          <w:b w:val="0"/>
          <w:bCs/>
          <w:sz w:val="28"/>
          <w:szCs w:val="28"/>
        </w:rPr>
      </w:pPr>
      <w:r>
        <w:rPr>
          <w:rFonts w:hint="eastAsia" w:ascii="宋体" w:hAnsi="宋体" w:eastAsia="宋体" w:cs="Times New Roman"/>
          <w:b w:val="0"/>
          <w:bCs/>
          <w:sz w:val="28"/>
          <w:szCs w:val="28"/>
        </w:rPr>
        <w:t>（1）单项测评：</w:t>
      </w:r>
    </w:p>
    <w:tbl>
      <w:tblPr>
        <w:tblStyle w:val="1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blHeader/>
          <w:jc w:val="center"/>
        </w:trPr>
        <w:tc>
          <w:tcPr>
            <w:tcW w:w="2325" w:type="dxa"/>
            <w:shd w:val="clear" w:color="auto" w:fill="BEBEBE" w:themeFill="background1" w:themeFillShade="BF"/>
            <w:vAlign w:val="center"/>
          </w:tcPr>
          <w:p>
            <w:pPr>
              <w:pageBreakBefore w:val="0"/>
              <w:kinsoku/>
              <w:wordWrap/>
              <w:overflowPunct/>
              <w:topLinePunct w:val="0"/>
              <w:autoSpaceDE/>
              <w:autoSpaceDN/>
              <w:bidi w:val="0"/>
              <w:spacing w:line="560" w:lineRule="exact"/>
              <w:jc w:val="center"/>
              <w:rPr>
                <w:rFonts w:ascii="宋体" w:hAnsi="宋体" w:eastAsia="宋体" w:cs="Times New Roman"/>
                <w:b/>
                <w:kern w:val="0"/>
                <w:sz w:val="24"/>
                <w:szCs w:val="24"/>
                <w:lang w:eastAsia="en-US"/>
              </w:rPr>
            </w:pPr>
            <w:r>
              <w:rPr>
                <w:rFonts w:hint="eastAsia" w:ascii="宋体" w:hAnsi="宋体" w:eastAsia="宋体" w:cs="Times New Roman"/>
                <w:b/>
                <w:kern w:val="0"/>
                <w:sz w:val="24"/>
                <w:szCs w:val="24"/>
                <w:lang w:eastAsia="en-US"/>
              </w:rPr>
              <w:t>安全层面</w:t>
            </w:r>
          </w:p>
        </w:tc>
        <w:tc>
          <w:tcPr>
            <w:tcW w:w="6197" w:type="dxa"/>
            <w:shd w:val="clear" w:color="auto" w:fill="BEBEBE" w:themeFill="background1" w:themeFillShade="BF"/>
            <w:vAlign w:val="center"/>
          </w:tcPr>
          <w:p>
            <w:pPr>
              <w:pageBreakBefore w:val="0"/>
              <w:kinsoku/>
              <w:wordWrap/>
              <w:overflowPunct/>
              <w:topLinePunct w:val="0"/>
              <w:autoSpaceDE/>
              <w:autoSpaceDN/>
              <w:bidi w:val="0"/>
              <w:spacing w:line="560" w:lineRule="exact"/>
              <w:jc w:val="center"/>
              <w:rPr>
                <w:rFonts w:ascii="宋体" w:hAnsi="宋体" w:eastAsia="宋体" w:cs="Times New Roman"/>
                <w:b/>
                <w:kern w:val="0"/>
                <w:sz w:val="24"/>
                <w:szCs w:val="24"/>
                <w:lang w:eastAsia="en-US"/>
              </w:rPr>
            </w:pPr>
            <w:r>
              <w:rPr>
                <w:rFonts w:hint="eastAsia" w:ascii="宋体" w:hAnsi="宋体" w:eastAsia="宋体" w:cs="Times New Roman"/>
                <w:b/>
                <w:kern w:val="0"/>
                <w:sz w:val="24"/>
                <w:szCs w:val="24"/>
                <w:lang w:eastAsia="en-US"/>
              </w:rPr>
              <w:t>测评内容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安全物理环境</w:t>
            </w:r>
            <w:r>
              <w:rPr>
                <w:rFonts w:hint="eastAsia" w:ascii="宋体" w:hAnsi="宋体" w:eastAsia="宋体" w:cs="Times New Roman"/>
                <w:kern w:val="0"/>
                <w:sz w:val="24"/>
                <w:szCs w:val="24"/>
                <w:lang w:eastAsia="en-US"/>
              </w:rPr>
              <w:t>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仿宋"/>
                <w:kern w:val="0"/>
                <w:sz w:val="24"/>
                <w:szCs w:val="24"/>
                <w:lang w:eastAsia="zh-CN"/>
              </w:rPr>
            </w:pPr>
            <w:r>
              <w:rPr>
                <w:rFonts w:hint="eastAsia" w:ascii="宋体" w:hAnsi="宋体" w:eastAsia="宋体" w:cs="宋体"/>
                <w:kern w:val="0"/>
                <w:sz w:val="24"/>
                <w:szCs w:val="24"/>
                <w:lang w:eastAsia="zh-CN"/>
              </w:rPr>
              <w:t>物理位置选择、物理访问控制、防盗窃和防破坏、防雷击、防火、防水和防潮、防静电、温湿度控制、电力供应、电磁防护等方面的核查、测试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安全通信网络测评</w:t>
            </w:r>
          </w:p>
        </w:tc>
        <w:tc>
          <w:tcPr>
            <w:tcW w:w="6197" w:type="dxa"/>
            <w:vAlign w:val="center"/>
          </w:tcPr>
          <w:p>
            <w:pPr>
              <w:pageBreakBefore w:val="0"/>
              <w:kinsoku/>
              <w:wordWrap/>
              <w:overflowPunct/>
              <w:topLinePunct w:val="0"/>
              <w:autoSpaceDE/>
              <w:autoSpaceDN/>
              <w:bidi w:val="0"/>
              <w:spacing w:line="560" w:lineRule="exact"/>
              <w:jc w:val="left"/>
              <w:rPr>
                <w:rFonts w:ascii="宋体" w:hAnsi="宋体" w:eastAsia="宋体" w:cs="仿宋"/>
                <w:kern w:val="0"/>
                <w:sz w:val="24"/>
                <w:szCs w:val="24"/>
                <w:lang w:eastAsia="zh-CN"/>
              </w:rPr>
            </w:pPr>
            <w:r>
              <w:rPr>
                <w:rFonts w:hint="eastAsia" w:ascii="宋体" w:hAnsi="宋体" w:eastAsia="宋体" w:cs="宋体"/>
                <w:kern w:val="0"/>
                <w:sz w:val="24"/>
                <w:szCs w:val="24"/>
                <w:lang w:eastAsia="zh-CN"/>
              </w:rPr>
              <w:t>网络架构、通信传输、可信验证等方面的核查、测试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安全区域边界测评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kern w:val="0"/>
                <w:sz w:val="24"/>
                <w:szCs w:val="24"/>
                <w:lang w:eastAsia="zh-CN"/>
              </w:rPr>
            </w:pPr>
            <w:r>
              <w:rPr>
                <w:rFonts w:hint="eastAsia" w:ascii="宋体" w:hAnsi="宋体" w:eastAsia="宋体" w:cs="宋体"/>
                <w:kern w:val="0"/>
                <w:sz w:val="24"/>
                <w:szCs w:val="24"/>
                <w:lang w:eastAsia="zh-CN"/>
              </w:rPr>
              <w:t>边界防护、访问控制、入侵防范、恶意代码防范、安全审计、可信验证等方面的核查、测试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安全计算环境测评</w:t>
            </w:r>
          </w:p>
        </w:tc>
        <w:tc>
          <w:tcPr>
            <w:tcW w:w="6197" w:type="dxa"/>
            <w:vAlign w:val="center"/>
          </w:tcPr>
          <w:p>
            <w:pPr>
              <w:pageBreakBefore w:val="0"/>
              <w:kinsoku/>
              <w:wordWrap/>
              <w:overflowPunct/>
              <w:topLinePunct w:val="0"/>
              <w:autoSpaceDE/>
              <w:autoSpaceDN/>
              <w:bidi w:val="0"/>
              <w:spacing w:line="560" w:lineRule="exact"/>
              <w:jc w:val="left"/>
              <w:rPr>
                <w:rFonts w:ascii="宋体" w:hAnsi="宋体" w:eastAsia="宋体" w:cs="仿宋"/>
                <w:kern w:val="0"/>
                <w:sz w:val="24"/>
                <w:szCs w:val="24"/>
                <w:lang w:eastAsia="zh-CN"/>
              </w:rPr>
            </w:pPr>
            <w:r>
              <w:rPr>
                <w:rFonts w:hint="eastAsia" w:ascii="宋体" w:hAnsi="宋体" w:eastAsia="宋体" w:cs="宋体"/>
                <w:kern w:val="0"/>
                <w:sz w:val="24"/>
                <w:szCs w:val="24"/>
                <w:lang w:eastAsia="zh-CN"/>
              </w:rPr>
              <w:t>身份鉴别、访问控制、安全审计、入侵防范、恶意代码防范、可信验证、数据完整性、数据备份恢复、剩余信息保护、个人信息保护等方面的核查、测试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安全管理中心测评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Times New Roman"/>
                <w:kern w:val="0"/>
                <w:sz w:val="24"/>
                <w:szCs w:val="24"/>
                <w:lang w:eastAsia="zh-CN"/>
              </w:rPr>
            </w:pPr>
            <w:r>
              <w:rPr>
                <w:rFonts w:hint="eastAsia" w:ascii="宋体" w:hAnsi="宋体" w:eastAsia="宋体" w:cs="宋体"/>
                <w:kern w:val="0"/>
                <w:sz w:val="24"/>
                <w:szCs w:val="24"/>
                <w:lang w:eastAsia="zh-CN"/>
              </w:rPr>
              <w:t>系统管理、审计管理等方面的核查、测试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安全管理机构测评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Times New Roman"/>
                <w:kern w:val="0"/>
                <w:sz w:val="24"/>
                <w:szCs w:val="24"/>
                <w:lang w:eastAsia="zh-CN"/>
              </w:rPr>
            </w:pPr>
            <w:r>
              <w:rPr>
                <w:rFonts w:hint="eastAsia" w:ascii="宋体" w:hAnsi="宋体" w:eastAsia="宋体" w:cs="宋体"/>
                <w:kern w:val="0"/>
                <w:sz w:val="24"/>
                <w:szCs w:val="24"/>
                <w:lang w:eastAsia="zh-CN"/>
              </w:rPr>
              <w:t>安全策略、管理制度、制定和发布、评审和修订等方面的管理和落实情况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安全管理制度测评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Times New Roman"/>
                <w:kern w:val="0"/>
                <w:sz w:val="24"/>
                <w:szCs w:val="24"/>
                <w:lang w:eastAsia="zh-CN"/>
              </w:rPr>
            </w:pPr>
            <w:r>
              <w:rPr>
                <w:rFonts w:hint="eastAsia" w:ascii="宋体" w:hAnsi="宋体" w:eastAsia="宋体" w:cs="宋体"/>
                <w:kern w:val="0"/>
                <w:sz w:val="24"/>
                <w:szCs w:val="24"/>
                <w:lang w:eastAsia="zh-CN"/>
              </w:rPr>
              <w:t>岗位设置、人员配备、授权和审批、沟通和合作、审核和检查等方面的管理和落实情况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安全管理人员测评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Times New Roman"/>
                <w:kern w:val="0"/>
                <w:sz w:val="24"/>
                <w:szCs w:val="24"/>
                <w:lang w:eastAsia="zh-CN"/>
              </w:rPr>
            </w:pPr>
            <w:r>
              <w:rPr>
                <w:rFonts w:hint="eastAsia" w:ascii="宋体" w:hAnsi="宋体" w:eastAsia="宋体" w:cs="宋体"/>
                <w:kern w:val="0"/>
                <w:sz w:val="24"/>
                <w:szCs w:val="24"/>
                <w:lang w:eastAsia="zh-CN"/>
              </w:rPr>
              <w:t>人员录用、人员离岗、安全意识教育和培训、外部人员访问管理等方面的管理和落实情况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安全建设管理测评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Times New Roman"/>
                <w:kern w:val="0"/>
                <w:sz w:val="24"/>
                <w:szCs w:val="24"/>
                <w:lang w:eastAsia="zh-CN"/>
              </w:rPr>
            </w:pPr>
            <w:r>
              <w:rPr>
                <w:rFonts w:hint="eastAsia" w:ascii="宋体" w:hAnsi="宋体" w:eastAsia="宋体" w:cs="宋体"/>
                <w:kern w:val="0"/>
                <w:sz w:val="24"/>
                <w:szCs w:val="24"/>
                <w:lang w:eastAsia="zh-CN"/>
              </w:rPr>
              <w:t>系统定级和备案、安全方案设计、产品采购和使用、自行软件开发、外包软件开发、工程实施、测试验收、系统交付、等级测评、服务供应商选择等方面的管理和落实情况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25" w:type="dxa"/>
            <w:vAlign w:val="center"/>
          </w:tcPr>
          <w:p>
            <w:pPr>
              <w:pageBreakBefore w:val="0"/>
              <w:kinsoku/>
              <w:wordWrap/>
              <w:overflowPunct/>
              <w:topLinePunct w:val="0"/>
              <w:autoSpaceDE/>
              <w:autoSpaceDN/>
              <w:bidi w:val="0"/>
              <w:spacing w:line="560" w:lineRule="exact"/>
              <w:jc w:val="center"/>
              <w:rPr>
                <w:rFonts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安全运维管理测评</w:t>
            </w:r>
          </w:p>
        </w:tc>
        <w:tc>
          <w:tcPr>
            <w:tcW w:w="6197" w:type="dxa"/>
            <w:vAlign w:val="center"/>
          </w:tcPr>
          <w:p>
            <w:pPr>
              <w:pageBreakBefore w:val="0"/>
              <w:kinsoku/>
              <w:wordWrap/>
              <w:overflowPunct/>
              <w:topLinePunct w:val="0"/>
              <w:autoSpaceDE/>
              <w:autoSpaceDN/>
              <w:bidi w:val="0"/>
              <w:spacing w:line="560" w:lineRule="exact"/>
              <w:rPr>
                <w:rFonts w:ascii="宋体" w:hAnsi="宋体" w:eastAsia="宋体" w:cs="Times New Roman"/>
                <w:kern w:val="0"/>
                <w:sz w:val="24"/>
                <w:szCs w:val="24"/>
                <w:lang w:eastAsia="zh-CN"/>
              </w:rPr>
            </w:pPr>
            <w:r>
              <w:rPr>
                <w:rFonts w:hint="eastAsia" w:ascii="宋体" w:hAnsi="宋体" w:eastAsia="宋体" w:cs="宋体"/>
                <w:kern w:val="0"/>
                <w:sz w:val="24"/>
                <w:szCs w:val="24"/>
                <w:lang w:eastAsia="zh-CN"/>
              </w:rPr>
              <w:t>环境管理、资产管理、介质管理、设备维护管理、漏洞和风险管理、网络和系统安全管理、恶意代码防范管理、配置管理、密码管理、变更管理、备份与恢复管理、安全事件处置、应急预案管理、外包运维管理等方面的管理和落实情况</w:t>
            </w:r>
          </w:p>
        </w:tc>
      </w:tr>
    </w:tbl>
    <w:p>
      <w:pPr>
        <w:pageBreakBefore w:val="0"/>
        <w:kinsoku/>
        <w:wordWrap/>
        <w:overflowPunct/>
        <w:topLinePunct w:val="0"/>
        <w:autoSpaceDE/>
        <w:autoSpaceDN/>
        <w:bidi w:val="0"/>
        <w:spacing w:line="560" w:lineRule="exact"/>
        <w:rPr>
          <w:rFonts w:ascii="宋体" w:hAnsi="宋体" w:eastAsia="宋体" w:cs="Times New Roman"/>
          <w:b/>
          <w:sz w:val="24"/>
          <w:szCs w:val="24"/>
        </w:rPr>
      </w:pPr>
    </w:p>
    <w:p>
      <w:pPr>
        <w:pageBreakBefore w:val="0"/>
        <w:kinsoku/>
        <w:wordWrap/>
        <w:overflowPunct/>
        <w:topLinePunct w:val="0"/>
        <w:autoSpaceDE/>
        <w:autoSpaceDN/>
        <w:bidi w:val="0"/>
        <w:spacing w:line="560" w:lineRule="exact"/>
        <w:ind w:firstLine="420"/>
        <w:rPr>
          <w:rFonts w:ascii="宋体" w:hAnsi="宋体" w:eastAsia="宋体" w:cs="Times New Roman"/>
          <w:b w:val="0"/>
          <w:bCs/>
          <w:sz w:val="28"/>
          <w:szCs w:val="28"/>
        </w:rPr>
      </w:pPr>
      <w:r>
        <w:rPr>
          <w:rFonts w:hint="eastAsia" w:ascii="宋体" w:hAnsi="宋体" w:eastAsia="宋体" w:cs="Times New Roman"/>
          <w:b w:val="0"/>
          <w:bCs/>
          <w:sz w:val="28"/>
          <w:szCs w:val="28"/>
        </w:rPr>
        <w:t>（2）整体测评：</w:t>
      </w:r>
    </w:p>
    <w:p>
      <w:pPr>
        <w:pageBreakBefore w:val="0"/>
        <w:kinsoku/>
        <w:wordWrap/>
        <w:overflowPunct/>
        <w:topLinePunct w:val="0"/>
        <w:autoSpaceDE/>
        <w:autoSpaceDN/>
        <w:bidi w:val="0"/>
        <w:spacing w:line="560" w:lineRule="exact"/>
        <w:ind w:firstLine="560" w:firstLineChars="200"/>
        <w:jc w:val="left"/>
        <w:rPr>
          <w:rFonts w:hint="eastAsia" w:ascii="宋体" w:hAnsi="宋体" w:eastAsia="宋体" w:cs="仿宋"/>
          <w:sz w:val="28"/>
          <w:szCs w:val="28"/>
        </w:rPr>
      </w:pPr>
      <w:bookmarkStart w:id="1" w:name="_Toc536188579"/>
      <w:r>
        <w:rPr>
          <w:rFonts w:hint="eastAsia" w:ascii="宋体" w:hAnsi="宋体" w:eastAsia="宋体" w:cs="仿宋"/>
          <w:sz w:val="28"/>
          <w:szCs w:val="28"/>
        </w:rPr>
        <w:t>等级保护对象整体测评从安全控制点、安全控制间和区域间等方面进行测评和综合安全分析，从而给出等级测评结论。整体测评包括安全控制点测评、安全控制间测评和区域间测评。安全控制点测评是指对单个控制点中所有要求项的符合程度进行分析和判定。安全控制点间安全测评是指对同一区域同一类内的两个或两个以上不同安全控制点间的关联进行测评分析，其目的是确定这些关联对等级保护对象整体安全保护能力的影响。区域间安全测评是指对互联互通的不同区域之间的关联进行测评分析，其目的是确定这些关联对等级保护对象整体安全保护能力的影响。</w:t>
      </w:r>
      <w:bookmarkEnd w:id="1"/>
      <w:bookmarkStart w:id="2" w:name="_Toc229389946"/>
      <w:bookmarkStart w:id="3" w:name="_Toc536188580"/>
      <w:r>
        <w:rPr>
          <w:rFonts w:hint="eastAsia" w:ascii="宋体" w:hAnsi="宋体" w:eastAsia="宋体" w:cs="仿宋"/>
          <w:sz w:val="28"/>
          <w:szCs w:val="28"/>
        </w:rPr>
        <w:t>层面间安全测评</w:t>
      </w:r>
      <w:bookmarkEnd w:id="2"/>
      <w:bookmarkEnd w:id="3"/>
      <w:r>
        <w:rPr>
          <w:rFonts w:hint="eastAsia" w:ascii="宋体" w:hAnsi="宋体" w:eastAsia="宋体" w:cs="仿宋"/>
          <w:sz w:val="28"/>
          <w:szCs w:val="28"/>
          <w:lang w:eastAsia="zh-CN"/>
        </w:rPr>
        <w:t>是指</w:t>
      </w:r>
      <w:r>
        <w:rPr>
          <w:rFonts w:hint="eastAsia" w:ascii="宋体" w:hAnsi="宋体" w:eastAsia="宋体" w:cs="仿宋"/>
          <w:sz w:val="28"/>
          <w:szCs w:val="28"/>
        </w:rPr>
        <w:t>通过对同一区域内的两个或两个以上不同层面的关联进行测评分析，这些关联对信息系统整体安全保护能力无影响。</w:t>
      </w:r>
    </w:p>
    <w:p>
      <w:pPr>
        <w:pStyle w:val="3"/>
        <w:keepNext/>
        <w:keepLines/>
        <w:pageBreakBefore w:val="0"/>
        <w:kinsoku/>
        <w:wordWrap/>
        <w:overflowPunct/>
        <w:topLinePunct w:val="0"/>
        <w:autoSpaceDE/>
        <w:autoSpaceDN/>
        <w:bidi w:val="0"/>
        <w:spacing w:line="560" w:lineRule="exact"/>
        <w:rPr>
          <w:rFonts w:ascii="宋体" w:hAnsi="宋体" w:cstheme="majorBidi"/>
          <w:sz w:val="28"/>
          <w:szCs w:val="28"/>
        </w:rPr>
      </w:pPr>
      <w:r>
        <w:rPr>
          <w:rFonts w:hint="eastAsia" w:ascii="宋体" w:hAnsi="宋体" w:cs="仿宋"/>
          <w:sz w:val="28"/>
          <w:szCs w:val="28"/>
          <w:lang w:val="en-US" w:eastAsia="zh-CN"/>
        </w:rPr>
        <w:t xml:space="preserve">6.1.2等保测评服务要求 </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eastAsia="zh-CN"/>
        </w:rPr>
        <w:t>（</w:t>
      </w:r>
      <w:r>
        <w:rPr>
          <w:rFonts w:hint="eastAsia" w:ascii="宋体" w:hAnsi="宋体" w:eastAsia="宋体" w:cs="Times New Roman"/>
          <w:b w:val="0"/>
          <w:bCs w:val="0"/>
          <w:sz w:val="28"/>
          <w:szCs w:val="28"/>
          <w:lang w:val="en-US" w:eastAsia="zh-CN"/>
        </w:rPr>
        <w:t>1</w:t>
      </w:r>
      <w:r>
        <w:rPr>
          <w:rFonts w:hint="eastAsia" w:ascii="宋体" w:hAnsi="宋体" w:eastAsia="宋体" w:cs="Times New Roman"/>
          <w:b w:val="0"/>
          <w:bCs w:val="0"/>
          <w:sz w:val="28"/>
          <w:szCs w:val="28"/>
          <w:lang w:eastAsia="zh-CN"/>
        </w:rPr>
        <w:t>）</w:t>
      </w:r>
      <w:r>
        <w:rPr>
          <w:rFonts w:ascii="宋体" w:hAnsi="宋体" w:eastAsia="宋体" w:cs="Times New Roman"/>
          <w:b w:val="0"/>
          <w:bCs w:val="0"/>
          <w:sz w:val="28"/>
          <w:szCs w:val="28"/>
        </w:rPr>
        <w:t>定级备案</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响应机构需要协助XX单位完成本次项目信息系统的定级工作，组织相关专家和工作人员商讨系统定级情况，并将所需的定级备案资料提交至当地公安机关，最终取得《信息系统安全等级保护备案证明》。</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（2）</w:t>
      </w:r>
      <w:r>
        <w:rPr>
          <w:rFonts w:ascii="宋体" w:hAnsi="宋体" w:eastAsia="宋体" w:cs="Times New Roman"/>
          <w:b w:val="0"/>
          <w:bCs w:val="0"/>
          <w:sz w:val="28"/>
          <w:szCs w:val="28"/>
        </w:rPr>
        <w:t>网络安全等级保护差距测评</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ascii="宋体" w:hAnsi="宋体" w:eastAsia="宋体" w:cs="Times New Roman"/>
          <w:sz w:val="28"/>
          <w:szCs w:val="28"/>
        </w:rPr>
        <w:t>差距测评委托具备网络安全等级保护测评资质的第三方测评机构根据《信息安全技术 网络安全等级保护基本要求》、《信息安全技术 网络安全等级保护测评要求》等标准实施并评估信息系统合规情</w:t>
      </w:r>
      <w:r>
        <w:rPr>
          <w:rFonts w:ascii="宋体" w:hAnsi="宋体" w:eastAsia="宋体" w:cs="Times New Roman"/>
          <w:b w:val="0"/>
          <w:bCs w:val="0"/>
          <w:sz w:val="28"/>
          <w:szCs w:val="28"/>
        </w:rPr>
        <w:t>况，并在完成实施后出具《信息系统安全问题清单》。</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（3）</w:t>
      </w:r>
      <w:r>
        <w:rPr>
          <w:rFonts w:hint="eastAsia" w:ascii="宋体" w:hAnsi="宋体" w:eastAsia="宋体" w:cs="Times New Roman"/>
          <w:b w:val="0"/>
          <w:bCs w:val="0"/>
          <w:sz w:val="28"/>
          <w:szCs w:val="28"/>
        </w:rPr>
        <w:t>协助整改咨询服务</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sz w:val="28"/>
          <w:szCs w:val="28"/>
        </w:rPr>
        <w:t>响应机构</w:t>
      </w:r>
      <w:r>
        <w:rPr>
          <w:rFonts w:ascii="宋体" w:hAnsi="宋体" w:eastAsia="宋体" w:cs="Times New Roman"/>
          <w:sz w:val="28"/>
          <w:szCs w:val="28"/>
        </w:rPr>
        <w:t>需根据测评结果，在整改实施过程中，</w:t>
      </w:r>
      <w:r>
        <w:rPr>
          <w:rFonts w:hint="eastAsia" w:ascii="宋体" w:hAnsi="宋体" w:eastAsia="宋体" w:cs="Times New Roman"/>
          <w:sz w:val="28"/>
          <w:szCs w:val="28"/>
        </w:rPr>
        <w:t>提供协助整改咨</w:t>
      </w:r>
      <w:r>
        <w:rPr>
          <w:rFonts w:hint="eastAsia" w:ascii="宋体" w:hAnsi="宋体" w:eastAsia="宋体" w:cs="Times New Roman"/>
          <w:b w:val="0"/>
          <w:bCs w:val="0"/>
          <w:sz w:val="28"/>
          <w:szCs w:val="28"/>
        </w:rPr>
        <w:t>询服务</w:t>
      </w:r>
      <w:r>
        <w:rPr>
          <w:rFonts w:ascii="宋体" w:hAnsi="宋体" w:eastAsia="宋体" w:cs="Times New Roman"/>
          <w:b w:val="0"/>
          <w:bCs w:val="0"/>
          <w:sz w:val="28"/>
          <w:szCs w:val="28"/>
        </w:rPr>
        <w:t>。</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（4）</w:t>
      </w:r>
      <w:r>
        <w:rPr>
          <w:rFonts w:ascii="宋体" w:hAnsi="宋体" w:eastAsia="宋体" w:cs="Times New Roman"/>
          <w:b w:val="0"/>
          <w:bCs w:val="0"/>
          <w:sz w:val="28"/>
          <w:szCs w:val="28"/>
        </w:rPr>
        <w:t>网络安全等级保护验收测评</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在安全整改工作完成后，</w:t>
      </w:r>
      <w:r>
        <w:rPr>
          <w:rFonts w:hint="eastAsia" w:ascii="宋体" w:hAnsi="宋体" w:eastAsia="宋体" w:cs="Times New Roman"/>
          <w:sz w:val="28"/>
          <w:szCs w:val="28"/>
        </w:rPr>
        <w:t>响应机构</w:t>
      </w:r>
      <w:r>
        <w:rPr>
          <w:rFonts w:ascii="宋体" w:hAnsi="宋体" w:eastAsia="宋体" w:cs="Times New Roman"/>
          <w:sz w:val="28"/>
          <w:szCs w:val="28"/>
        </w:rPr>
        <w:t>组织现场验收测评，根据被测评对象实际测评结论（优、良、中、差）出具2021版《网络安全等级保护【被测评对象】等级测评报告》，报告中必须明确相应信息系统是否满足等级保护要求。</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（5）</w:t>
      </w:r>
      <w:r>
        <w:rPr>
          <w:rFonts w:ascii="宋体" w:hAnsi="宋体" w:eastAsia="宋体" w:cs="Times New Roman"/>
          <w:b w:val="0"/>
          <w:bCs w:val="0"/>
          <w:sz w:val="28"/>
          <w:szCs w:val="28"/>
        </w:rPr>
        <w:t>成果</w:t>
      </w:r>
      <w:r>
        <w:rPr>
          <w:rFonts w:hint="eastAsia" w:ascii="宋体" w:hAnsi="宋体" w:eastAsia="宋体" w:cs="Times New Roman"/>
          <w:b w:val="0"/>
          <w:bCs w:val="0"/>
          <w:sz w:val="28"/>
          <w:szCs w:val="28"/>
        </w:rPr>
        <w:t>交付物</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rPr>
        <w:t>系统测评完成后需提供以下内容：</w:t>
      </w:r>
    </w:p>
    <w:p>
      <w:pPr>
        <w:pStyle w:val="29"/>
        <w:pageBreakBefore w:val="0"/>
        <w:numPr>
          <w:ilvl w:val="0"/>
          <w:numId w:val="1"/>
        </w:numPr>
        <w:tabs>
          <w:tab w:val="left" w:pos="840"/>
        </w:tabs>
        <w:kinsoku/>
        <w:wordWrap/>
        <w:overflowPunct/>
        <w:topLinePunct w:val="0"/>
        <w:autoSpaceDE/>
        <w:autoSpaceDN/>
        <w:bidi w:val="0"/>
        <w:spacing w:line="560" w:lineRule="exact"/>
        <w:ind w:firstLineChars="0"/>
        <w:rPr>
          <w:rFonts w:ascii="宋体" w:hAnsi="宋体" w:eastAsia="宋体"/>
          <w:b w:val="0"/>
          <w:bCs w:val="0"/>
          <w:sz w:val="28"/>
          <w:szCs w:val="28"/>
        </w:rPr>
      </w:pPr>
      <w:r>
        <w:rPr>
          <w:rFonts w:ascii="宋体" w:hAnsi="宋体" w:eastAsia="宋体"/>
          <w:b w:val="0"/>
          <w:bCs w:val="0"/>
          <w:sz w:val="28"/>
          <w:szCs w:val="28"/>
        </w:rPr>
        <w:t>《信息系统安全等级保护备案证明》；</w:t>
      </w:r>
    </w:p>
    <w:p>
      <w:pPr>
        <w:pStyle w:val="29"/>
        <w:pageBreakBefore w:val="0"/>
        <w:numPr>
          <w:ilvl w:val="0"/>
          <w:numId w:val="1"/>
        </w:numPr>
        <w:tabs>
          <w:tab w:val="left" w:pos="840"/>
        </w:tabs>
        <w:kinsoku/>
        <w:wordWrap/>
        <w:overflowPunct/>
        <w:topLinePunct w:val="0"/>
        <w:autoSpaceDE/>
        <w:autoSpaceDN/>
        <w:bidi w:val="0"/>
        <w:spacing w:line="560" w:lineRule="exact"/>
        <w:ind w:firstLineChars="0"/>
        <w:rPr>
          <w:rFonts w:ascii="宋体" w:hAnsi="宋体" w:eastAsia="宋体"/>
          <w:b w:val="0"/>
          <w:bCs w:val="0"/>
          <w:sz w:val="28"/>
          <w:szCs w:val="28"/>
        </w:rPr>
      </w:pPr>
      <w:r>
        <w:rPr>
          <w:rFonts w:ascii="宋体" w:hAnsi="宋体" w:eastAsia="宋体"/>
          <w:b w:val="0"/>
          <w:bCs w:val="0"/>
          <w:sz w:val="28"/>
          <w:szCs w:val="28"/>
        </w:rPr>
        <w:t>《信息系统安全问题清单》；</w:t>
      </w:r>
    </w:p>
    <w:p>
      <w:pPr>
        <w:pStyle w:val="29"/>
        <w:pageBreakBefore w:val="0"/>
        <w:numPr>
          <w:ilvl w:val="0"/>
          <w:numId w:val="1"/>
        </w:numPr>
        <w:tabs>
          <w:tab w:val="left" w:pos="840"/>
        </w:tabs>
        <w:kinsoku/>
        <w:wordWrap/>
        <w:overflowPunct/>
        <w:topLinePunct w:val="0"/>
        <w:autoSpaceDE/>
        <w:autoSpaceDN/>
        <w:bidi w:val="0"/>
        <w:spacing w:line="560" w:lineRule="exact"/>
        <w:ind w:firstLineChars="0"/>
        <w:rPr>
          <w:rFonts w:ascii="宋体" w:hAnsi="宋体" w:eastAsia="宋体"/>
          <w:b w:val="0"/>
          <w:bCs w:val="0"/>
          <w:sz w:val="28"/>
          <w:szCs w:val="28"/>
        </w:rPr>
      </w:pPr>
      <w:r>
        <w:rPr>
          <w:rFonts w:ascii="宋体" w:hAnsi="宋体" w:eastAsia="宋体"/>
          <w:b w:val="0"/>
          <w:bCs w:val="0"/>
          <w:sz w:val="28"/>
          <w:szCs w:val="28"/>
        </w:rPr>
        <w:t>《网络安全等级保护等级测评报告》；</w:t>
      </w:r>
    </w:p>
    <w:p>
      <w:pPr>
        <w:pStyle w:val="29"/>
        <w:pageBreakBefore w:val="0"/>
        <w:numPr>
          <w:ilvl w:val="0"/>
          <w:numId w:val="1"/>
        </w:numPr>
        <w:tabs>
          <w:tab w:val="left" w:pos="840"/>
        </w:tabs>
        <w:kinsoku/>
        <w:wordWrap/>
        <w:overflowPunct/>
        <w:topLinePunct w:val="0"/>
        <w:autoSpaceDE/>
        <w:autoSpaceDN/>
        <w:bidi w:val="0"/>
        <w:spacing w:line="560" w:lineRule="exact"/>
        <w:ind w:firstLineChars="0"/>
        <w:rPr>
          <w:rFonts w:ascii="宋体" w:hAnsi="宋体" w:eastAsia="宋体"/>
          <w:b w:val="0"/>
          <w:bCs w:val="0"/>
          <w:sz w:val="28"/>
          <w:szCs w:val="28"/>
        </w:rPr>
      </w:pPr>
      <w:bookmarkStart w:id="4" w:name="_Hlk114755756"/>
      <w:r>
        <w:rPr>
          <w:rFonts w:ascii="宋体" w:hAnsi="宋体" w:eastAsia="宋体"/>
          <w:b w:val="0"/>
          <w:bCs w:val="0"/>
          <w:sz w:val="28"/>
          <w:szCs w:val="28"/>
        </w:rPr>
        <w:t>其它相关的项目过程文档</w:t>
      </w:r>
      <w:bookmarkEnd w:id="4"/>
      <w:r>
        <w:rPr>
          <w:rFonts w:hint="eastAsia" w:ascii="宋体" w:hAnsi="宋体" w:eastAsia="宋体"/>
          <w:b w:val="0"/>
          <w:bCs w:val="0"/>
          <w:sz w:val="28"/>
          <w:szCs w:val="28"/>
        </w:rPr>
        <w:t>。</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（6）</w:t>
      </w:r>
      <w:r>
        <w:rPr>
          <w:rFonts w:hint="eastAsia" w:ascii="宋体" w:hAnsi="宋体" w:eastAsia="宋体" w:cs="Times New Roman"/>
          <w:b w:val="0"/>
          <w:bCs w:val="0"/>
          <w:sz w:val="28"/>
          <w:szCs w:val="28"/>
        </w:rPr>
        <w:t>服务周期</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b w:val="0"/>
          <w:bCs w:val="0"/>
          <w:sz w:val="28"/>
          <w:szCs w:val="28"/>
        </w:rPr>
        <w:t>合同签订之日</w:t>
      </w:r>
      <w:r>
        <w:rPr>
          <w:rFonts w:hint="eastAsia" w:ascii="宋体" w:hAnsi="宋体" w:eastAsia="宋体"/>
          <w:b w:val="0"/>
          <w:bCs w:val="0"/>
          <w:sz w:val="28"/>
          <w:szCs w:val="28"/>
          <w:lang w:eastAsia="zh-CN"/>
        </w:rPr>
        <w:t>后</w:t>
      </w:r>
      <w:r>
        <w:rPr>
          <w:rFonts w:hint="eastAsia" w:ascii="宋体" w:hAnsi="宋体" w:eastAsia="宋体"/>
          <w:b w:val="0"/>
          <w:bCs w:val="0"/>
          <w:sz w:val="28"/>
          <w:szCs w:val="28"/>
          <w:lang w:val="en-US" w:eastAsia="zh-CN"/>
        </w:rPr>
        <w:t>4个月内完成此项服务。</w:t>
      </w:r>
    </w:p>
    <w:p>
      <w:pPr>
        <w:pageBreakBefore w:val="0"/>
        <w:kinsoku/>
        <w:wordWrap/>
        <w:overflowPunct/>
        <w:topLinePunct w:val="0"/>
        <w:autoSpaceDE/>
        <w:autoSpaceDN/>
        <w:bidi w:val="0"/>
        <w:spacing w:line="560" w:lineRule="exact"/>
        <w:ind w:firstLine="560" w:firstLineChars="20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（7）</w:t>
      </w:r>
      <w:r>
        <w:rPr>
          <w:rFonts w:ascii="宋体" w:hAnsi="宋体" w:eastAsia="宋体" w:cs="Times New Roman"/>
          <w:b w:val="0"/>
          <w:bCs w:val="0"/>
          <w:sz w:val="28"/>
          <w:szCs w:val="28"/>
        </w:rPr>
        <w:t>服务验收标准</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ascii="宋体" w:hAnsi="宋体" w:eastAsia="宋体" w:cs="Times New Roman"/>
          <w:sz w:val="28"/>
          <w:szCs w:val="28"/>
        </w:rPr>
        <w:t>服务通过验收须满足以下所有条件：</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1</w:t>
      </w:r>
      <w:r>
        <w:rPr>
          <w:rFonts w:hint="eastAsia" w:ascii="宋体" w:hAnsi="宋体" w:eastAsia="宋体" w:cs="Times New Roman"/>
          <w:sz w:val="28"/>
          <w:szCs w:val="28"/>
          <w:lang w:eastAsia="zh-CN"/>
        </w:rPr>
        <w:t>）</w:t>
      </w:r>
      <w:r>
        <w:rPr>
          <w:rFonts w:ascii="宋体" w:hAnsi="宋体" w:eastAsia="宋体" w:cs="Times New Roman"/>
          <w:sz w:val="28"/>
          <w:szCs w:val="28"/>
        </w:rPr>
        <w:t>完成差距测评工作，并出具《信息系统安全问题清单》；</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2</w:t>
      </w:r>
      <w:r>
        <w:rPr>
          <w:rFonts w:hint="eastAsia" w:ascii="宋体" w:hAnsi="宋体" w:eastAsia="宋体" w:cs="Times New Roman"/>
          <w:sz w:val="28"/>
          <w:szCs w:val="28"/>
          <w:lang w:eastAsia="zh-CN"/>
        </w:rPr>
        <w:t>）</w:t>
      </w:r>
      <w:r>
        <w:rPr>
          <w:rFonts w:ascii="宋体" w:hAnsi="宋体" w:eastAsia="宋体" w:cs="Times New Roman"/>
          <w:sz w:val="28"/>
          <w:szCs w:val="28"/>
        </w:rPr>
        <w:t>完成验收测评工作，并出具《网络安全等级保护等级测评报告》；</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lang w:eastAsia="zh-CN"/>
        </w:rPr>
        <w:t>）</w:t>
      </w:r>
      <w:r>
        <w:rPr>
          <w:rFonts w:ascii="宋体" w:hAnsi="宋体" w:eastAsia="宋体" w:cs="Times New Roman"/>
          <w:sz w:val="28"/>
          <w:szCs w:val="28"/>
        </w:rPr>
        <w:t>提交调研表、现场测评记录表、会议纪要等服务过程材料；</w:t>
      </w:r>
    </w:p>
    <w:p>
      <w:pPr>
        <w:pageBreakBefore w:val="0"/>
        <w:kinsoku/>
        <w:wordWrap/>
        <w:overflowPunct/>
        <w:topLinePunct w:val="0"/>
        <w:autoSpaceDE/>
        <w:autoSpaceDN/>
        <w:bidi w:val="0"/>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lang w:eastAsia="zh-CN"/>
        </w:rPr>
        <w:t>（</w:t>
      </w:r>
      <w:r>
        <w:rPr>
          <w:rFonts w:hint="eastAsia" w:ascii="宋体" w:hAnsi="宋体" w:eastAsia="宋体" w:cs="Times New Roman"/>
          <w:sz w:val="28"/>
          <w:szCs w:val="28"/>
        </w:rPr>
        <w:t>4</w:t>
      </w:r>
      <w:r>
        <w:rPr>
          <w:rFonts w:hint="eastAsia" w:ascii="宋体" w:hAnsi="宋体" w:eastAsia="宋体" w:cs="Times New Roman"/>
          <w:sz w:val="28"/>
          <w:szCs w:val="28"/>
          <w:lang w:eastAsia="zh-CN"/>
        </w:rPr>
        <w:t>）</w:t>
      </w:r>
      <w:r>
        <w:rPr>
          <w:rFonts w:ascii="宋体" w:hAnsi="宋体" w:eastAsia="宋体" w:cs="Times New Roman"/>
          <w:sz w:val="28"/>
          <w:szCs w:val="28"/>
        </w:rPr>
        <w:t>符合公安部门提出的信息安全等级保护测评相关要求</w:t>
      </w:r>
      <w:r>
        <w:rPr>
          <w:rFonts w:hint="eastAsia" w:ascii="宋体" w:hAnsi="宋体" w:eastAsia="宋体" w:cs="Times New Roman"/>
          <w:sz w:val="28"/>
          <w:szCs w:val="28"/>
        </w:rPr>
        <w:t>。</w:t>
      </w:r>
    </w:p>
    <w:p>
      <w:pPr>
        <w:pageBreakBefore w:val="0"/>
        <w:kinsoku/>
        <w:wordWrap/>
        <w:overflowPunct/>
        <w:topLinePunct w:val="0"/>
        <w:autoSpaceDE/>
        <w:autoSpaceDN/>
        <w:bidi w:val="0"/>
        <w:spacing w:line="560" w:lineRule="exact"/>
        <w:ind w:firstLine="420"/>
        <w:rPr>
          <w:rFonts w:ascii="宋体" w:hAnsi="宋体" w:eastAsia="宋体" w:cs="Times New Roman"/>
          <w:b w:val="0"/>
          <w:bCs w:val="0"/>
          <w:sz w:val="28"/>
          <w:szCs w:val="28"/>
        </w:rPr>
      </w:pPr>
      <w:r>
        <w:rPr>
          <w:rFonts w:hint="eastAsia" w:ascii="宋体" w:hAnsi="宋体" w:eastAsia="宋体" w:cs="Times New Roman"/>
          <w:b w:val="0"/>
          <w:bCs w:val="0"/>
          <w:sz w:val="28"/>
          <w:szCs w:val="28"/>
          <w:lang w:val="en-US" w:eastAsia="zh-CN"/>
        </w:rPr>
        <w:t>（8）</w:t>
      </w:r>
      <w:r>
        <w:rPr>
          <w:rFonts w:ascii="宋体" w:hAnsi="宋体" w:eastAsia="宋体" w:cs="Times New Roman"/>
          <w:b w:val="0"/>
          <w:bCs w:val="0"/>
          <w:sz w:val="28"/>
          <w:szCs w:val="28"/>
        </w:rPr>
        <w:t>售后服务要求</w:t>
      </w:r>
    </w:p>
    <w:p>
      <w:pPr>
        <w:pageBreakBefore w:val="0"/>
        <w:kinsoku/>
        <w:wordWrap/>
        <w:overflowPunct/>
        <w:topLinePunct w:val="0"/>
        <w:autoSpaceDE/>
        <w:autoSpaceDN/>
        <w:bidi w:val="0"/>
        <w:spacing w:line="560" w:lineRule="exact"/>
        <w:ind w:firstLine="560" w:firstLineChars="200"/>
        <w:rPr>
          <w:sz w:val="28"/>
          <w:szCs w:val="28"/>
        </w:rPr>
      </w:pPr>
      <w:r>
        <w:rPr>
          <w:rFonts w:hint="eastAsia" w:ascii="宋体" w:hAnsi="宋体" w:eastAsia="宋体" w:cs="Times New Roman"/>
          <w:sz w:val="28"/>
          <w:szCs w:val="28"/>
        </w:rPr>
        <w:t>响应机构</w:t>
      </w:r>
      <w:r>
        <w:rPr>
          <w:rFonts w:ascii="宋体" w:hAnsi="宋体" w:eastAsia="宋体" w:cs="Times New Roman"/>
          <w:sz w:val="28"/>
          <w:szCs w:val="28"/>
        </w:rPr>
        <w:t>必须</w:t>
      </w:r>
      <w:r>
        <w:rPr>
          <w:rFonts w:hint="eastAsia" w:ascii="宋体" w:hAnsi="宋体" w:eastAsia="宋体" w:cs="Times New Roman"/>
          <w:sz w:val="28"/>
          <w:szCs w:val="28"/>
        </w:rPr>
        <w:t>在</w:t>
      </w:r>
      <w:r>
        <w:rPr>
          <w:rFonts w:ascii="宋体" w:hAnsi="宋体" w:eastAsia="宋体" w:cs="Times New Roman"/>
          <w:sz w:val="28"/>
          <w:szCs w:val="28"/>
        </w:rPr>
        <w:t>服务期内</w:t>
      </w:r>
      <w:r>
        <w:rPr>
          <w:rFonts w:hint="eastAsia" w:ascii="宋体" w:hAnsi="宋体" w:eastAsia="宋体" w:cs="Times New Roman"/>
          <w:sz w:val="28"/>
          <w:szCs w:val="28"/>
        </w:rPr>
        <w:t>提供</w:t>
      </w:r>
      <w:r>
        <w:rPr>
          <w:rFonts w:ascii="宋体" w:hAnsi="宋体" w:eastAsia="宋体" w:cs="Times New Roman"/>
          <w:sz w:val="28"/>
          <w:szCs w:val="28"/>
        </w:rPr>
        <w:t>7×24小时</w:t>
      </w:r>
      <w:r>
        <w:rPr>
          <w:rFonts w:hint="eastAsia" w:ascii="宋体" w:hAnsi="宋体" w:eastAsia="宋体" w:cs="Times New Roman"/>
          <w:sz w:val="28"/>
          <w:szCs w:val="28"/>
        </w:rPr>
        <w:t>线上</w:t>
      </w:r>
      <w:r>
        <w:rPr>
          <w:rFonts w:ascii="宋体" w:hAnsi="宋体" w:eastAsia="宋体" w:cs="Times New Roman"/>
          <w:sz w:val="28"/>
          <w:szCs w:val="28"/>
        </w:rPr>
        <w:t>技术支持和服务，8小时内作出实质性响应</w:t>
      </w:r>
      <w:r>
        <w:rPr>
          <w:rFonts w:hint="eastAsia" w:ascii="宋体" w:hAnsi="宋体" w:eastAsia="宋体" w:cs="Times New Roman"/>
          <w:sz w:val="28"/>
          <w:szCs w:val="28"/>
        </w:rPr>
        <w:t>。如通过电话，远程等非现场的方式无法解决问题，需要及时安排技术人员前往客户现场解决问题在问题解决后2</w:t>
      </w:r>
      <w:r>
        <w:rPr>
          <w:rFonts w:ascii="宋体" w:hAnsi="宋体" w:eastAsia="宋体" w:cs="Times New Roman"/>
          <w:sz w:val="28"/>
          <w:szCs w:val="28"/>
        </w:rPr>
        <w:t>4</w:t>
      </w:r>
      <w:r>
        <w:rPr>
          <w:rFonts w:hint="eastAsia" w:ascii="宋体" w:hAnsi="宋体" w:eastAsia="宋体" w:cs="Times New Roman"/>
          <w:sz w:val="28"/>
          <w:szCs w:val="28"/>
        </w:rPr>
        <w:t>小时内，提交问题</w:t>
      </w:r>
      <w:r>
        <w:rPr>
          <w:rFonts w:ascii="宋体" w:hAnsi="宋体" w:eastAsia="宋体" w:cs="Times New Roman"/>
          <w:sz w:val="28"/>
          <w:szCs w:val="28"/>
        </w:rPr>
        <w:t>处理报告，说明问题种类、问题原因及造成的损失等情况。</w:t>
      </w:r>
    </w:p>
    <w:p>
      <w:pPr>
        <w:pStyle w:val="2"/>
        <w:keepNext/>
        <w:keepLines/>
        <w:pageBreakBefore w:val="0"/>
        <w:numPr>
          <w:ilvl w:val="0"/>
          <w:numId w:val="0"/>
        </w:numPr>
        <w:kinsoku/>
        <w:wordWrap/>
        <w:overflowPunct/>
        <w:topLinePunct w:val="0"/>
        <w:autoSpaceDE/>
        <w:autoSpaceDN/>
        <w:bidi w:val="0"/>
        <w:spacing w:line="560" w:lineRule="exact"/>
        <w:ind w:leftChars="0" w:firstLine="562" w:firstLineChars="200"/>
        <w:rPr>
          <w:rFonts w:ascii="宋体" w:hAnsi="宋体" w:cstheme="minorBidi"/>
          <w:kern w:val="44"/>
          <w:sz w:val="28"/>
          <w:szCs w:val="28"/>
        </w:rPr>
      </w:pPr>
      <w:r>
        <w:rPr>
          <w:rFonts w:hint="eastAsia" w:ascii="宋体" w:hAnsi="宋体" w:eastAsia="宋体" w:cs="宋体"/>
          <w:b/>
          <w:bCs/>
          <w:kern w:val="44"/>
          <w:sz w:val="28"/>
          <w:szCs w:val="28"/>
          <w:lang w:val="en-US" w:eastAsia="zh-CN"/>
        </w:rPr>
        <w:t>6.1.3</w:t>
      </w:r>
      <w:r>
        <w:rPr>
          <w:rFonts w:hint="eastAsia" w:ascii="宋体" w:hAnsi="宋体" w:cstheme="minorBidi"/>
          <w:kern w:val="44"/>
          <w:sz w:val="28"/>
          <w:szCs w:val="28"/>
        </w:rPr>
        <w:t>测评工具要求</w:t>
      </w:r>
    </w:p>
    <w:p>
      <w:pPr>
        <w:pStyle w:val="14"/>
        <w:pageBreakBefore w:val="0"/>
        <w:widowControl w:val="0"/>
        <w:kinsoku/>
        <w:wordWrap/>
        <w:overflowPunct/>
        <w:topLinePunct w:val="0"/>
        <w:autoSpaceDE/>
        <w:autoSpaceDN/>
        <w:bidi w:val="0"/>
        <w:snapToGrid w:val="0"/>
        <w:spacing w:before="156" w:beforeLines="50" w:beforeAutospacing="0" w:after="156" w:afterLines="50" w:afterAutospacing="0" w:line="560" w:lineRule="exact"/>
        <w:ind w:firstLine="560" w:firstLineChars="200"/>
        <w:rPr>
          <w:kern w:val="2"/>
          <w:sz w:val="28"/>
          <w:szCs w:val="28"/>
        </w:rPr>
      </w:pPr>
      <w:r>
        <w:rPr>
          <w:rFonts w:hint="eastAsia"/>
          <w:kern w:val="2"/>
          <w:sz w:val="28"/>
          <w:szCs w:val="28"/>
          <w:lang w:val="en-US" w:eastAsia="zh-CN"/>
        </w:rPr>
        <w:t>（1）</w:t>
      </w:r>
      <w:r>
        <w:rPr>
          <w:kern w:val="2"/>
          <w:sz w:val="28"/>
          <w:szCs w:val="28"/>
        </w:rPr>
        <w:t>本项目在实施过程中所使用到的专业安全服务工具由投标人提供，响应供应商必须保证所使用的所有工具和软件不具有所有权和知识产权纠纷，并保证工具和软件可用性和可靠性。由此产生的一切责任由响应供应商负完全责任。（此费用已包含在本项目报价中，采购人不在另付费用。）</w:t>
      </w:r>
    </w:p>
    <w:p>
      <w:pPr>
        <w:pStyle w:val="14"/>
        <w:pageBreakBefore w:val="0"/>
        <w:widowControl w:val="0"/>
        <w:kinsoku/>
        <w:wordWrap/>
        <w:overflowPunct/>
        <w:topLinePunct w:val="0"/>
        <w:autoSpaceDE/>
        <w:autoSpaceDN/>
        <w:bidi w:val="0"/>
        <w:snapToGrid w:val="0"/>
        <w:spacing w:before="156" w:beforeLines="50" w:beforeAutospacing="0" w:after="156" w:afterLines="50" w:afterAutospacing="0" w:line="560" w:lineRule="exact"/>
        <w:ind w:firstLine="560" w:firstLineChars="200"/>
        <w:rPr>
          <w:rFonts w:hint="eastAsia"/>
          <w:kern w:val="2"/>
          <w:sz w:val="28"/>
          <w:szCs w:val="28"/>
          <w:lang w:eastAsia="zh-CN"/>
        </w:rPr>
      </w:pPr>
      <w:r>
        <w:rPr>
          <w:rFonts w:hint="eastAsia"/>
          <w:kern w:val="2"/>
          <w:sz w:val="28"/>
          <w:szCs w:val="28"/>
          <w:lang w:val="en-US" w:eastAsia="zh-CN"/>
        </w:rPr>
        <w:t>（2）</w:t>
      </w:r>
      <w:r>
        <w:rPr>
          <w:rFonts w:hint="eastAsia"/>
          <w:kern w:val="2"/>
          <w:sz w:val="28"/>
          <w:szCs w:val="28"/>
          <w:lang w:eastAsia="zh-CN"/>
        </w:rPr>
        <w:t>响应供应商需提供承诺使用</w:t>
      </w:r>
      <w:r>
        <w:rPr>
          <w:kern w:val="2"/>
          <w:sz w:val="28"/>
          <w:szCs w:val="28"/>
        </w:rPr>
        <w:t>符合国家标准的漏洞扫描设备辅助完成测评工作</w:t>
      </w:r>
      <w:r>
        <w:rPr>
          <w:rFonts w:hint="eastAsia"/>
          <w:kern w:val="2"/>
          <w:sz w:val="28"/>
          <w:szCs w:val="28"/>
          <w:lang w:eastAsia="zh-CN"/>
        </w:rPr>
        <w:t>工具的函（格式自拟）。</w:t>
      </w:r>
    </w:p>
    <w:p>
      <w:pPr>
        <w:pStyle w:val="14"/>
        <w:pageBreakBefore w:val="0"/>
        <w:widowControl w:val="0"/>
        <w:kinsoku/>
        <w:wordWrap/>
        <w:overflowPunct/>
        <w:topLinePunct w:val="0"/>
        <w:autoSpaceDE/>
        <w:autoSpaceDN/>
        <w:bidi w:val="0"/>
        <w:snapToGrid w:val="0"/>
        <w:spacing w:before="156" w:beforeLines="50" w:beforeAutospacing="0" w:after="156" w:afterLines="50" w:afterAutospacing="0" w:line="560" w:lineRule="exact"/>
        <w:ind w:firstLine="560" w:firstLineChars="200"/>
        <w:rPr>
          <w:kern w:val="2"/>
          <w:sz w:val="28"/>
          <w:szCs w:val="28"/>
        </w:rPr>
      </w:pPr>
      <w:r>
        <w:rPr>
          <w:rFonts w:hint="eastAsia"/>
          <w:kern w:val="2"/>
          <w:sz w:val="28"/>
          <w:szCs w:val="28"/>
          <w:lang w:eastAsia="zh-CN"/>
        </w:rPr>
        <w:t>（</w:t>
      </w:r>
      <w:r>
        <w:rPr>
          <w:rFonts w:hint="eastAsia"/>
          <w:kern w:val="2"/>
          <w:sz w:val="28"/>
          <w:szCs w:val="28"/>
          <w:lang w:val="en-US" w:eastAsia="zh-CN"/>
        </w:rPr>
        <w:t>3</w:t>
      </w:r>
      <w:r>
        <w:rPr>
          <w:rFonts w:hint="eastAsia"/>
          <w:kern w:val="2"/>
          <w:sz w:val="28"/>
          <w:szCs w:val="28"/>
          <w:lang w:eastAsia="zh-CN"/>
        </w:rPr>
        <w:t>）</w:t>
      </w:r>
      <w:r>
        <w:rPr>
          <w:kern w:val="2"/>
          <w:sz w:val="28"/>
          <w:szCs w:val="28"/>
        </w:rPr>
        <w:t>为确保响应供应商开展信息系统安全测评的服务质量，响应供应商必须采用符合国家标准的漏洞扫描设备辅助完成测评工作，参数要求如下：</w:t>
      </w:r>
    </w:p>
    <w:p>
      <w:pPr>
        <w:pStyle w:val="14"/>
        <w:pageBreakBefore w:val="0"/>
        <w:widowControl w:val="0"/>
        <w:kinsoku/>
        <w:wordWrap/>
        <w:overflowPunct/>
        <w:topLinePunct w:val="0"/>
        <w:autoSpaceDE/>
        <w:autoSpaceDN/>
        <w:bidi w:val="0"/>
        <w:snapToGrid w:val="0"/>
        <w:spacing w:before="156" w:beforeLines="50" w:beforeAutospacing="0" w:after="156" w:afterLines="50" w:afterAutospacing="0" w:line="560" w:lineRule="exact"/>
        <w:ind w:firstLine="560" w:firstLineChars="200"/>
        <w:rPr>
          <w:rFonts w:hint="eastAsia" w:eastAsia="宋体"/>
          <w:kern w:val="2"/>
          <w:sz w:val="28"/>
          <w:szCs w:val="28"/>
          <w:lang w:eastAsia="zh-CN"/>
        </w:rPr>
      </w:pPr>
    </w:p>
    <w:tbl>
      <w:tblPr>
        <w:tblStyle w:val="17"/>
        <w:tblW w:w="8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98"/>
        <w:gridCol w:w="775"/>
        <w:gridCol w:w="1120"/>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blHeader/>
          <w:jc w:val="center"/>
        </w:trPr>
        <w:tc>
          <w:tcPr>
            <w:tcW w:w="958" w:type="dxa"/>
            <w:vAlign w:val="center"/>
          </w:tcPr>
          <w:p>
            <w:pPr>
              <w:pageBreakBefore w:val="0"/>
              <w:kinsoku/>
              <w:wordWrap/>
              <w:overflowPunct/>
              <w:topLinePunct w:val="0"/>
              <w:autoSpaceDE/>
              <w:autoSpaceDN/>
              <w:bidi w:val="0"/>
              <w:spacing w:line="560" w:lineRule="exact"/>
              <w:jc w:val="center"/>
              <w:rPr>
                <w:rFonts w:ascii="宋体" w:hAnsi="宋体" w:eastAsia="宋体"/>
                <w:b/>
                <w:bCs/>
              </w:rPr>
            </w:pPr>
            <w:r>
              <w:rPr>
                <w:rFonts w:hint="eastAsia" w:ascii="宋体" w:hAnsi="宋体" w:eastAsia="宋体"/>
                <w:b/>
                <w:bCs/>
              </w:rPr>
              <w:t>指标项</w:t>
            </w:r>
          </w:p>
        </w:tc>
        <w:tc>
          <w:tcPr>
            <w:tcW w:w="7629" w:type="dxa"/>
            <w:gridSpan w:val="4"/>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任务管理</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支持手动创建重要信息系统检查、行业主管部门检查、备案单位检查、网站检查、自定义检查任务。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支持检查任务并行检查及并行检查结果合并。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支持任务的打开、另存为、修改、删除、关闭。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支持与等级保护监察平台数据的上报和下发。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检查任务</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检查范围：支持行业主管部门、备案单位、重要信息系统、网站四类检查对象的检查范围。支持基本情况、定级备案检查范围。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检查内容：支持系统定级情况、岗位设置情况、安全审计情况检查内容。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检查要点：支持检查对象检查内容具体检查指标项进行检查。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检查结果录入类型：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单项判定：支持判定未检、不适用、0分、1分、2分、3分、4分、5分。</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检查结果录入：支持录入检查结果记录。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针对每个检查要点应提供相应的检查方法，检查结果判定依据相关检查知识，以便引导进行现场检查。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支持对检查过程中具体检查对象（例如：主机、网络设备）进行调整功能，要求可以选择已有的检查对象或录入新的检查对象。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将任务导出成检查模板，检查人员能够根据被检查单位情况，灵活分配各自的检查任务，支持导出检查表单提前让被检查单位人员对应进行自查，检查人员经现场检查核对无误之后，可以直接将检查表单数据导入到工具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检查层面、检查内容、检查指标项支持保存为模板，模板可导入、导出。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支持检查工具检查结果信息的展现功能。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支持导出、导入检查项。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支持手动填写测评概述，概述内容包括测评目的、测评依据、测评方法、测评结论、整体测评结果汇总。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数据汇总</w:t>
            </w:r>
          </w:p>
        </w:tc>
        <w:tc>
          <w:tcPr>
            <w:tcW w:w="6356" w:type="dxa"/>
            <w:gridSpan w:val="2"/>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支持一键导入功能，将检查工具集、检测结果自动导入到工具箱。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支持手动导入工具检查结果到工具箱及关联任务检查对象。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支持工具检查结果自动关联知识库。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检查结果导出</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导出的检查结果应按照指定的接口规范导出。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支持自动生成不同类型检查任务的检查报告，检查报告应包含不符合项的风险描述信息和安全评分。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兼容性</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支持与工具箱监察管理系统数据的上报和下发。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vAlign w:val="center"/>
          </w:tcPr>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监察指标库升级维护</w:t>
            </w:r>
          </w:p>
        </w:tc>
        <w:tc>
          <w:tcPr>
            <w:tcW w:w="1273"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指标库要求</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监察指标库包含：控制点和要求项。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指标库升级维护</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提供监察知识库升级功能，可以对监察知识库进行手动更新。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应提供升级检测和提醒功能。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监察知识库升级应有日志记录。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vAlign w:val="center"/>
          </w:tcPr>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监</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察</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知</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识</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库</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升</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级</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维</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护</w:t>
            </w: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知识库要求</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知识库内容必须覆盖所有检查指标。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知识库内容应包含检查指标的检查方法、检查结果判定依据和不符合项的风险提示。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知识库可以依据网络安全的标准和分析模型，对检查工具的检查结果进行自动分析，给出相应的检查结果记录。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知识库可以针对不同类型的检查任务，对检查结果进行自动分析和安全评分，自动生成相应的检查结果记录。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知识库内容应描述正确，并具有明确的引导作用。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知识库升级维护</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知识库内容必须覆盖所有检查指标。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知识库内容应包含检查指标的检查方法、检查结果判定依据和不符合项的风险提示。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知识库可以依据网络安全的标准和分析模型，对检查工具的检查结果进行自动分析，给出相应的检查结果记录。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58" w:type="dxa"/>
            <w:vMerge w:val="restart"/>
            <w:vAlign w:val="center"/>
          </w:tcPr>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工</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具</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管</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理</w:t>
            </w: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升级管理</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技术支持网站应提供检查工具升级提示功能，当检查工具有更新时，采购人可以进行检查工具的升级操作。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检查工具升级操作应在工具箱留有日志记录。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结果管理</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应提供结果分析，依据内置知识库自动对工具检查结果进行分析，自动判别相应检查指标的检查结果。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结果导入操作应留有日志记录。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风险提示</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所有检查工具启动时，默认都会进行风险提示，支持通过配置是否下次启用风险提示。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restart"/>
            <w:vAlign w:val="center"/>
          </w:tcPr>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系</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统</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管</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理</w:t>
            </w:r>
          </w:p>
        </w:tc>
        <w:tc>
          <w:tcPr>
            <w:tcW w:w="1273"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配置管理</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配置管理应对工具箱监察管理系统参数进行配置:</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支持系统最大登录次数设置；</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支持锁定用户时间设置；</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支持软件自动锁定功能；</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支持口令强度策略设置。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用户管理</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支持对采购人账户进行管理，支持管理员、操作员、审计员角色账户增加、口令修改；</w:t>
            </w:r>
          </w:p>
          <w:p>
            <w:pPr>
              <w:pageBreakBefore w:val="0"/>
              <w:kinsoku/>
              <w:wordWrap/>
              <w:overflowPunct/>
              <w:topLinePunct w:val="0"/>
              <w:autoSpaceDE/>
              <w:autoSpaceDN/>
              <w:bidi w:val="0"/>
              <w:spacing w:line="560" w:lineRule="exact"/>
              <w:rPr>
                <w:rFonts w:ascii="宋体" w:hAnsi="宋体" w:eastAsia="宋体" w:cs="Calibri"/>
              </w:rPr>
            </w:pPr>
            <w:r>
              <w:rPr>
                <w:rFonts w:ascii="宋体" w:hAnsi="宋体" w:eastAsia="宋体" w:cs="Calibri"/>
              </w:rPr>
              <w:t>支持</w:t>
            </w:r>
            <w:r>
              <w:rPr>
                <w:rFonts w:hint="eastAsia" w:ascii="宋体" w:hAnsi="宋体" w:eastAsia="宋体" w:cs="Calibri"/>
              </w:rPr>
              <w:t>对账户新增、</w:t>
            </w:r>
            <w:r>
              <w:rPr>
                <w:rFonts w:ascii="宋体" w:hAnsi="宋体" w:eastAsia="宋体" w:cs="Calibri"/>
              </w:rPr>
              <w:t>修改</w:t>
            </w:r>
            <w:r>
              <w:rPr>
                <w:rFonts w:hint="eastAsia" w:ascii="宋体" w:hAnsi="宋体" w:eastAsia="宋体" w:cs="Calibri"/>
              </w:rPr>
              <w:t>、</w:t>
            </w:r>
            <w:r>
              <w:rPr>
                <w:rFonts w:ascii="宋体" w:hAnsi="宋体" w:eastAsia="宋体" w:cs="Calibri"/>
              </w:rPr>
              <w:t>删除</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ascii="宋体" w:hAnsi="宋体" w:eastAsia="宋体" w:cs="Calibri"/>
              </w:rPr>
              <w:t>内置角色默认权限</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支持用户密码找回功能。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日志管理</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可查看操作日期、操作用户、操作对象日志记录。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提供日志筛选功能。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提供日志导出备份功能。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系统升级</w:t>
            </w:r>
          </w:p>
        </w:tc>
        <w:tc>
          <w:tcPr>
            <w:tcW w:w="6356" w:type="dxa"/>
            <w:gridSpan w:val="2"/>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应提供升级功能，升级操作应简单。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技术支持网站应提供升级提示功能。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设备厂商应定期发布离线升级包，支持手动导入升级。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rPr>
              <w:t>升级操作应留存日志记录。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工具箱监察管理系统具有登录尝试失败锁定功能。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访问控制</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应依据安全策略严格控制用户文件，数据表重要信息资源的操作。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应确保不提供已注销用户的任何信息，包括鉴别信息。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安全审计</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指标库、知识库、监察工具升级操作。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用户登录和注销事件。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数据导入、导出事件。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通信安全</w:t>
            </w: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应采取措施确保导入和导出数据的完整性。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8" w:type="dxa"/>
            <w:vMerge w:val="continue"/>
            <w:vAlign w:val="center"/>
          </w:tcPr>
          <w:p>
            <w:pPr>
              <w:pageBreakBefore w:val="0"/>
              <w:kinsoku/>
              <w:wordWrap/>
              <w:overflowPunct/>
              <w:topLinePunct w:val="0"/>
              <w:autoSpaceDE/>
              <w:autoSpaceDN/>
              <w:bidi w:val="0"/>
              <w:spacing w:line="560" w:lineRule="exact"/>
              <w:jc w:val="center"/>
              <w:rPr>
                <w:rFonts w:ascii="宋体" w:hAnsi="宋体" w:eastAsia="宋体"/>
                <w:b/>
              </w:rPr>
            </w:pPr>
          </w:p>
        </w:tc>
        <w:tc>
          <w:tcPr>
            <w:tcW w:w="1273"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6356" w:type="dxa"/>
            <w:gridSpan w:val="2"/>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U盘安全检查工具向工具箱提交的检查结果数据的完整性。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587" w:type="dxa"/>
            <w:gridSpan w:val="5"/>
            <w:vAlign w:val="center"/>
          </w:tcPr>
          <w:p>
            <w:pPr>
              <w:pageBreakBefore w:val="0"/>
              <w:kinsoku/>
              <w:wordWrap/>
              <w:overflowPunct/>
              <w:topLinePunct w:val="0"/>
              <w:autoSpaceDE/>
              <w:autoSpaceDN/>
              <w:bidi w:val="0"/>
              <w:spacing w:line="560" w:lineRule="exact"/>
              <w:rPr>
                <w:rFonts w:ascii="宋体" w:hAnsi="宋体" w:eastAsia="宋体"/>
              </w:rPr>
            </w:pPr>
            <w:r>
              <w:rPr>
                <w:rFonts w:hint="eastAsia" w:ascii="宋体" w:hAnsi="宋体" w:eastAsia="宋体"/>
                <w:b/>
              </w:rPr>
              <w:t>等级保护工具箱配备U盘安全检查工具集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W</w:t>
            </w:r>
            <w:r>
              <w:rPr>
                <w:rFonts w:ascii="宋体" w:hAnsi="宋体" w:eastAsia="宋体"/>
              </w:rPr>
              <w:t>indows</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主</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机</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安</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全</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配</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置</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支持检查主机系统配置信息，包括：计算机名、用户名、操作系统、版本、内存大小、磁盘大小、系统路径、共享目录；</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支持检查USB接入设备信息；</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w:t>
            </w:r>
            <w:r>
              <w:rPr>
                <w:rFonts w:ascii="宋体" w:hAnsi="宋体" w:eastAsia="宋体" w:cs="Calibri"/>
              </w:rPr>
              <w:t>Internet Explorer</w:t>
            </w:r>
            <w:r>
              <w:rPr>
                <w:rFonts w:hint="eastAsia" w:ascii="宋体" w:hAnsi="宋体" w:eastAsia="宋体" w:cs="Calibri"/>
              </w:rPr>
              <w:t>、Chrome、Firefox等浏览器上网记录、Cookie记录；</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支持检查主机硬件信息，包括：CPU信息、主板信息、内存信息、显卡信息、硬盘信息、网卡信息；</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支持检查主机开机自启动项程序；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查看主机上已经启动的可能有风险的服务程序，包括：如</w:t>
            </w:r>
            <w:r>
              <w:rPr>
                <w:rFonts w:ascii="宋体" w:hAnsi="宋体" w:eastAsia="宋体" w:cs="Calibri"/>
              </w:rPr>
              <w:t>T</w:t>
            </w:r>
            <w:r>
              <w:rPr>
                <w:rFonts w:hint="eastAsia" w:ascii="宋体" w:hAnsi="宋体" w:eastAsia="宋体" w:cs="Calibri"/>
              </w:rPr>
              <w:t>ask Scheduler、Print Spooler、Remote Registry等服务；</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支持检查账户安全策略信息，</w:t>
            </w:r>
            <w:r>
              <w:rPr>
                <w:rFonts w:ascii="宋体" w:hAnsi="宋体" w:eastAsia="宋体" w:cs="Calibri"/>
              </w:rPr>
              <w:t>包含</w:t>
            </w:r>
            <w:r>
              <w:rPr>
                <w:rFonts w:hint="eastAsia" w:ascii="宋体" w:hAnsi="宋体" w:eastAsia="宋体" w:cs="Calibri"/>
              </w:rPr>
              <w:t>口令长度、</w:t>
            </w:r>
            <w:r>
              <w:rPr>
                <w:rFonts w:ascii="宋体" w:hAnsi="宋体" w:eastAsia="宋体" w:cs="Calibri"/>
              </w:rPr>
              <w:t>复杂度</w:t>
            </w:r>
            <w:r>
              <w:rPr>
                <w:rFonts w:hint="eastAsia" w:ascii="宋体" w:hAnsi="宋体" w:eastAsia="宋体" w:cs="Calibri"/>
              </w:rPr>
              <w:t>、</w:t>
            </w:r>
            <w:r>
              <w:rPr>
                <w:rFonts w:ascii="宋体" w:hAnsi="宋体" w:eastAsia="宋体" w:cs="Calibri"/>
              </w:rPr>
              <w:t>定期</w:t>
            </w:r>
            <w:r>
              <w:rPr>
                <w:rFonts w:hint="eastAsia" w:ascii="宋体" w:hAnsi="宋体" w:eastAsia="宋体" w:cs="Calibri"/>
              </w:rPr>
              <w:t>更换、</w:t>
            </w:r>
            <w:r>
              <w:rPr>
                <w:rFonts w:ascii="宋体" w:hAnsi="宋体" w:eastAsia="宋体" w:cs="Calibri"/>
              </w:rPr>
              <w:t>登录</w:t>
            </w:r>
            <w:r>
              <w:rPr>
                <w:rFonts w:hint="eastAsia" w:ascii="宋体" w:hAnsi="宋体" w:eastAsia="宋体" w:cs="Calibri"/>
              </w:rPr>
              <w:t>失败、</w:t>
            </w:r>
            <w:r>
              <w:rPr>
                <w:rFonts w:ascii="宋体" w:hAnsi="宋体" w:eastAsia="宋体" w:cs="Calibri"/>
              </w:rPr>
              <w:t>锁定</w:t>
            </w:r>
            <w:r>
              <w:rPr>
                <w:rFonts w:hint="eastAsia" w:ascii="宋体" w:hAnsi="宋体" w:eastAsia="宋体" w:cs="Calibri"/>
              </w:rPr>
              <w:t>次数等；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对系统账户进行检查，可智能识别系统影子账户（隐藏账户）；</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查看系统是否开启系统审核、系统登录事件、审核账户登录事件等安全审计策略；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运行环境支持Windows XP、Windows7、Windows Server 2003、Windows Server 2008等操作系统类型；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主</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机</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病</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毒</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 xml:space="preserve">支持对操作系统的关键机制，如系统服务、内存、注册表、启动进程；检测操作系统的安全模型，包括访问控制、特权和审计；反馈系统安全配置、文件访问，驱动、引导系统深度进行检查； </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检查流氓软件、蠕虫病毒、</w:t>
            </w:r>
            <w:r>
              <w:rPr>
                <w:rFonts w:ascii="宋体" w:hAnsi="宋体" w:eastAsia="宋体" w:cs="Calibri"/>
              </w:rPr>
              <w:t>其它</w:t>
            </w:r>
            <w:r>
              <w:rPr>
                <w:rFonts w:hint="eastAsia" w:ascii="宋体" w:hAnsi="宋体" w:eastAsia="宋体" w:cs="Calibri"/>
              </w:rPr>
              <w:t>恶意程序等；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支持快速扫描、</w:t>
            </w:r>
            <w:r>
              <w:rPr>
                <w:rFonts w:ascii="宋体" w:hAnsi="宋体" w:eastAsia="宋体" w:cs="Calibri"/>
              </w:rPr>
              <w:t>全盘</w:t>
            </w:r>
            <w:r>
              <w:rPr>
                <w:rFonts w:hint="eastAsia" w:ascii="宋体" w:hAnsi="宋体" w:eastAsia="宋体" w:cs="Calibri"/>
              </w:rPr>
              <w:t>扫描、自定义目录扫描；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运行环境支持Windows XP、Windows7、Windows Server 2003、Windows Server 2008等操作系统类型；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主</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机</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木</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马</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支持检查系统中的木马程序、Rootkit、</w:t>
            </w:r>
            <w:r>
              <w:rPr>
                <w:rFonts w:ascii="宋体" w:hAnsi="宋体" w:eastAsia="宋体" w:cs="Calibri"/>
              </w:rPr>
              <w:t>间谍</w:t>
            </w:r>
            <w:r>
              <w:rPr>
                <w:rFonts w:hint="eastAsia" w:ascii="宋体" w:hAnsi="宋体" w:eastAsia="宋体" w:cs="Calibri"/>
              </w:rPr>
              <w:t>程序等；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提取操作系统的关键机制，如系统服务、内存、注册表、启动进程；检测操作系统的安全模型，包括访问控制、特权和审计；反馈系统安全配置、文件访问，驱动、引导等系统深度信息；</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支持快速扫描、</w:t>
            </w:r>
            <w:r>
              <w:rPr>
                <w:rFonts w:ascii="宋体" w:hAnsi="宋体" w:eastAsia="宋体" w:cs="Calibri"/>
              </w:rPr>
              <w:t>全盘</w:t>
            </w:r>
            <w:r>
              <w:rPr>
                <w:rFonts w:hint="eastAsia" w:ascii="宋体" w:hAnsi="宋体" w:eastAsia="宋体" w:cs="Calibri"/>
              </w:rPr>
              <w:t>扫描、自定义目录扫描；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运行环境支持Windows XP、Windows7、Windows Server 2003、Windows Server 2008等操作系统类型；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网站</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恶意</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代码</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支持asp、asa、cer、jsp、jspx、php等文件格式检查；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支持自定义文件后缀格式；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支持异性、变异WEBSHELL后门代码检查；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支持关键恶意特征码定位；</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支持快速扫描、全盘扫描、自定义路径扫描；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支持自定义扫描策略、可扩充恶意特征码；</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支持自定义文件大小扫描；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运行环境支持Windows XP、Windows7、Windows Server 2003、Windows Server 2008等操作系统类型；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587" w:type="dxa"/>
            <w:gridSpan w:val="5"/>
            <w:vAlign w:val="center"/>
          </w:tcPr>
          <w:p>
            <w:pPr>
              <w:pageBreakBefore w:val="0"/>
              <w:kinsoku/>
              <w:wordWrap/>
              <w:overflowPunct/>
              <w:topLinePunct w:val="0"/>
              <w:autoSpaceDE/>
              <w:autoSpaceDN/>
              <w:bidi w:val="0"/>
              <w:spacing w:line="560" w:lineRule="exact"/>
              <w:rPr>
                <w:rFonts w:ascii="宋体" w:hAnsi="宋体" w:eastAsia="宋体"/>
                <w:b/>
              </w:rPr>
            </w:pPr>
            <w:r>
              <w:rPr>
                <w:rFonts w:hint="eastAsia" w:ascii="宋体" w:hAnsi="宋体" w:eastAsia="宋体"/>
                <w:b/>
              </w:rPr>
              <w:t>等级保护工具箱配备在线检查工具集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L</w:t>
            </w:r>
            <w:r>
              <w:rPr>
                <w:rFonts w:ascii="宋体" w:hAnsi="宋体" w:eastAsia="宋体"/>
              </w:rPr>
              <w:t>inux</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主</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机</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安</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全</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配</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置</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支持检查主机系统配置信息，包括：计算机名、用户名、操作系统、版本、内存等；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支持检查系统安全补丁升级情况；</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w:t>
            </w:r>
            <w:r>
              <w:rPr>
                <w:rFonts w:ascii="宋体" w:hAnsi="宋体" w:eastAsia="宋体" w:cs="Calibri"/>
              </w:rPr>
              <w:t>不必要</w:t>
            </w:r>
            <w:r>
              <w:rPr>
                <w:rFonts w:hint="eastAsia" w:ascii="宋体" w:hAnsi="宋体" w:eastAsia="宋体" w:cs="Calibri"/>
              </w:rPr>
              <w:t>的服务和端口（如</w:t>
            </w:r>
            <w:r>
              <w:rPr>
                <w:rFonts w:ascii="宋体" w:hAnsi="宋体" w:eastAsia="宋体" w:cs="Calibri"/>
              </w:rPr>
              <w:t>TELNET</w:t>
            </w:r>
            <w:r>
              <w:rPr>
                <w:rFonts w:hint="eastAsia" w:ascii="宋体" w:hAnsi="宋体" w:eastAsia="宋体" w:cs="Calibri"/>
              </w:rPr>
              <w:t>、SSH、SNMP、HTTP等）；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支持检查账户安全策略信息，</w:t>
            </w:r>
            <w:r>
              <w:rPr>
                <w:rFonts w:ascii="宋体" w:hAnsi="宋体" w:eastAsia="宋体" w:cs="Calibri"/>
              </w:rPr>
              <w:t>包含</w:t>
            </w:r>
            <w:r>
              <w:rPr>
                <w:rFonts w:hint="eastAsia" w:ascii="宋体" w:hAnsi="宋体" w:eastAsia="宋体" w:cs="Calibri"/>
              </w:rPr>
              <w:t>口令长度、</w:t>
            </w:r>
            <w:r>
              <w:rPr>
                <w:rFonts w:ascii="宋体" w:hAnsi="宋体" w:eastAsia="宋体" w:cs="Calibri"/>
              </w:rPr>
              <w:t>复杂度</w:t>
            </w:r>
            <w:r>
              <w:rPr>
                <w:rFonts w:hint="eastAsia" w:ascii="宋体" w:hAnsi="宋体" w:eastAsia="宋体" w:cs="Calibri"/>
              </w:rPr>
              <w:t>、</w:t>
            </w:r>
            <w:r>
              <w:rPr>
                <w:rFonts w:ascii="宋体" w:hAnsi="宋体" w:eastAsia="宋体" w:cs="Calibri"/>
              </w:rPr>
              <w:t>定期</w:t>
            </w:r>
            <w:r>
              <w:rPr>
                <w:rFonts w:hint="eastAsia" w:ascii="宋体" w:hAnsi="宋体" w:eastAsia="宋体" w:cs="Calibri"/>
              </w:rPr>
              <w:t>更换、</w:t>
            </w:r>
            <w:r>
              <w:rPr>
                <w:rFonts w:ascii="宋体" w:hAnsi="宋体" w:eastAsia="宋体" w:cs="Calibri"/>
              </w:rPr>
              <w:t>登录</w:t>
            </w:r>
            <w:r>
              <w:rPr>
                <w:rFonts w:hint="eastAsia" w:ascii="宋体" w:hAnsi="宋体" w:eastAsia="宋体" w:cs="Calibri"/>
              </w:rPr>
              <w:t>失败、</w:t>
            </w:r>
            <w:r>
              <w:rPr>
                <w:rFonts w:ascii="宋体" w:hAnsi="宋体" w:eastAsia="宋体" w:cs="Calibri"/>
              </w:rPr>
              <w:t>锁定</w:t>
            </w:r>
            <w:r>
              <w:rPr>
                <w:rFonts w:hint="eastAsia" w:ascii="宋体" w:hAnsi="宋体" w:eastAsia="宋体" w:cs="Calibri"/>
              </w:rPr>
              <w:t>次数等；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支持SNMP、SSH服务、</w:t>
            </w:r>
            <w:r>
              <w:rPr>
                <w:rFonts w:ascii="宋体" w:hAnsi="宋体" w:eastAsia="宋体" w:cs="Calibri"/>
              </w:rPr>
              <w:t>版本</w:t>
            </w:r>
            <w:r>
              <w:rPr>
                <w:rFonts w:hint="eastAsia" w:ascii="宋体" w:hAnsi="宋体" w:eastAsia="宋体" w:cs="Calibri"/>
              </w:rPr>
              <w:t>信息检查；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支持检查安全审计配置情况、</w:t>
            </w:r>
            <w:r>
              <w:rPr>
                <w:rFonts w:ascii="宋体" w:hAnsi="宋体" w:eastAsia="宋体" w:cs="Calibri"/>
              </w:rPr>
              <w:t>包含</w:t>
            </w:r>
            <w:r>
              <w:rPr>
                <w:rFonts w:hint="eastAsia" w:ascii="宋体" w:hAnsi="宋体" w:eastAsia="宋体" w:cs="Calibri"/>
              </w:rPr>
              <w:t>事件类型；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支持检查屏幕保护恢复时间；</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w:t>
            </w:r>
            <w:r>
              <w:rPr>
                <w:rFonts w:ascii="宋体" w:hAnsi="宋体" w:eastAsia="宋体" w:cs="Calibri"/>
              </w:rPr>
              <w:t>RedHat</w:t>
            </w:r>
            <w:r>
              <w:rPr>
                <w:rFonts w:hint="eastAsia" w:ascii="宋体" w:hAnsi="宋体" w:eastAsia="宋体" w:cs="Calibri"/>
              </w:rPr>
              <w:t>、</w:t>
            </w:r>
            <w:r>
              <w:rPr>
                <w:rFonts w:ascii="宋体" w:hAnsi="宋体" w:eastAsia="宋体" w:cs="Calibri"/>
              </w:rPr>
              <w:t>Ubuntu</w:t>
            </w:r>
            <w:r>
              <w:rPr>
                <w:rFonts w:hint="eastAsia" w:ascii="宋体" w:hAnsi="宋体" w:eastAsia="宋体" w:cs="Calibri"/>
              </w:rPr>
              <w:t>、</w:t>
            </w:r>
            <w:r>
              <w:rPr>
                <w:rFonts w:ascii="宋体" w:hAnsi="宋体" w:eastAsia="宋体" w:cs="Calibri"/>
              </w:rPr>
              <w:t>Debian</w:t>
            </w:r>
            <w:r>
              <w:rPr>
                <w:rFonts w:hint="eastAsia" w:ascii="宋体" w:hAnsi="宋体" w:eastAsia="宋体" w:cs="Calibri"/>
              </w:rPr>
              <w:t>、</w:t>
            </w:r>
            <w:r>
              <w:rPr>
                <w:rFonts w:ascii="宋体" w:hAnsi="宋体" w:eastAsia="宋体" w:cs="Calibri"/>
              </w:rPr>
              <w:t>Fedora</w:t>
            </w:r>
            <w:r>
              <w:rPr>
                <w:rFonts w:hint="eastAsia" w:ascii="宋体" w:hAnsi="宋体" w:eastAsia="宋体" w:cs="Calibri"/>
              </w:rPr>
              <w:t>、S</w:t>
            </w:r>
            <w:r>
              <w:rPr>
                <w:rFonts w:ascii="宋体" w:hAnsi="宋体" w:eastAsia="宋体" w:cs="Calibri"/>
              </w:rPr>
              <w:t>use</w:t>
            </w:r>
            <w:r>
              <w:rPr>
                <w:rFonts w:hint="eastAsia" w:ascii="宋体" w:hAnsi="宋体" w:eastAsia="宋体" w:cs="Calibri"/>
              </w:rPr>
              <w:t>、Centos操作系统类型；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网</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络</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及</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安</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全</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设</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备</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配</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置</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支持对华三、</w:t>
            </w:r>
            <w:r>
              <w:rPr>
                <w:rFonts w:ascii="宋体" w:hAnsi="宋体" w:eastAsia="宋体" w:cs="Calibri"/>
              </w:rPr>
              <w:t>思科</w:t>
            </w:r>
            <w:r>
              <w:rPr>
                <w:rFonts w:hint="eastAsia" w:ascii="宋体" w:hAnsi="宋体" w:eastAsia="宋体" w:cs="Calibri"/>
              </w:rPr>
              <w:t>、</w:t>
            </w:r>
            <w:r>
              <w:rPr>
                <w:rFonts w:ascii="宋体" w:hAnsi="宋体" w:eastAsia="宋体" w:cs="Calibri"/>
              </w:rPr>
              <w:t>华为</w:t>
            </w:r>
            <w:r>
              <w:rPr>
                <w:rFonts w:hint="eastAsia" w:ascii="宋体" w:hAnsi="宋体" w:eastAsia="宋体" w:cs="Calibri"/>
              </w:rPr>
              <w:t>路由器、交换机通用系列网络设备安全分析检查；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支持对天融信、网神、启明星辰、网御星云、</w:t>
            </w:r>
            <w:r>
              <w:rPr>
                <w:rFonts w:ascii="宋体" w:hAnsi="宋体" w:eastAsia="宋体" w:cs="Calibri"/>
              </w:rPr>
              <w:t>Juniper</w:t>
            </w:r>
            <w:r>
              <w:rPr>
                <w:rFonts w:hint="eastAsia" w:ascii="宋体" w:hAnsi="宋体" w:eastAsia="宋体" w:cs="Calibri"/>
              </w:rPr>
              <w:t>防火墙通用系列设置安全分析检查；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支持检查账户安全策略信息，</w:t>
            </w:r>
            <w:r>
              <w:rPr>
                <w:rFonts w:ascii="宋体" w:hAnsi="宋体" w:eastAsia="宋体" w:cs="Calibri"/>
              </w:rPr>
              <w:t>包含</w:t>
            </w:r>
            <w:r>
              <w:rPr>
                <w:rFonts w:hint="eastAsia" w:ascii="宋体" w:hAnsi="宋体" w:eastAsia="宋体" w:cs="Calibri"/>
              </w:rPr>
              <w:t>口令长度、</w:t>
            </w:r>
            <w:r>
              <w:rPr>
                <w:rFonts w:ascii="宋体" w:hAnsi="宋体" w:eastAsia="宋体" w:cs="Calibri"/>
              </w:rPr>
              <w:t>复杂度</w:t>
            </w:r>
            <w:r>
              <w:rPr>
                <w:rFonts w:hint="eastAsia" w:ascii="宋体" w:hAnsi="宋体" w:eastAsia="宋体" w:cs="Calibri"/>
              </w:rPr>
              <w:t>、</w:t>
            </w:r>
            <w:r>
              <w:rPr>
                <w:rFonts w:ascii="宋体" w:hAnsi="宋体" w:eastAsia="宋体" w:cs="Calibri"/>
              </w:rPr>
              <w:t>定期</w:t>
            </w:r>
            <w:r>
              <w:rPr>
                <w:rFonts w:hint="eastAsia" w:ascii="宋体" w:hAnsi="宋体" w:eastAsia="宋体" w:cs="Calibri"/>
              </w:rPr>
              <w:t>更换、</w:t>
            </w:r>
            <w:r>
              <w:rPr>
                <w:rFonts w:ascii="宋体" w:hAnsi="宋体" w:eastAsia="宋体" w:cs="Calibri"/>
              </w:rPr>
              <w:t>登录</w:t>
            </w:r>
            <w:r>
              <w:rPr>
                <w:rFonts w:hint="eastAsia" w:ascii="宋体" w:hAnsi="宋体" w:eastAsia="宋体" w:cs="Calibri"/>
              </w:rPr>
              <w:t>失败、</w:t>
            </w:r>
            <w:r>
              <w:rPr>
                <w:rFonts w:ascii="宋体" w:hAnsi="宋体" w:eastAsia="宋体" w:cs="Calibri"/>
              </w:rPr>
              <w:t>锁定</w:t>
            </w:r>
            <w:r>
              <w:rPr>
                <w:rFonts w:hint="eastAsia" w:ascii="宋体" w:hAnsi="宋体" w:eastAsia="宋体" w:cs="Calibri"/>
              </w:rPr>
              <w:t>次数等；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支持检查安全审计策略，</w:t>
            </w:r>
            <w:r>
              <w:rPr>
                <w:rFonts w:ascii="宋体" w:hAnsi="宋体" w:eastAsia="宋体" w:cs="Calibri"/>
              </w:rPr>
              <w:t>包含</w:t>
            </w:r>
            <w:r>
              <w:rPr>
                <w:rFonts w:hint="eastAsia" w:ascii="宋体" w:hAnsi="宋体" w:eastAsia="宋体" w:cs="Calibri"/>
              </w:rPr>
              <w:t>事件类型、SYSLOG服务器；</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支持检查不必要的服务和端口（如</w:t>
            </w:r>
            <w:r>
              <w:rPr>
                <w:rFonts w:ascii="宋体" w:hAnsi="宋体" w:eastAsia="宋体" w:cs="Calibri"/>
              </w:rPr>
              <w:t>TELNET</w:t>
            </w:r>
            <w:r>
              <w:rPr>
                <w:rFonts w:hint="eastAsia" w:ascii="宋体" w:hAnsi="宋体" w:eastAsia="宋体" w:cs="Calibri"/>
              </w:rPr>
              <w:t>、FTP、SNMP、HTTP、S</w:t>
            </w:r>
            <w:r>
              <w:rPr>
                <w:rFonts w:ascii="宋体" w:hAnsi="宋体" w:eastAsia="宋体" w:cs="Calibri"/>
              </w:rPr>
              <w:t>endmail</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支持SNMP、SSH服务、</w:t>
            </w:r>
            <w:r>
              <w:rPr>
                <w:rFonts w:ascii="宋体" w:hAnsi="宋体" w:eastAsia="宋体" w:cs="Calibri"/>
              </w:rPr>
              <w:t>版本</w:t>
            </w:r>
            <w:r>
              <w:rPr>
                <w:rFonts w:hint="eastAsia" w:ascii="宋体" w:hAnsi="宋体" w:eastAsia="宋体" w:cs="Calibri"/>
              </w:rPr>
              <w:t>信息检查；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运行环境支持Windows XP、 Windows7、 Windows Server 2003、Windows Server 2008等操作系统类型；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弱</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口</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令</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应用服务</w:t>
            </w:r>
            <w:r>
              <w:rPr>
                <w:rFonts w:ascii="宋体" w:hAnsi="宋体" w:eastAsia="宋体" w:cs="Calibri"/>
              </w:rPr>
              <w:t>支持类型：</w:t>
            </w:r>
            <w:r>
              <w:rPr>
                <w:rFonts w:hint="eastAsia" w:ascii="宋体" w:hAnsi="宋体" w:eastAsia="宋体" w:cs="Calibri"/>
              </w:rPr>
              <w:t>SSH、S</w:t>
            </w:r>
            <w:r>
              <w:rPr>
                <w:rFonts w:ascii="宋体" w:hAnsi="宋体" w:eastAsia="宋体" w:cs="Calibri"/>
              </w:rPr>
              <w:t>MB</w:t>
            </w:r>
            <w:r>
              <w:rPr>
                <w:rFonts w:hint="eastAsia" w:ascii="宋体" w:hAnsi="宋体" w:eastAsia="宋体" w:cs="Calibri"/>
              </w:rPr>
              <w:t>、</w:t>
            </w:r>
            <w:r>
              <w:rPr>
                <w:rFonts w:ascii="宋体" w:hAnsi="宋体" w:eastAsia="宋体" w:cs="Calibri"/>
              </w:rPr>
              <w:t>TELNET</w:t>
            </w:r>
            <w:r>
              <w:rPr>
                <w:rFonts w:hint="eastAsia" w:ascii="宋体" w:hAnsi="宋体" w:eastAsia="宋体" w:cs="Calibri"/>
              </w:rPr>
              <w:t>、FTP、RDP、S</w:t>
            </w:r>
            <w:r>
              <w:rPr>
                <w:rFonts w:ascii="宋体" w:hAnsi="宋体" w:eastAsia="宋体" w:cs="Calibri"/>
              </w:rPr>
              <w:t>QL S</w:t>
            </w:r>
            <w:r>
              <w:rPr>
                <w:rFonts w:hint="eastAsia" w:ascii="宋体" w:hAnsi="宋体" w:eastAsia="宋体" w:cs="Calibri"/>
              </w:rPr>
              <w:t>erver、Oracle、M</w:t>
            </w:r>
            <w:r>
              <w:rPr>
                <w:rFonts w:ascii="宋体" w:hAnsi="宋体" w:eastAsia="宋体" w:cs="Calibri"/>
              </w:rPr>
              <w:t>ySQL</w:t>
            </w:r>
            <w:r>
              <w:rPr>
                <w:rFonts w:hint="eastAsia" w:ascii="宋体" w:hAnsi="宋体" w:eastAsia="宋体" w:cs="Calibri"/>
              </w:rPr>
              <w:t>、POP3等协议应用程序弱口令检查；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支持自定义</w:t>
            </w:r>
            <w:r>
              <w:rPr>
                <w:rFonts w:ascii="宋体" w:hAnsi="宋体" w:eastAsia="宋体" w:cs="Calibri"/>
              </w:rPr>
              <w:t>账户</w:t>
            </w:r>
            <w:r>
              <w:rPr>
                <w:rFonts w:hint="eastAsia" w:ascii="宋体" w:hAnsi="宋体" w:eastAsia="宋体" w:cs="Calibri"/>
              </w:rPr>
              <w:t>、</w:t>
            </w:r>
            <w:r>
              <w:rPr>
                <w:rFonts w:ascii="宋体" w:hAnsi="宋体" w:eastAsia="宋体" w:cs="Calibri"/>
              </w:rPr>
              <w:t>口令字典</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支持自定义应用协议TCP端口；</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内置常见弱口令字典（如口令为：123456、88888888、12345等</w:t>
            </w:r>
            <w:r>
              <w:rPr>
                <w:rFonts w:ascii="宋体" w:hAnsi="宋体" w:eastAsia="宋体" w:cs="Calibri"/>
              </w:rPr>
              <w:t>）</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支持本地</w:t>
            </w:r>
            <w:r>
              <w:rPr>
                <w:rFonts w:ascii="宋体" w:hAnsi="宋体" w:eastAsia="宋体" w:cs="Calibri"/>
              </w:rPr>
              <w:t>、远程</w:t>
            </w:r>
            <w:r>
              <w:rPr>
                <w:rFonts w:hint="eastAsia" w:ascii="宋体" w:hAnsi="宋体" w:eastAsia="宋体" w:cs="Calibri"/>
              </w:rPr>
              <w:t>主机及</w:t>
            </w:r>
            <w:r>
              <w:rPr>
                <w:rFonts w:ascii="宋体" w:hAnsi="宋体" w:eastAsia="宋体" w:cs="Calibri"/>
              </w:rPr>
              <w:t>多协议</w:t>
            </w:r>
            <w:r>
              <w:rPr>
                <w:rFonts w:hint="eastAsia" w:ascii="宋体" w:hAnsi="宋体" w:eastAsia="宋体" w:cs="Calibri"/>
              </w:rPr>
              <w:t>同时检查；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运行环境支持Windows XP、Windows7、Windows Server 2003、Windows Server 2008等操作系统类型；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数</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据</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库</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安</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全</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支持IPV6地址检查；</w:t>
            </w:r>
          </w:p>
          <w:p>
            <w:pPr>
              <w:pageBreakBefore w:val="0"/>
              <w:kinsoku/>
              <w:wordWrap/>
              <w:overflowPunct/>
              <w:topLinePunct w:val="0"/>
              <w:autoSpaceDE/>
              <w:autoSpaceDN/>
              <w:bidi w:val="0"/>
              <w:spacing w:line="560" w:lineRule="exact"/>
              <w:rPr>
                <w:rFonts w:ascii="宋体" w:hAnsi="宋体" w:eastAsia="宋体" w:cs="Calibri"/>
              </w:rPr>
            </w:pPr>
            <w:r>
              <w:rPr>
                <w:rFonts w:ascii="宋体" w:hAnsi="宋体" w:eastAsia="宋体" w:cs="Calibri"/>
              </w:rPr>
              <w:t>支持对数据库</w:t>
            </w:r>
            <w:r>
              <w:rPr>
                <w:rFonts w:hint="eastAsia" w:ascii="宋体" w:hAnsi="宋体" w:eastAsia="宋体" w:cs="Calibri"/>
              </w:rPr>
              <w:t>弱点、</w:t>
            </w:r>
            <w:r>
              <w:rPr>
                <w:rFonts w:ascii="宋体" w:hAnsi="宋体" w:eastAsia="宋体" w:cs="Calibri"/>
              </w:rPr>
              <w:t>不</w:t>
            </w:r>
            <w:r>
              <w:rPr>
                <w:rFonts w:hint="eastAsia" w:ascii="宋体" w:hAnsi="宋体" w:eastAsia="宋体" w:cs="Calibri"/>
              </w:rPr>
              <w:t>安全配置、安全策略、</w:t>
            </w:r>
            <w:r>
              <w:rPr>
                <w:rFonts w:ascii="宋体" w:hAnsi="宋体" w:eastAsia="宋体" w:cs="Calibri"/>
              </w:rPr>
              <w:t>补丁</w:t>
            </w:r>
            <w:r>
              <w:rPr>
                <w:rFonts w:hint="eastAsia" w:ascii="宋体" w:hAnsi="宋体" w:eastAsia="宋体" w:cs="Calibri"/>
              </w:rPr>
              <w:t>升级、弱口令安全检查；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支持主流</w:t>
            </w:r>
            <w:r>
              <w:rPr>
                <w:rFonts w:ascii="宋体" w:hAnsi="宋体" w:eastAsia="宋体" w:cs="Calibri"/>
              </w:rPr>
              <w:t>Oracle、SQL Server、DB2、Informix、MySQL</w:t>
            </w:r>
            <w:r>
              <w:rPr>
                <w:rFonts w:hint="eastAsia" w:ascii="宋体" w:hAnsi="宋体" w:eastAsia="宋体" w:cs="Calibri"/>
              </w:rPr>
              <w:t>、Sybase数据库类型；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支持授权扫描，使用具有DBA权限的数据库用户，执行选定的安全策略实现对目标数据库检查；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非授权扫描,采购人在没有授权的情况下（即：不需要数据库用户名、密码），根据选定的安全策略对目标数据库进行的检测；</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策略自定义,提供扫描策略可自定义模式，操作者可以灵活选择默认策略的同时也可以自定义添加策略；</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网</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站</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安</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全</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rPr>
              <w:t>具</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支持WEB 2.0，支持各类JavaScript脚本解析；</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支持WAP站点扫描；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支持FLASH解析；</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支持基于HTTPS应用系统的扫描；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支持实时存储扫描项目文件、断点续扫；</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支持ERP等复杂的W</w:t>
            </w:r>
            <w:r>
              <w:rPr>
                <w:rFonts w:ascii="宋体" w:hAnsi="宋体" w:eastAsia="宋体" w:cs="Calibri"/>
              </w:rPr>
              <w:t>eb</w:t>
            </w:r>
            <w:r>
              <w:rPr>
                <w:rFonts w:hint="eastAsia" w:ascii="宋体" w:hAnsi="宋体" w:eastAsia="宋体" w:cs="Calibri"/>
              </w:rPr>
              <w:t>应用系统扫描；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支持易通、织梦、、Discuz、Ecshop、易思、方欣、大汉、科讯、通达OA、PHPCMS、PHP168、PHPCMS2008、phpcms v9、SHOPEX、SiteServer</w:t>
            </w:r>
            <w:r>
              <w:rPr>
                <w:rFonts w:ascii="宋体" w:hAnsi="宋体" w:eastAsia="宋体" w:cs="Calibri"/>
              </w:rPr>
              <w:t xml:space="preserve"> CMS</w:t>
            </w:r>
            <w:r>
              <w:rPr>
                <w:rFonts w:hint="eastAsia" w:ascii="宋体" w:hAnsi="宋体" w:eastAsia="宋体" w:cs="Calibri"/>
              </w:rPr>
              <w:t>、TRS、 Nginx代码执行、Spring代码执行、亿邮邮件系统命令执行等</w:t>
            </w:r>
            <w:r>
              <w:rPr>
                <w:rFonts w:ascii="宋体" w:hAnsi="宋体" w:eastAsia="宋体" w:cs="Calibri"/>
              </w:rPr>
              <w:t>国内、国外知名WEB应用程序漏洞扫描</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w:t>
            </w:r>
            <w:r>
              <w:rPr>
                <w:rFonts w:ascii="宋体" w:hAnsi="宋体" w:eastAsia="宋体" w:cs="Calibri"/>
              </w:rPr>
              <w:t>JSP</w:t>
            </w:r>
            <w:r>
              <w:rPr>
                <w:rFonts w:hint="eastAsia" w:ascii="宋体" w:hAnsi="宋体" w:eastAsia="宋体" w:cs="Calibri"/>
              </w:rPr>
              <w:t>、</w:t>
            </w:r>
            <w:r>
              <w:rPr>
                <w:rFonts w:ascii="宋体" w:hAnsi="宋体" w:eastAsia="宋体" w:cs="Calibri"/>
              </w:rPr>
              <w:t>CGI</w:t>
            </w:r>
            <w:r>
              <w:rPr>
                <w:rFonts w:hint="eastAsia" w:ascii="宋体" w:hAnsi="宋体" w:eastAsia="宋体" w:cs="Calibri"/>
              </w:rPr>
              <w:t>、</w:t>
            </w:r>
            <w:r>
              <w:rPr>
                <w:rFonts w:ascii="宋体" w:hAnsi="宋体" w:eastAsia="宋体" w:cs="Calibri"/>
              </w:rPr>
              <w:t>ASP</w:t>
            </w:r>
            <w:r>
              <w:rPr>
                <w:rFonts w:hint="eastAsia" w:ascii="宋体" w:hAnsi="宋体" w:eastAsia="宋体" w:cs="Calibri"/>
              </w:rPr>
              <w:t>、.</w:t>
            </w:r>
            <w:r>
              <w:rPr>
                <w:rFonts w:ascii="宋体" w:hAnsi="宋体" w:eastAsia="宋体" w:cs="Calibri"/>
              </w:rPr>
              <w:t>NET</w:t>
            </w:r>
            <w:r>
              <w:rPr>
                <w:rFonts w:hint="eastAsia" w:ascii="宋体" w:hAnsi="宋体" w:eastAsia="宋体" w:cs="Calibri"/>
              </w:rPr>
              <w:t>等类型动态页面；</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支持IP地址、</w:t>
            </w:r>
            <w:r>
              <w:rPr>
                <w:rFonts w:ascii="宋体" w:hAnsi="宋体" w:eastAsia="宋体" w:cs="Calibri"/>
              </w:rPr>
              <w:t>域名</w:t>
            </w:r>
            <w:r>
              <w:rPr>
                <w:rFonts w:hint="eastAsia" w:ascii="宋体" w:hAnsi="宋体" w:eastAsia="宋体" w:cs="Calibri"/>
              </w:rPr>
              <w:t>地址、</w:t>
            </w:r>
            <w:r>
              <w:rPr>
                <w:rFonts w:ascii="宋体" w:hAnsi="宋体" w:eastAsia="宋体" w:cs="Calibri"/>
              </w:rPr>
              <w:t>批量</w:t>
            </w:r>
            <w:r>
              <w:rPr>
                <w:rFonts w:hint="eastAsia" w:ascii="宋体" w:hAnsi="宋体" w:eastAsia="宋体" w:cs="Calibri"/>
              </w:rPr>
              <w:t>网站扫描；</w:t>
            </w:r>
          </w:p>
          <w:p>
            <w:pPr>
              <w:pageBreakBefore w:val="0"/>
              <w:kinsoku/>
              <w:wordWrap/>
              <w:overflowPunct/>
              <w:topLinePunct w:val="0"/>
              <w:autoSpaceDE/>
              <w:autoSpaceDN/>
              <w:bidi w:val="0"/>
              <w:spacing w:line="560" w:lineRule="exact"/>
              <w:rPr>
                <w:rFonts w:ascii="宋体" w:hAnsi="宋体" w:eastAsia="宋体" w:cs="Calibri"/>
              </w:rPr>
            </w:pPr>
            <w:r>
              <w:rPr>
                <w:rFonts w:ascii="宋体" w:hAnsi="宋体" w:eastAsia="宋体" w:cs="Calibri"/>
              </w:rPr>
              <w:t>支持无人值守模式下的全自动扫描</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支持HTTP 1.0和1.1标准的Web应用系统；</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支持Oracle、</w:t>
            </w:r>
            <w:r>
              <w:rPr>
                <w:rFonts w:ascii="宋体" w:hAnsi="宋体" w:eastAsia="宋体" w:cs="Calibri"/>
              </w:rPr>
              <w:t>SQL Server</w:t>
            </w:r>
            <w:r>
              <w:rPr>
                <w:rFonts w:hint="eastAsia" w:ascii="宋体" w:hAnsi="宋体" w:eastAsia="宋体" w:cs="Calibri"/>
              </w:rPr>
              <w:t>、DB2、Informix、Sybase、</w:t>
            </w:r>
            <w:r>
              <w:rPr>
                <w:rFonts w:ascii="宋体" w:hAnsi="宋体" w:eastAsia="宋体" w:cs="Calibri"/>
              </w:rPr>
              <w:t>MySQL</w:t>
            </w:r>
            <w:r>
              <w:rPr>
                <w:rFonts w:hint="eastAsia" w:ascii="宋体" w:hAnsi="宋体" w:eastAsia="宋体" w:cs="Calibri"/>
              </w:rPr>
              <w:t>、PostgreSQL、Access、Ingres等后台</w:t>
            </w:r>
            <w:r>
              <w:rPr>
                <w:rFonts w:ascii="宋体" w:hAnsi="宋体" w:eastAsia="宋体" w:cs="Calibri"/>
              </w:rPr>
              <w:t>数据库类型</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w:t>
            </w:r>
            <w:r>
              <w:rPr>
                <w:rFonts w:ascii="宋体" w:hAnsi="宋体" w:eastAsia="宋体" w:cs="Calibri"/>
              </w:rPr>
              <w:t>对</w:t>
            </w:r>
            <w:r>
              <w:rPr>
                <w:rFonts w:hint="eastAsia" w:ascii="宋体" w:hAnsi="宋体" w:eastAsia="宋体" w:cs="Calibri"/>
              </w:rPr>
              <w:t>SQL注入、XSS跨站脚本、伪造跨站点请求、网页木马、隐藏字段、表单绕过、AJAX注入、弱配置、敏感信息泄漏、HI－JACK攻击、弱口令、Xpath注入、LDAP注入、框架注入、操作系统命令注入、Flash源代码泄漏、Flash跨域攻击、Cookies注入、敏感文件、第三方软件、其他各类CGI等漏洞进行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支持在线更新、离线升级。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系</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统</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漏</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洞</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检</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工</w:t>
            </w:r>
          </w:p>
          <w:p>
            <w:pPr>
              <w:pageBreakBefore w:val="0"/>
              <w:kinsoku/>
              <w:wordWrap/>
              <w:overflowPunct/>
              <w:topLinePunct w:val="0"/>
              <w:autoSpaceDE/>
              <w:autoSpaceDN/>
              <w:bidi w:val="0"/>
              <w:spacing w:line="560" w:lineRule="exact"/>
              <w:jc w:val="center"/>
              <w:rPr>
                <w:rFonts w:ascii="宋体" w:hAnsi="宋体" w:eastAsia="宋体"/>
              </w:rPr>
            </w:pPr>
            <w:r>
              <w:rPr>
                <w:rFonts w:hint="eastAsia" w:ascii="宋体" w:hAnsi="宋体" w:eastAsia="宋体"/>
              </w:rPr>
              <w:t>具</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支持对Microsoft Windows XP/2003/Vista/2008/7、Sun Solaris、HP Unix、IBM AIX、IRIX、Linux、BSD等操作系统进行漏洞扫描；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支持对Web、FTP、电子邮件等应用系统以及Office、Apache等常用软件进行漏洞扫描；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支持对网络设备进行漏洞扫描；</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支持多种扫描策略，包括常规完全扫描、高强度完全扫描、高强度扫描、中强度扫描、低强度扫描、Windows主机扫描、类Unix主机扫描等扫描策略，方便采购人快速选择；</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自动统计总体漏洞数量、统计不同操作系统类型的主机数量、统计所有开发端口、可用帐户、列出每一个漏洞所存在的主机、详细描述与修补建议。漏洞详细描述包括：漏洞名称、详述、修补方案、CVE/Bugtraq/CNCVE/CNNVD编号、CVSS评分等；</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支持在线、离线更新；</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支持导出Word、PDF常见格式报表。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1456"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运行安全</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不得改变检查对象当前配置；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Merge w:val="continue"/>
            <w:vAlign w:val="center"/>
          </w:tcPr>
          <w:p>
            <w:pPr>
              <w:pageBreakBefore w:val="0"/>
              <w:kinsoku/>
              <w:wordWrap/>
              <w:overflowPunct/>
              <w:topLinePunct w:val="0"/>
              <w:autoSpaceDE/>
              <w:autoSpaceDN/>
              <w:bidi w:val="0"/>
              <w:spacing w:line="560" w:lineRule="exact"/>
              <w:rPr>
                <w:rFonts w:ascii="宋体" w:hAnsi="宋体" w:eastAsia="宋体" w:cs="Calibri"/>
              </w:rPr>
            </w:pP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不影响检查对象正常运行；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456" w:type="dxa"/>
            <w:gridSpan w:val="2"/>
            <w:vMerge w:val="continue"/>
            <w:vAlign w:val="center"/>
          </w:tcPr>
          <w:p>
            <w:pPr>
              <w:pageBreakBefore w:val="0"/>
              <w:kinsoku/>
              <w:wordWrap/>
              <w:overflowPunct/>
              <w:topLinePunct w:val="0"/>
              <w:autoSpaceDE/>
              <w:autoSpaceDN/>
              <w:bidi w:val="0"/>
              <w:spacing w:line="560" w:lineRule="exact"/>
              <w:rPr>
                <w:rFonts w:ascii="宋体" w:hAnsi="宋体" w:eastAsia="宋体" w:cs="Calibri"/>
              </w:rPr>
            </w:pP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不影响检查对象所属网络正常运行；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456" w:type="dxa"/>
            <w:gridSpan w:val="2"/>
            <w:vMerge w:val="continue"/>
            <w:vAlign w:val="center"/>
          </w:tcPr>
          <w:p>
            <w:pPr>
              <w:pageBreakBefore w:val="0"/>
              <w:kinsoku/>
              <w:wordWrap/>
              <w:overflowPunct/>
              <w:topLinePunct w:val="0"/>
              <w:autoSpaceDE/>
              <w:autoSpaceDN/>
              <w:bidi w:val="0"/>
              <w:spacing w:line="560" w:lineRule="exact"/>
              <w:rPr>
                <w:rFonts w:ascii="宋体" w:hAnsi="宋体" w:eastAsia="宋体" w:cs="Calibri"/>
              </w:rPr>
            </w:pP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不在检查对象中遗留痕迹。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456"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数据安全</w:t>
            </w:r>
          </w:p>
        </w:tc>
        <w:tc>
          <w:tcPr>
            <w:tcW w:w="1895"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存储安全</w:t>
            </w:r>
          </w:p>
        </w:tc>
        <w:tc>
          <w:tcPr>
            <w:tcW w:w="5236" w:type="dxa"/>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U盘检查工具应对所有检查数据采用国产加密算法进行加密，防止监察数据被非法读取。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456"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Calibri"/>
              </w:rPr>
            </w:pPr>
          </w:p>
        </w:tc>
        <w:tc>
          <w:tcPr>
            <w:tcW w:w="1895" w:type="dxa"/>
            <w:gridSpan w:val="2"/>
            <w:vAlign w:val="center"/>
          </w:tcPr>
          <w:p>
            <w:pPr>
              <w:pageBreakBefore w:val="0"/>
              <w:kinsoku/>
              <w:wordWrap/>
              <w:overflowPunct/>
              <w:topLinePunct w:val="0"/>
              <w:autoSpaceDE/>
              <w:autoSpaceDN/>
              <w:bidi w:val="0"/>
              <w:spacing w:line="560" w:lineRule="exact"/>
              <w:jc w:val="center"/>
              <w:rPr>
                <w:rFonts w:ascii="宋体" w:hAnsi="宋体" w:eastAsia="宋体" w:cs="Calibri"/>
              </w:rPr>
            </w:pPr>
            <w:r>
              <w:rPr>
                <w:rFonts w:hint="eastAsia" w:ascii="宋体" w:hAnsi="宋体" w:eastAsia="宋体" w:cs="Calibri"/>
              </w:rPr>
              <w:t>痕迹安全</w:t>
            </w:r>
          </w:p>
        </w:tc>
        <w:tc>
          <w:tcPr>
            <w:tcW w:w="5236" w:type="dxa"/>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U盘检查工具应对所有检查数据采取痕迹消除措施，以防止信息泄露。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Merge w:val="restart"/>
            <w:vAlign w:val="center"/>
          </w:tcPr>
          <w:p>
            <w:pPr>
              <w:pageBreakBefore w:val="0"/>
              <w:kinsoku/>
              <w:wordWrap/>
              <w:overflowPunct/>
              <w:topLinePunct w:val="0"/>
              <w:autoSpaceDE/>
              <w:autoSpaceDN/>
              <w:bidi w:val="0"/>
              <w:spacing w:line="560" w:lineRule="exact"/>
              <w:jc w:val="center"/>
              <w:rPr>
                <w:rFonts w:ascii="宋体" w:hAnsi="宋体" w:eastAsia="宋体" w:cs="Tahoma"/>
                <w:b/>
              </w:rPr>
            </w:pPr>
            <w:r>
              <w:rPr>
                <w:rFonts w:hint="eastAsia" w:ascii="宋体" w:hAnsi="宋体" w:eastAsia="宋体" w:cs="Tahoma"/>
                <w:b/>
              </w:rPr>
              <w:t>安全性</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支持等级保护检查过程的采购人信息的安全保护，所有数据以加密方式存储传输。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Merge w:val="continue"/>
            <w:vAlign w:val="center"/>
          </w:tcPr>
          <w:p>
            <w:pPr>
              <w:pageBreakBefore w:val="0"/>
              <w:kinsoku/>
              <w:wordWrap/>
              <w:overflowPunct/>
              <w:topLinePunct w:val="0"/>
              <w:autoSpaceDE/>
              <w:autoSpaceDN/>
              <w:bidi w:val="0"/>
              <w:spacing w:line="560" w:lineRule="exact"/>
              <w:jc w:val="center"/>
              <w:rPr>
                <w:rFonts w:ascii="宋体" w:hAnsi="宋体" w:eastAsia="宋体" w:cs="Tahoma"/>
                <w:b/>
              </w:rPr>
            </w:pP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U盘自身具有病毒、木马程序免疫功能，防止病毒、木马程序感染U盘内文件。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报表中心</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支持生成信息系统检查任务报告、行业主管部门检查任务报告、备案单位任务报告、网站安全检查任务报告、自建检查任务报告；</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支持检查任务汇总、预览；</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支持对信息系统检查任务检查结果进行得分汇总，并以饼形图的方式进行展示；</w:t>
            </w:r>
          </w:p>
          <w:p>
            <w:pPr>
              <w:pageBreakBefore w:val="0"/>
              <w:kinsoku/>
              <w:wordWrap/>
              <w:overflowPunct/>
              <w:topLinePunct w:val="0"/>
              <w:autoSpaceDE/>
              <w:autoSpaceDN/>
              <w:bidi w:val="0"/>
              <w:spacing w:line="560" w:lineRule="exact"/>
              <w:rPr>
                <w:rFonts w:ascii="宋体" w:hAnsi="宋体" w:eastAsia="宋体" w:cs="Calibri"/>
              </w:rPr>
            </w:pPr>
            <w:r>
              <w:rPr>
                <w:rFonts w:ascii="宋体" w:hAnsi="宋体" w:eastAsia="宋体" w:cs="Calibri"/>
              </w:rPr>
              <w:t>支持生</w:t>
            </w:r>
            <w:r>
              <w:rPr>
                <w:rFonts w:hint="eastAsia" w:ascii="宋体" w:hAnsi="宋体" w:eastAsia="宋体" w:cs="Calibri"/>
              </w:rPr>
              <w:t>成等保测评报告、工具检测类型报表，等保测评报告采用最新的测评报告2015模板；</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w:t>
            </w:r>
            <w:r>
              <w:rPr>
                <w:rFonts w:ascii="宋体" w:hAnsi="宋体" w:eastAsia="宋体" w:cs="Calibri"/>
              </w:rPr>
              <w:t>WORD、HTML格式报表导出</w:t>
            </w:r>
            <w:r>
              <w:rPr>
                <w:rFonts w:hint="eastAsia" w:ascii="宋体" w:hAnsi="宋体" w:eastAsia="宋体" w:cs="Calibri"/>
              </w:rPr>
              <w:t>；</w:t>
            </w:r>
          </w:p>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支持下载自查表。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56" w:type="dxa"/>
            <w:gridSpan w:val="2"/>
            <w:vAlign w:val="center"/>
          </w:tcPr>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辅助</w:t>
            </w:r>
          </w:p>
          <w:p>
            <w:pPr>
              <w:pageBreakBefore w:val="0"/>
              <w:kinsoku/>
              <w:wordWrap/>
              <w:overflowPunct/>
              <w:topLinePunct w:val="0"/>
              <w:autoSpaceDE/>
              <w:autoSpaceDN/>
              <w:bidi w:val="0"/>
              <w:spacing w:line="560" w:lineRule="exact"/>
              <w:jc w:val="center"/>
              <w:rPr>
                <w:rFonts w:ascii="宋体" w:hAnsi="宋体" w:eastAsia="宋体"/>
                <w:b/>
              </w:rPr>
            </w:pPr>
            <w:r>
              <w:rPr>
                <w:rFonts w:hint="eastAsia" w:ascii="宋体" w:hAnsi="宋体" w:eastAsia="宋体"/>
                <w:b/>
              </w:rPr>
              <w:t>功能</w:t>
            </w:r>
          </w:p>
        </w:tc>
        <w:tc>
          <w:tcPr>
            <w:tcW w:w="7131" w:type="dxa"/>
            <w:gridSpan w:val="3"/>
            <w:vAlign w:val="center"/>
          </w:tcPr>
          <w:p>
            <w:pPr>
              <w:pageBreakBefore w:val="0"/>
              <w:kinsoku/>
              <w:wordWrap/>
              <w:overflowPunct/>
              <w:topLinePunct w:val="0"/>
              <w:autoSpaceDE/>
              <w:autoSpaceDN/>
              <w:bidi w:val="0"/>
              <w:spacing w:line="560" w:lineRule="exact"/>
              <w:rPr>
                <w:rFonts w:ascii="宋体" w:hAnsi="宋体" w:eastAsia="宋体" w:cs="Calibri"/>
              </w:rPr>
            </w:pPr>
            <w:r>
              <w:rPr>
                <w:rFonts w:hint="eastAsia" w:ascii="宋体" w:hAnsi="宋体" w:eastAsia="宋体" w:cs="Calibri"/>
              </w:rPr>
              <w:t>工具箱监察管理系统和U盘安全检查工具应提供软件截图工具，便于实时保存系统关键界面信息。</w:t>
            </w:r>
          </w:p>
        </w:tc>
      </w:tr>
    </w:tbl>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firstLine="562" w:firstLineChars="200"/>
        <w:rPr>
          <w:rFonts w:hint="eastAsia" w:ascii="宋体" w:hAnsi="宋体" w:eastAsia="宋体" w:cs="Times New Roman"/>
          <w:sz w:val="28"/>
          <w:szCs w:val="28"/>
          <w:lang w:val="en-US" w:eastAsia="zh-CN"/>
        </w:rPr>
      </w:pPr>
    </w:p>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firstLine="562" w:firstLineChars="200"/>
        <w:rPr>
          <w:rFonts w:ascii="宋体" w:hAnsi="宋体"/>
          <w:b/>
          <w:bCs/>
          <w:sz w:val="28"/>
          <w:szCs w:val="28"/>
          <w:lang w:val="hr-HR"/>
        </w:rPr>
      </w:pPr>
      <w:r>
        <w:rPr>
          <w:rFonts w:hint="eastAsia" w:ascii="宋体" w:hAnsi="宋体" w:eastAsia="宋体" w:cs="Times New Roman"/>
          <w:sz w:val="28"/>
          <w:szCs w:val="28"/>
          <w:lang w:val="en-US" w:eastAsia="zh-CN"/>
        </w:rPr>
        <w:t>6.2</w:t>
      </w:r>
      <w:r>
        <w:rPr>
          <w:rFonts w:hint="eastAsia" w:ascii="宋体" w:hAnsi="宋体"/>
          <w:b/>
          <w:bCs/>
          <w:sz w:val="28"/>
          <w:szCs w:val="28"/>
          <w:lang w:val="hr-HR"/>
        </w:rPr>
        <w:t>网络安全演练需求</w:t>
      </w:r>
    </w:p>
    <w:p>
      <w:pPr>
        <w:pStyle w:val="7"/>
        <w:keepNext w:val="0"/>
        <w:keepLines w:val="0"/>
        <w:pageBreakBefore w:val="0"/>
        <w:kinsoku/>
        <w:wordWrap/>
        <w:overflowPunct/>
        <w:topLinePunct w:val="0"/>
        <w:autoSpaceDE/>
        <w:autoSpaceDN/>
        <w:bidi w:val="0"/>
        <w:adjustRightInd/>
        <w:snapToGrid/>
        <w:spacing w:before="120" w:line="560" w:lineRule="exact"/>
        <w:ind w:firstLine="480"/>
        <w:rPr>
          <w:rFonts w:ascii="宋体" w:hAnsi="宋体"/>
          <w:sz w:val="28"/>
          <w:szCs w:val="28"/>
          <w:lang w:val="hr-HR"/>
        </w:rPr>
      </w:pPr>
      <w:r>
        <w:rPr>
          <w:rFonts w:hint="eastAsia" w:ascii="宋体" w:hAnsi="宋体"/>
          <w:sz w:val="28"/>
          <w:szCs w:val="28"/>
          <w:lang w:val="hr-HR"/>
        </w:rPr>
        <w:t>全年开展两次网络安全演练（第三季度、第四季度），具体需求如下：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left"/>
        <w:textAlignment w:val="center"/>
        <w:rPr>
          <w:rFonts w:hint="eastAsia" w:ascii="宋体" w:hAnsi="宋体" w:eastAsia="宋体" w:cs="Times New Roman"/>
          <w:kern w:val="2"/>
          <w:sz w:val="28"/>
          <w:szCs w:val="28"/>
          <w:lang w:val="hr-HR" w:eastAsia="zh-CN" w:bidi="ar-SA"/>
          <w14:ligatures w14:val="none"/>
        </w:rPr>
      </w:pPr>
      <w:r>
        <w:rPr>
          <w:rFonts w:hint="eastAsia" w:ascii="宋体" w:hAnsi="宋体" w:eastAsia="宋体" w:cs="Times New Roman"/>
          <w:kern w:val="2"/>
          <w:sz w:val="28"/>
          <w:szCs w:val="28"/>
          <w:lang w:val="en-US" w:eastAsia="zh-CN" w:bidi="ar-SA"/>
          <w14:ligatures w14:val="none"/>
        </w:rPr>
        <w:t xml:space="preserve">    （1）</w:t>
      </w:r>
      <w:r>
        <w:rPr>
          <w:rFonts w:hint="eastAsia" w:ascii="宋体" w:hAnsi="宋体" w:eastAsia="宋体" w:cs="Times New Roman"/>
          <w:kern w:val="2"/>
          <w:sz w:val="28"/>
          <w:szCs w:val="28"/>
          <w:lang w:val="hr-HR" w:eastAsia="zh-CN" w:bidi="ar-SA"/>
          <w14:ligatures w14:val="none"/>
        </w:rPr>
        <w:t>从以下网络安全事件场景中选取两种不同类型中的两个场景，以桌面模拟形式进行网络安全演练，模拟安全事件的发生及处置过程，完成判断、决策、处置等应急响应的流程，检验和提高相关人员的临场组织指挥、应急处置和后勤保障能力。具体网络安全事件场景如下：</w:t>
      </w:r>
    </w:p>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firstLine="562" w:firstLineChars="200"/>
        <w:rPr>
          <w:rFonts w:hint="eastAsia" w:ascii="宋体" w:hAnsi="宋体" w:eastAsia="宋体" w:cs="Times New Roman"/>
          <w:sz w:val="28"/>
          <w:szCs w:val="28"/>
          <w:lang w:val="en-US" w:eastAsia="zh-CN"/>
        </w:rPr>
      </w:pPr>
    </w:p>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firstLine="562" w:firstLineChars="200"/>
        <w:rPr>
          <w:rFonts w:hint="eastAsia" w:ascii="宋体" w:hAnsi="宋体" w:eastAsia="宋体" w:cs="Times New Roman"/>
          <w:sz w:val="28"/>
          <w:szCs w:val="28"/>
          <w:lang w:val="en-US" w:eastAsia="zh-CN"/>
        </w:rPr>
      </w:pPr>
    </w:p>
    <w:p>
      <w:pPr>
        <w:pStyle w:val="3"/>
        <w:keepNext w:val="0"/>
        <w:keepLines w:val="0"/>
        <w:pageBreakBefore w:val="0"/>
        <w:numPr>
          <w:ilvl w:val="0"/>
          <w:numId w:val="0"/>
        </w:numPr>
        <w:tabs>
          <w:tab w:val="left" w:pos="576"/>
        </w:tabs>
        <w:kinsoku/>
        <w:wordWrap/>
        <w:overflowPunct/>
        <w:topLinePunct w:val="0"/>
        <w:autoSpaceDE/>
        <w:autoSpaceDN/>
        <w:bidi w:val="0"/>
        <w:adjustRightInd/>
        <w:snapToGrid/>
        <w:spacing w:line="560" w:lineRule="exact"/>
        <w:ind w:leftChars="0" w:firstLine="562" w:firstLineChars="200"/>
        <w:rPr>
          <w:rFonts w:hint="eastAsia" w:ascii="宋体" w:hAnsi="宋体" w:eastAsia="宋体" w:cs="Times New Roman"/>
          <w:sz w:val="28"/>
          <w:szCs w:val="28"/>
          <w:lang w:val="en-US" w:eastAsia="zh-CN"/>
        </w:rPr>
      </w:pPr>
    </w:p>
    <w:p>
      <w:pPr>
        <w:rPr>
          <w:rFonts w:hint="eastAsia" w:ascii="宋体" w:hAnsi="宋体" w:eastAsia="宋体" w:cs="Times New Roman"/>
          <w:sz w:val="28"/>
          <w:szCs w:val="28"/>
          <w:lang w:val="en-US" w:eastAsia="zh-CN"/>
        </w:rPr>
      </w:pPr>
    </w:p>
    <w:p>
      <w:pPr>
        <w:pStyle w:val="13"/>
        <w:rPr>
          <w:rFonts w:hint="eastAsia"/>
          <w:lang w:val="en-US" w:eastAsia="zh-CN"/>
        </w:rPr>
      </w:pPr>
      <w:r>
        <w:rPr>
          <w:rFonts w:hint="eastAsia"/>
          <w:lang w:val="hr-HR" w:eastAsia="zh-CN"/>
        </w:rPr>
        <w:drawing>
          <wp:inline distT="0" distB="0" distL="114300" distR="114300">
            <wp:extent cx="5267960" cy="7813040"/>
            <wp:effectExtent l="0" t="0" r="8890" b="1651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5"/>
                    <a:stretch>
                      <a:fillRect/>
                    </a:stretch>
                  </pic:blipFill>
                  <pic:spPr>
                    <a:xfrm>
                      <a:off x="0" y="0"/>
                      <a:ext cx="5267960" cy="7813040"/>
                    </a:xfrm>
                    <a:prstGeom prst="rect">
                      <a:avLst/>
                    </a:prstGeom>
                  </pic:spPr>
                </pic:pic>
              </a:graphicData>
            </a:graphic>
          </wp:inline>
        </w:drawing>
      </w:r>
    </w:p>
    <w:p>
      <w:pPr>
        <w:rPr>
          <w:rFonts w:hint="eastAsia"/>
          <w:lang w:val="en-US" w:eastAsia="zh-CN"/>
        </w:rPr>
      </w:pPr>
    </w:p>
    <w:p>
      <w:pPr>
        <w:pStyle w:val="13"/>
        <w:rPr>
          <w:rFonts w:hint="eastAsia"/>
          <w:lang w:val="en-US" w:eastAsia="zh-CN"/>
        </w:rPr>
      </w:pPr>
    </w:p>
    <w:p>
      <w:pPr>
        <w:rPr>
          <w:rFonts w:hint="eastAsia"/>
          <w:lang w:val="hr-HR" w:eastAsia="zh-CN"/>
        </w:rPr>
      </w:pPr>
      <w:r>
        <w:rPr>
          <w:rFonts w:hint="eastAsia"/>
          <w:lang w:val="hr-HR" w:eastAsia="zh-CN"/>
        </w:rPr>
        <w:drawing>
          <wp:anchor distT="0" distB="0" distL="114300" distR="114300" simplePos="0" relativeHeight="251660288" behindDoc="1" locked="0" layoutInCell="1" allowOverlap="1">
            <wp:simplePos x="0" y="0"/>
            <wp:positionH relativeFrom="column">
              <wp:posOffset>323850</wp:posOffset>
            </wp:positionH>
            <wp:positionV relativeFrom="paragraph">
              <wp:posOffset>295275</wp:posOffset>
            </wp:positionV>
            <wp:extent cx="5396230" cy="4619625"/>
            <wp:effectExtent l="0" t="0" r="0" b="9525"/>
            <wp:wrapTight wrapText="bothSides">
              <wp:wrapPolygon>
                <wp:start x="0" y="0"/>
                <wp:lineTo x="0" y="21555"/>
                <wp:lineTo x="21503" y="21555"/>
                <wp:lineTo x="21503" y="0"/>
                <wp:lineTo x="0" y="0"/>
              </wp:wrapPolygon>
            </wp:wrapTight>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6"/>
                    <a:stretch>
                      <a:fillRect/>
                    </a:stretch>
                  </pic:blipFill>
                  <pic:spPr>
                    <a:xfrm>
                      <a:off x="0" y="0"/>
                      <a:ext cx="5396230" cy="4619625"/>
                    </a:xfrm>
                    <a:prstGeom prst="rect">
                      <a:avLst/>
                    </a:prstGeom>
                  </pic:spPr>
                </pic:pic>
              </a:graphicData>
            </a:graphic>
          </wp:anchor>
        </w:drawing>
      </w: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rPr>
      </w:pPr>
      <w:r>
        <w:rPr>
          <w:rFonts w:hint="eastAsia" w:ascii="宋体" w:hAnsi="宋体"/>
          <w:sz w:val="28"/>
          <w:szCs w:val="28"/>
          <w:lang w:val="hr-HR" w:eastAsia="zh-CN"/>
        </w:rPr>
        <w:t>（</w:t>
      </w:r>
      <w:r>
        <w:rPr>
          <w:rFonts w:hint="eastAsia" w:ascii="宋体" w:hAnsi="宋体"/>
          <w:sz w:val="28"/>
          <w:szCs w:val="28"/>
          <w:lang w:val="en-US" w:eastAsia="zh-CN"/>
        </w:rPr>
        <w:t>2</w:t>
      </w:r>
      <w:r>
        <w:rPr>
          <w:rFonts w:hint="eastAsia" w:ascii="宋体" w:hAnsi="宋体"/>
          <w:sz w:val="28"/>
          <w:szCs w:val="28"/>
          <w:lang w:val="hr-HR" w:eastAsia="zh-CN"/>
        </w:rPr>
        <w:t>）</w:t>
      </w:r>
      <w:r>
        <w:rPr>
          <w:rFonts w:hint="eastAsia" w:ascii="宋体" w:hAnsi="宋体"/>
          <w:sz w:val="28"/>
          <w:szCs w:val="28"/>
          <w:lang w:val="hr-HR"/>
        </w:rPr>
        <w:t>线下演练</w:t>
      </w:r>
      <w:r>
        <w:rPr>
          <w:rFonts w:hint="eastAsia" w:ascii="宋体" w:hAnsi="宋体"/>
          <w:sz w:val="28"/>
          <w:szCs w:val="28"/>
          <w:lang w:val="hr-HR" w:eastAsia="zh-CN"/>
        </w:rPr>
        <w:t>时间为2024年第三季度、第四季度各实施一次安全演练，</w:t>
      </w:r>
      <w:r>
        <w:rPr>
          <w:rFonts w:hint="eastAsia" w:ascii="宋体" w:hAnsi="宋体"/>
          <w:sz w:val="28"/>
          <w:szCs w:val="28"/>
          <w:lang w:val="hr-HR"/>
        </w:rPr>
        <w:t>每次演练2名或以上专家。</w:t>
      </w: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ascii="宋体" w:hAnsi="宋体"/>
          <w:sz w:val="28"/>
          <w:szCs w:val="28"/>
          <w:lang w:val="hr-HR" w:eastAsia="zh-CN"/>
        </w:rPr>
      </w:pPr>
      <w:r>
        <w:rPr>
          <w:rFonts w:hint="eastAsia" w:ascii="宋体" w:hAnsi="宋体"/>
          <w:sz w:val="28"/>
          <w:szCs w:val="28"/>
          <w:lang w:val="hr-HR" w:eastAsia="zh-CN"/>
        </w:rPr>
        <w:t>（</w:t>
      </w:r>
      <w:r>
        <w:rPr>
          <w:rFonts w:hint="eastAsia" w:ascii="宋体" w:hAnsi="宋体"/>
          <w:sz w:val="28"/>
          <w:szCs w:val="28"/>
          <w:lang w:val="en-US" w:eastAsia="zh-CN"/>
        </w:rPr>
        <w:t>3</w:t>
      </w:r>
      <w:r>
        <w:rPr>
          <w:rFonts w:hint="eastAsia" w:ascii="宋体" w:hAnsi="宋体"/>
          <w:sz w:val="28"/>
          <w:szCs w:val="28"/>
          <w:lang w:val="hr-HR" w:eastAsia="zh-CN"/>
        </w:rPr>
        <w:t>）演练内容应当贴合采购方环境实际，供应商应及时与采购方沟通，并在接到采购方演练需求时，准确无误制作演练方案，并在10天内提交演练方案给采购方，采购方有权要求供应商对演练内容进行修改直至符合演练需求。</w:t>
      </w:r>
    </w:p>
    <w:p>
      <w:pPr>
        <w:pStyle w:val="7"/>
        <w:keepNext w:val="0"/>
        <w:keepLines w:val="0"/>
        <w:pageBreakBefore w:val="0"/>
        <w:numPr>
          <w:ilvl w:val="0"/>
          <w:numId w:val="0"/>
        </w:numPr>
        <w:kinsoku/>
        <w:wordWrap/>
        <w:overflowPunct/>
        <w:topLinePunct w:val="0"/>
        <w:autoSpaceDE/>
        <w:autoSpaceDN/>
        <w:bidi w:val="0"/>
        <w:adjustRightInd/>
        <w:snapToGrid/>
        <w:spacing w:before="120" w:line="560" w:lineRule="exact"/>
        <w:ind w:leftChars="0"/>
        <w:rPr>
          <w:rFonts w:hint="eastAsia"/>
          <w:sz w:val="28"/>
          <w:szCs w:val="28"/>
          <w:lang w:val="hr-HR" w:eastAsia="zh-CN"/>
        </w:rPr>
      </w:pPr>
      <w:r>
        <w:rPr>
          <w:rFonts w:hint="eastAsia" w:ascii="宋体" w:hAnsi="宋体"/>
          <w:sz w:val="28"/>
          <w:szCs w:val="28"/>
          <w:lang w:val="hr-HR" w:eastAsia="zh-CN"/>
        </w:rPr>
        <w:t>（</w:t>
      </w:r>
      <w:r>
        <w:rPr>
          <w:rFonts w:hint="eastAsia" w:ascii="宋体" w:hAnsi="宋体"/>
          <w:sz w:val="28"/>
          <w:szCs w:val="28"/>
          <w:lang w:val="en-US" w:eastAsia="zh-CN"/>
        </w:rPr>
        <w:t>4</w:t>
      </w:r>
      <w:r>
        <w:rPr>
          <w:rFonts w:hint="eastAsia" w:ascii="宋体" w:hAnsi="宋体"/>
          <w:sz w:val="28"/>
          <w:szCs w:val="28"/>
          <w:lang w:val="hr-HR" w:eastAsia="zh-CN"/>
        </w:rPr>
        <w:t>）供应方应在演练前提供以上</w:t>
      </w:r>
      <w:r>
        <w:rPr>
          <w:rFonts w:hint="eastAsia" w:ascii="宋体" w:hAnsi="宋体"/>
          <w:sz w:val="28"/>
          <w:szCs w:val="28"/>
          <w:lang w:val="en-US" w:eastAsia="zh-CN"/>
        </w:rPr>
        <w:t>21种常见故障类型的应急处置预案，演练结束后，形成完整的演练报告并提交给采购方。</w:t>
      </w:r>
    </w:p>
    <w:p>
      <w:pPr>
        <w:pStyle w:val="3"/>
        <w:keepNext/>
        <w:keepLines/>
        <w:pageBreakBefore w:val="0"/>
        <w:kinsoku/>
        <w:wordWrap/>
        <w:overflowPunct/>
        <w:topLinePunct w:val="0"/>
        <w:autoSpaceDE/>
        <w:autoSpaceDN/>
        <w:bidi w:val="0"/>
        <w:spacing w:line="560" w:lineRule="exact"/>
        <w:ind w:left="0" w:leftChars="0" w:firstLine="0" w:firstLineChars="0"/>
        <w:rPr>
          <w:rFonts w:hint="eastAsia" w:ascii="宋体" w:hAnsi="宋体" w:cs="仿宋"/>
          <w:sz w:val="28"/>
          <w:szCs w:val="28"/>
          <w:lang w:val="en-US" w:eastAsia="zh-CN"/>
        </w:rPr>
      </w:pPr>
      <w:r>
        <w:rPr>
          <w:rFonts w:hint="eastAsia" w:ascii="宋体" w:hAnsi="宋体" w:cs="仿宋"/>
          <w:sz w:val="28"/>
          <w:szCs w:val="28"/>
          <w:lang w:val="en-US" w:eastAsia="zh-CN"/>
        </w:rPr>
        <w:t xml:space="preserve">6.3网络安全培训要求 </w:t>
      </w:r>
    </w:p>
    <w:p>
      <w:pPr>
        <w:pStyle w:val="7"/>
        <w:keepNext w:val="0"/>
        <w:keepLines w:val="0"/>
        <w:pageBreakBefore w:val="0"/>
        <w:kinsoku/>
        <w:wordWrap/>
        <w:overflowPunct/>
        <w:topLinePunct w:val="0"/>
        <w:autoSpaceDE/>
        <w:autoSpaceDN/>
        <w:bidi w:val="0"/>
        <w:adjustRightInd/>
        <w:snapToGrid/>
        <w:spacing w:before="120" w:line="560" w:lineRule="exact"/>
        <w:ind w:left="0" w:leftChars="0" w:firstLine="562" w:firstLineChars="200"/>
        <w:rPr>
          <w:rFonts w:hint="eastAsia" w:ascii="宋体" w:hAnsi="宋体" w:cs="Times New Roman"/>
          <w:b/>
          <w:bCs/>
          <w:sz w:val="28"/>
          <w:szCs w:val="28"/>
          <w:lang w:val="en-US" w:eastAsia="zh-CN"/>
        </w:rPr>
      </w:pPr>
      <w:r>
        <w:rPr>
          <w:rFonts w:hint="eastAsia" w:ascii="宋体" w:hAnsi="宋体" w:cs="Times New Roman"/>
          <w:b/>
          <w:bCs/>
          <w:sz w:val="28"/>
          <w:szCs w:val="28"/>
          <w:lang w:val="en-US" w:eastAsia="zh-CN"/>
        </w:rPr>
        <w:t>6.3.1网络安全培训内容</w:t>
      </w:r>
    </w:p>
    <w:p>
      <w:pPr>
        <w:pStyle w:val="7"/>
        <w:keepNext w:val="0"/>
        <w:keepLines w:val="0"/>
        <w:pageBreakBefore w:val="0"/>
        <w:kinsoku/>
        <w:wordWrap/>
        <w:overflowPunct/>
        <w:topLinePunct w:val="0"/>
        <w:autoSpaceDE/>
        <w:autoSpaceDN/>
        <w:bidi w:val="0"/>
        <w:adjustRightInd/>
        <w:snapToGrid/>
        <w:spacing w:before="120" w:line="560" w:lineRule="exact"/>
        <w:ind w:firstLine="560" w:firstLineChars="200"/>
        <w:rPr>
          <w:rFonts w:hint="default" w:ascii="宋体" w:hAnsi="宋体" w:eastAsia="宋体" w:cs="Times New Roman"/>
          <w:kern w:val="2"/>
          <w:sz w:val="28"/>
          <w:szCs w:val="28"/>
          <w:lang w:val="en-US" w:eastAsia="zh-CN" w:bidi="ar-SA"/>
          <w14:ligatures w14:val="none"/>
        </w:rPr>
      </w:pPr>
      <w:r>
        <w:rPr>
          <w:rFonts w:hint="default" w:ascii="宋体" w:hAnsi="宋体" w:eastAsia="宋体" w:cs="Times New Roman"/>
          <w:kern w:val="2"/>
          <w:sz w:val="28"/>
          <w:szCs w:val="28"/>
          <w:lang w:val="en-US" w:eastAsia="zh-CN" w:bidi="ar-SA"/>
          <w14:ligatures w14:val="none"/>
        </w:rPr>
        <w:t>培训内容包括网络安全意识，网络安全基础知识，前沿网络安全知识，网络安全隐患，安全上网建议等切实贴合监狱警察职工工作实际的网络安全内容。</w:t>
      </w:r>
    </w:p>
    <w:p>
      <w:pPr>
        <w:pageBreakBefore w:val="0"/>
        <w:kinsoku/>
        <w:wordWrap/>
        <w:overflowPunct/>
        <w:topLinePunct w:val="0"/>
        <w:autoSpaceDE/>
        <w:autoSpaceDN/>
        <w:bidi w:val="0"/>
        <w:spacing w:line="560" w:lineRule="exact"/>
        <w:ind w:firstLine="562" w:firstLineChars="200"/>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6.3.2 网络安全培训时间与服务周期</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网络安全培训服务周期为签订合同后3个月内实施完毕，</w:t>
      </w:r>
      <w:r>
        <w:rPr>
          <w:rFonts w:hint="eastAsia" w:ascii="宋体" w:hAnsi="宋体" w:cs="Times New Roman"/>
          <w:kern w:val="2"/>
          <w:sz w:val="28"/>
          <w:szCs w:val="28"/>
          <w:lang w:val="en-US" w:eastAsia="zh-CN" w:bidi="ar-SA"/>
          <w14:ligatures w14:val="none"/>
        </w:rPr>
        <w:t>提供培训课件给采购方，提前与采购方沟通授课内容及授课事宜，</w:t>
      </w:r>
      <w:r>
        <w:rPr>
          <w:rFonts w:hint="eastAsia" w:ascii="宋体" w:hAnsi="宋体" w:eastAsia="宋体" w:cs="Times New Roman"/>
          <w:kern w:val="2"/>
          <w:sz w:val="28"/>
          <w:szCs w:val="28"/>
          <w:lang w:val="en-US" w:eastAsia="zh-CN" w:bidi="ar-SA"/>
          <w14:ligatures w14:val="none"/>
        </w:rPr>
        <w:t>两</w:t>
      </w:r>
      <w:r>
        <w:rPr>
          <w:rFonts w:hint="eastAsia" w:ascii="宋体" w:hAnsi="宋体" w:cs="Times New Roman"/>
          <w:kern w:val="2"/>
          <w:sz w:val="28"/>
          <w:szCs w:val="28"/>
          <w:lang w:val="en-US" w:eastAsia="zh-CN" w:bidi="ar-SA"/>
          <w14:ligatures w14:val="none"/>
        </w:rPr>
        <w:t>场</w:t>
      </w:r>
      <w:r>
        <w:rPr>
          <w:rFonts w:hint="eastAsia" w:ascii="宋体" w:hAnsi="宋体" w:eastAsia="宋体" w:cs="Times New Roman"/>
          <w:kern w:val="2"/>
          <w:sz w:val="28"/>
          <w:szCs w:val="28"/>
          <w:lang w:val="en-US" w:eastAsia="zh-CN" w:bidi="ar-SA"/>
          <w14:ligatures w14:val="none"/>
        </w:rPr>
        <w:t>次网络安全培训具体培训时间以采购方要求为准，两场次</w:t>
      </w:r>
      <w:r>
        <w:rPr>
          <w:rFonts w:hint="eastAsia" w:ascii="宋体" w:hAnsi="宋体" w:cs="Times New Roman"/>
          <w:kern w:val="2"/>
          <w:sz w:val="28"/>
          <w:szCs w:val="28"/>
          <w:lang w:val="en-US" w:eastAsia="zh-CN" w:bidi="ar-SA"/>
          <w14:ligatures w14:val="none"/>
        </w:rPr>
        <w:t>培训</w:t>
      </w:r>
      <w:r>
        <w:rPr>
          <w:rFonts w:hint="eastAsia" w:ascii="宋体" w:hAnsi="宋体" w:eastAsia="宋体" w:cs="Times New Roman"/>
          <w:kern w:val="2"/>
          <w:sz w:val="28"/>
          <w:szCs w:val="28"/>
          <w:lang w:val="en-US" w:eastAsia="zh-CN" w:bidi="ar-SA"/>
          <w14:ligatures w14:val="none"/>
        </w:rPr>
        <w:t>不在同一工作日且每场次时长不少于3.5小时，培训完成即视为完成网络安全培训服务。</w:t>
      </w:r>
    </w:p>
    <w:p>
      <w:pPr>
        <w:pStyle w:val="7"/>
        <w:pageBreakBefore w:val="0"/>
        <w:kinsoku/>
        <w:wordWrap/>
        <w:overflowPunct/>
        <w:topLinePunct w:val="0"/>
        <w:autoSpaceDE/>
        <w:autoSpaceDN/>
        <w:bidi w:val="0"/>
        <w:spacing w:line="560" w:lineRule="exact"/>
        <w:ind w:left="0" w:leftChars="0" w:firstLine="0" w:firstLineChars="0"/>
        <w:rPr>
          <w:rFonts w:hint="eastAsia" w:ascii="宋体" w:hAnsi="宋体" w:cs="Times New Roman"/>
          <w:b/>
          <w:bCs/>
          <w:kern w:val="2"/>
          <w:sz w:val="28"/>
          <w:szCs w:val="28"/>
          <w:lang w:val="en-US" w:eastAsia="zh-CN" w:bidi="ar-SA"/>
          <w14:ligatures w14:val="none"/>
        </w:rPr>
      </w:pPr>
      <w:r>
        <w:rPr>
          <w:rFonts w:hint="eastAsia" w:ascii="宋体" w:hAnsi="宋体" w:cs="Times New Roman"/>
          <w:b/>
          <w:bCs/>
          <w:kern w:val="2"/>
          <w:sz w:val="28"/>
          <w:szCs w:val="28"/>
          <w:lang w:val="en-US" w:eastAsia="zh-CN" w:bidi="ar-SA"/>
          <w14:ligatures w14:val="none"/>
        </w:rPr>
        <w:t>6.4 中心机房安全巡检要求</w:t>
      </w:r>
    </w:p>
    <w:p>
      <w:pPr>
        <w:pageBreakBefore w:val="0"/>
        <w:kinsoku/>
        <w:wordWrap/>
        <w:overflowPunct/>
        <w:topLinePunct w:val="0"/>
        <w:autoSpaceDE/>
        <w:autoSpaceDN/>
        <w:bidi w:val="0"/>
        <w:spacing w:line="560" w:lineRule="exact"/>
        <w:ind w:firstLine="562" w:firstLineChars="200"/>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6.4.1中心机房安全巡检内容</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供应方对监狱中心机房进行全面巡检，包括机房运行环境、网络环境、硬件配置的检查，以及对操作系统日志的检查与分析，根据系统的报错信息，发现系统潜在的问题，对排查出的故障隐患和安全漏洞，提供解决措施及方案。巡检人员对以上的巡查过程，形成机房巡检记录表</w:t>
      </w:r>
      <w:r>
        <w:rPr>
          <w:rFonts w:hint="eastAsia" w:ascii="宋体" w:hAnsi="宋体" w:cs="Times New Roman"/>
          <w:kern w:val="2"/>
          <w:sz w:val="28"/>
          <w:szCs w:val="28"/>
          <w:lang w:val="en-US" w:eastAsia="zh-CN" w:bidi="ar-SA"/>
          <w14:ligatures w14:val="none"/>
        </w:rPr>
        <w:t>，形成机房巡检报告、整改建议并提供给采购方</w:t>
      </w:r>
      <w:r>
        <w:rPr>
          <w:rFonts w:hint="eastAsia" w:ascii="宋体" w:hAnsi="宋体" w:eastAsia="宋体" w:cs="Times New Roman"/>
          <w:kern w:val="2"/>
          <w:sz w:val="28"/>
          <w:szCs w:val="28"/>
          <w:lang w:val="en-US" w:eastAsia="zh-CN" w:bidi="ar-SA"/>
          <w14:ligatures w14:val="none"/>
        </w:rPr>
        <w:t>。</w:t>
      </w:r>
    </w:p>
    <w:p>
      <w:pPr>
        <w:pStyle w:val="7"/>
        <w:pageBreakBefore w:val="0"/>
        <w:kinsoku/>
        <w:wordWrap/>
        <w:overflowPunct/>
        <w:topLinePunct w:val="0"/>
        <w:autoSpaceDE/>
        <w:autoSpaceDN/>
        <w:bidi w:val="0"/>
        <w:spacing w:line="560" w:lineRule="exact"/>
        <w:ind w:left="0" w:leftChars="0" w:firstLine="562" w:firstLineChars="200"/>
        <w:rPr>
          <w:rFonts w:hint="eastAsia" w:ascii="宋体" w:hAnsi="宋体" w:cs="Times New Roman"/>
          <w:b/>
          <w:bCs/>
          <w:kern w:val="2"/>
          <w:sz w:val="28"/>
          <w:szCs w:val="28"/>
          <w:lang w:val="en-US" w:eastAsia="zh-CN" w:bidi="ar-SA"/>
          <w14:ligatures w14:val="none"/>
        </w:rPr>
      </w:pPr>
      <w:r>
        <w:rPr>
          <w:rFonts w:hint="eastAsia" w:ascii="宋体" w:hAnsi="宋体" w:cs="Times New Roman"/>
          <w:b/>
          <w:bCs/>
          <w:kern w:val="2"/>
          <w:sz w:val="28"/>
          <w:szCs w:val="28"/>
          <w:lang w:val="en-US" w:eastAsia="zh-CN" w:bidi="ar-SA"/>
          <w14:ligatures w14:val="none"/>
        </w:rPr>
        <w:t>6.4.2中心机房安全巡检过程</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对监狱中心机房核心设备如交换机、路由器、服务器、存储阵列、网络及安全、综合布线、各应用系统等，包括硬件设备的检查，运行环境、硬件配置的检查，以及对系统日志的检查与分析、性能调优、故障隐患排除等，并填写设备巡检记录表。</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562" w:firstLineChars="200"/>
        <w:textAlignment w:val="auto"/>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6.4.3中心机房安全巡检服务周期</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default"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中心机房安全巡检周期</w:t>
      </w:r>
      <w:r>
        <w:rPr>
          <w:rFonts w:hint="default" w:ascii="宋体" w:hAnsi="宋体" w:eastAsia="宋体" w:cs="Times New Roman"/>
          <w:kern w:val="2"/>
          <w:sz w:val="28"/>
          <w:szCs w:val="28"/>
          <w:lang w:val="en-US" w:eastAsia="zh-CN" w:bidi="ar-SA"/>
          <w14:ligatures w14:val="none"/>
        </w:rPr>
        <w:t>以</w:t>
      </w:r>
      <w:r>
        <w:rPr>
          <w:rFonts w:hint="eastAsia" w:ascii="宋体" w:hAnsi="宋体" w:eastAsia="宋体" w:cs="Times New Roman"/>
          <w:kern w:val="2"/>
          <w:sz w:val="28"/>
          <w:szCs w:val="28"/>
          <w:lang w:val="en-US" w:eastAsia="zh-CN" w:bidi="ar-SA"/>
          <w14:ligatures w14:val="none"/>
        </w:rPr>
        <w:t>签订合同后12个月内实施完毕，采取每季度至少全面巡检监狱中心机房1次（含1次），共4次以上（包含4次）的全面巡检服务</w:t>
      </w:r>
      <w:r>
        <w:rPr>
          <w:rFonts w:hint="default" w:ascii="宋体" w:hAnsi="宋体" w:eastAsia="宋体" w:cs="Times New Roman"/>
          <w:kern w:val="2"/>
          <w:sz w:val="28"/>
          <w:szCs w:val="28"/>
          <w:lang w:val="en-US" w:eastAsia="zh-CN" w:bidi="ar-SA"/>
          <w14:ligatures w14:val="none"/>
        </w:rPr>
        <w:t>。</w:t>
      </w:r>
    </w:p>
    <w:p>
      <w:pPr>
        <w:pStyle w:val="7"/>
        <w:keepNext w:val="0"/>
        <w:keepLines w:val="0"/>
        <w:pageBreakBefore w:val="0"/>
        <w:kinsoku/>
        <w:wordWrap/>
        <w:overflowPunct/>
        <w:topLinePunct w:val="0"/>
        <w:autoSpaceDE/>
        <w:autoSpaceDN/>
        <w:bidi w:val="0"/>
        <w:spacing w:line="560" w:lineRule="exact"/>
        <w:ind w:left="0" w:leftChars="0" w:firstLine="0" w:firstLineChars="0"/>
        <w:rPr>
          <w:rFonts w:hint="eastAsia" w:ascii="仿宋_GB2312" w:hAnsi="仿宋_GB2312" w:eastAsia="仿宋_GB2312" w:cs="仿宋_GB2312"/>
          <w:b/>
          <w:bCs/>
          <w:sz w:val="28"/>
          <w:szCs w:val="28"/>
          <w:lang w:eastAsia="zh-CN"/>
        </w:rPr>
      </w:pPr>
      <w:r>
        <w:rPr>
          <w:rFonts w:hint="eastAsia" w:ascii="宋体" w:hAnsi="宋体" w:cs="Times New Roman"/>
          <w:b/>
          <w:bCs/>
          <w:kern w:val="2"/>
          <w:sz w:val="28"/>
          <w:szCs w:val="28"/>
          <w:lang w:val="en-US" w:eastAsia="zh-CN" w:bidi="ar-SA"/>
          <w14:ligatures w14:val="none"/>
        </w:rPr>
        <w:t>6.5网络安全事件应急处置。</w:t>
      </w:r>
    </w:p>
    <w:p>
      <w:pPr>
        <w:pStyle w:val="7"/>
        <w:keepNext w:val="0"/>
        <w:keepLines w:val="0"/>
        <w:pageBreakBefore w:val="0"/>
        <w:kinsoku/>
        <w:wordWrap/>
        <w:overflowPunct/>
        <w:topLinePunct w:val="0"/>
        <w:autoSpaceDE/>
        <w:autoSpaceDN/>
        <w:bidi w:val="0"/>
        <w:spacing w:line="560" w:lineRule="exact"/>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为保障监狱网络安全，提高监狱发生突发网络安全事件时处理突发事件的能力，增强处置突发事件的力量。供应方需按照要求，提供专家现场协助监狱信息技术部门处理监狱突发网络安全事件。</w:t>
      </w:r>
    </w:p>
    <w:p>
      <w:pPr>
        <w:pStyle w:val="7"/>
        <w:keepNext w:val="0"/>
        <w:keepLines w:val="0"/>
        <w:pageBreakBefore w:val="0"/>
        <w:kinsoku/>
        <w:wordWrap/>
        <w:overflowPunct/>
        <w:topLinePunct w:val="0"/>
        <w:autoSpaceDE/>
        <w:autoSpaceDN/>
        <w:bidi w:val="0"/>
        <w:spacing w:line="560" w:lineRule="exact"/>
        <w:ind w:left="0" w:leftChars="0" w:firstLine="562" w:firstLineChars="200"/>
        <w:textAlignment w:val="auto"/>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6.5.1网络安全事件应急处置过程</w:t>
      </w:r>
    </w:p>
    <w:p>
      <w:pPr>
        <w:pStyle w:val="7"/>
        <w:keepNext w:val="0"/>
        <w:keepLines w:val="0"/>
        <w:pageBreakBefore w:val="0"/>
        <w:numPr>
          <w:ilvl w:val="0"/>
          <w:numId w:val="2"/>
        </w:numPr>
        <w:kinsoku/>
        <w:wordWrap/>
        <w:overflowPunct/>
        <w:topLinePunct w:val="0"/>
        <w:autoSpaceDE/>
        <w:autoSpaceDN/>
        <w:bidi w:val="0"/>
        <w:spacing w:line="560" w:lineRule="exact"/>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供应方在接到监狱发生二级网络安全事件（网络中断或间断时间在2-3小时，或者系统数据部分损坏、丢失，可以通过备份进行恢复。例如：某服务器被入侵后，数据被删除，被删除数据有备份）寻求技术支撑时，2名或以上具有网络中级职称或以上的专家8小时内到达现场，并提供可行性解决问题方案或技术提交给采购方；</w:t>
      </w:r>
    </w:p>
    <w:p>
      <w:pPr>
        <w:pStyle w:val="7"/>
        <w:keepNext w:val="0"/>
        <w:keepLines w:val="0"/>
        <w:pageBreakBefore w:val="0"/>
        <w:numPr>
          <w:ilvl w:val="0"/>
          <w:numId w:val="0"/>
        </w:numPr>
        <w:kinsoku/>
        <w:wordWrap/>
        <w:overflowPunct/>
        <w:topLinePunct w:val="0"/>
        <w:autoSpaceDE/>
        <w:autoSpaceDN/>
        <w:bidi w:val="0"/>
        <w:spacing w:line="560" w:lineRule="exact"/>
        <w:ind w:firstLine="560" w:firstLineChars="200"/>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b）供应方在接到监狱发生一级网络安全事件（网络中断或间断时间在4小时以上，或者系统数据损坏、丢失，并且无法 恢复，或者重要数据泄露，或者系统、网络被破坏，在60分钟内无法恢复）寻求技术支撑时，2名或以上专家（其中1名必须为高级职称专家，1名或以上为中级职称或以上专家）4小时内到达现场，并提供可行性解决问题方案或技术提交给采购方；</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c）在网络安全事件处理完毕后形成总结评估报告，包括安全事件发生的原因、事件规模、应急处理手段、处理的效果、事件的调查结果以及对后续风险进行评估并提出改进意见。</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562" w:firstLineChars="200"/>
        <w:textAlignment w:val="auto"/>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6.5.2网络安全事件应急处置周期</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网络安全事件应急处置周期</w:t>
      </w:r>
      <w:r>
        <w:rPr>
          <w:rFonts w:hint="default" w:ascii="宋体" w:hAnsi="宋体" w:eastAsia="宋体" w:cs="Times New Roman"/>
          <w:kern w:val="2"/>
          <w:sz w:val="28"/>
          <w:szCs w:val="28"/>
          <w:lang w:val="en-US" w:eastAsia="zh-CN" w:bidi="ar-SA"/>
          <w14:ligatures w14:val="none"/>
        </w:rPr>
        <w:t>以合同签订之日为服务起始时间，服务期为1</w:t>
      </w:r>
      <w:r>
        <w:rPr>
          <w:rFonts w:hint="eastAsia" w:ascii="宋体" w:hAnsi="宋体" w:eastAsia="宋体" w:cs="Times New Roman"/>
          <w:kern w:val="2"/>
          <w:sz w:val="28"/>
          <w:szCs w:val="28"/>
          <w:lang w:val="en-US" w:eastAsia="zh-CN" w:bidi="ar-SA"/>
          <w14:ligatures w14:val="none"/>
        </w:rPr>
        <w:t>2</w:t>
      </w:r>
      <w:r>
        <w:rPr>
          <w:rFonts w:hint="default" w:ascii="宋体" w:hAnsi="宋体" w:eastAsia="宋体" w:cs="Times New Roman"/>
          <w:kern w:val="2"/>
          <w:sz w:val="28"/>
          <w:szCs w:val="28"/>
          <w:lang w:val="en-US" w:eastAsia="zh-CN" w:bidi="ar-SA"/>
          <w14:ligatures w14:val="none"/>
        </w:rPr>
        <w:t>个月。</w:t>
      </w:r>
    </w:p>
    <w:p>
      <w:pPr>
        <w:pStyle w:val="2"/>
        <w:keepNext/>
        <w:keepLines/>
        <w:pageBreakBefore w:val="0"/>
        <w:numPr>
          <w:ilvl w:val="0"/>
          <w:numId w:val="3"/>
        </w:numPr>
        <w:kinsoku/>
        <w:wordWrap/>
        <w:overflowPunct/>
        <w:topLinePunct w:val="0"/>
        <w:autoSpaceDE/>
        <w:autoSpaceDN/>
        <w:bidi w:val="0"/>
        <w:spacing w:line="560" w:lineRule="exact"/>
        <w:ind w:leftChars="0"/>
        <w:rPr>
          <w:rFonts w:hint="eastAsia" w:ascii="宋体" w:hAnsi="宋体" w:cstheme="minorBidi"/>
          <w:kern w:val="44"/>
          <w:sz w:val="28"/>
          <w:szCs w:val="28"/>
          <w:lang w:val="en-US" w:eastAsia="zh-CN"/>
        </w:rPr>
      </w:pPr>
      <w:r>
        <w:rPr>
          <w:rFonts w:hint="eastAsia" w:ascii="宋体" w:hAnsi="宋体" w:cstheme="minorBidi"/>
          <w:kern w:val="44"/>
          <w:sz w:val="28"/>
          <w:szCs w:val="28"/>
          <w:lang w:val="en-US" w:eastAsia="zh-CN"/>
        </w:rPr>
        <w:t>服务团队要求</w:t>
      </w:r>
    </w:p>
    <w:p>
      <w:pPr>
        <w:rPr>
          <w:rFonts w:hint="default"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本项目服务团队人员资质证明材料（盖章版），均在确定中标方后，中标方于中标后10个工作日内提供给采购方核验。</w:t>
      </w:r>
    </w:p>
    <w:p>
      <w:pPr>
        <w:pageBreakBefore w:val="0"/>
        <w:kinsoku/>
        <w:wordWrap/>
        <w:overflowPunct/>
        <w:topLinePunct w:val="0"/>
        <w:autoSpaceDE/>
        <w:autoSpaceDN/>
        <w:bidi w:val="0"/>
        <w:spacing w:line="560" w:lineRule="exact"/>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7.1等保测评人员要求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hr-HR" w:eastAsia="zh-CN"/>
        </w:rPr>
      </w:pPr>
      <w:r>
        <w:rPr>
          <w:rFonts w:hint="eastAsia" w:ascii="宋体" w:hAnsi="宋体" w:eastAsia="宋体" w:cs="Times New Roman"/>
          <w:sz w:val="28"/>
          <w:szCs w:val="28"/>
          <w:lang w:val="hr-HR" w:eastAsia="zh-CN"/>
        </w:rPr>
        <w:t>供应商需要成立不少于5人的项目服务团队，供应商为本项目配备的至少</w:t>
      </w:r>
      <w:r>
        <w:rPr>
          <w:rFonts w:hint="eastAsia" w:ascii="宋体" w:hAnsi="宋体" w:eastAsia="宋体" w:cs="Times New Roman"/>
          <w:sz w:val="28"/>
          <w:szCs w:val="28"/>
          <w:lang w:val="en-US" w:eastAsia="zh-CN"/>
        </w:rPr>
        <w:t>1名（包含1名）</w:t>
      </w:r>
      <w:r>
        <w:rPr>
          <w:rFonts w:hint="eastAsia" w:ascii="宋体" w:hAnsi="宋体" w:eastAsia="宋体" w:cs="Times New Roman"/>
          <w:sz w:val="28"/>
          <w:szCs w:val="28"/>
          <w:lang w:val="hr-HR" w:eastAsia="zh-CN"/>
        </w:rPr>
        <w:t>项目经理需同时具备信息安全等级保护高级测评师、公安部信息安全等级保护评估中心颁发的重要信息系统保护人员（CIIPT）证书、中国信息安全测评中心颁发的注册信息安全专业人员（CISP）证书、ISACA认证中心颁发的国际信息系统审计师（CISA）证书。</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hr-HR" w:eastAsia="zh-CN"/>
        </w:rPr>
        <w:t>本项目配备的至少</w:t>
      </w:r>
      <w:r>
        <w:rPr>
          <w:rFonts w:hint="eastAsia" w:ascii="宋体" w:hAnsi="宋体" w:eastAsia="宋体" w:cs="Times New Roman"/>
          <w:sz w:val="28"/>
          <w:szCs w:val="28"/>
          <w:lang w:val="en-US" w:eastAsia="zh-CN"/>
        </w:rPr>
        <w:t>4名（包含4名）</w:t>
      </w:r>
      <w:r>
        <w:rPr>
          <w:rFonts w:hint="eastAsia" w:ascii="宋体" w:hAnsi="宋体" w:eastAsia="宋体" w:cs="Times New Roman"/>
          <w:sz w:val="28"/>
          <w:szCs w:val="28"/>
          <w:lang w:val="hr-HR" w:eastAsia="zh-CN"/>
        </w:rPr>
        <w:t>技术人员具有公安部信息安全等级保护评估中心的信息安全等级测评师证书、具备中国信息安全测评中心颁发的注册信息安全专业人员（CISP）证书、中国网络安全审查技术与认证中心颁发的信息安全保障人员认证（CISAW）证书。</w:t>
      </w:r>
      <w:r>
        <w:rPr>
          <w:rFonts w:hint="eastAsia" w:ascii="宋体" w:hAnsi="宋体" w:eastAsia="宋体" w:cs="Times New Roman"/>
          <w:sz w:val="28"/>
          <w:szCs w:val="28"/>
          <w:lang w:val="en-US" w:eastAsia="zh-CN"/>
        </w:rPr>
        <w:t>均为中标单位正式工作人员，</w:t>
      </w:r>
      <w:r>
        <w:rPr>
          <w:rFonts w:hint="eastAsia" w:ascii="宋体" w:hAnsi="宋体" w:eastAsia="宋体" w:cs="Times New Roman"/>
          <w:sz w:val="28"/>
          <w:szCs w:val="28"/>
          <w:lang w:val="hr-HR" w:eastAsia="zh-CN"/>
        </w:rPr>
        <w:t>均需提供资格证书证明材料及近半年内人员在本单位购买社保证明。</w:t>
      </w:r>
    </w:p>
    <w:p>
      <w:pPr>
        <w:pageBreakBefore w:val="0"/>
        <w:kinsoku/>
        <w:wordWrap/>
        <w:overflowPunct/>
        <w:topLinePunct w:val="0"/>
        <w:autoSpaceDE/>
        <w:autoSpaceDN/>
        <w:bidi w:val="0"/>
        <w:spacing w:line="560" w:lineRule="exact"/>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7.2网络安全演练人员要求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网络安全演练实施过程要求专家为具有工业和信息化部颁发的计算机类人员中级或以上（含中级）资质，均为中标单位正式工作人员，提供近半年内人员在本单位购买社保资料证明。</w:t>
      </w:r>
    </w:p>
    <w:p>
      <w:pPr>
        <w:pStyle w:val="7"/>
        <w:pageBreakBefore w:val="0"/>
        <w:kinsoku/>
        <w:wordWrap/>
        <w:overflowPunct/>
        <w:topLinePunct w:val="0"/>
        <w:autoSpaceDE/>
        <w:autoSpaceDN/>
        <w:bidi w:val="0"/>
        <w:spacing w:line="560" w:lineRule="exact"/>
        <w:ind w:left="0" w:leftChars="0" w:firstLine="0" w:firstLineChars="0"/>
        <w:rPr>
          <w:rFonts w:hint="eastAsia" w:ascii="宋体" w:hAnsi="宋体" w:eastAsia="宋体" w:cs="Times New Roman"/>
          <w:b/>
          <w:bCs/>
          <w:kern w:val="2"/>
          <w:sz w:val="28"/>
          <w:szCs w:val="28"/>
          <w:lang w:val="hr-HR" w:eastAsia="zh-CN" w:bidi="ar-SA"/>
          <w14:ligatures w14:val="none"/>
        </w:rPr>
      </w:pPr>
      <w:r>
        <w:rPr>
          <w:rFonts w:hint="eastAsia" w:ascii="宋体" w:hAnsi="宋体" w:eastAsia="宋体" w:cs="Times New Roman"/>
          <w:b/>
          <w:bCs/>
          <w:kern w:val="2"/>
          <w:sz w:val="28"/>
          <w:szCs w:val="28"/>
          <w:lang w:val="en-US" w:eastAsia="zh-CN" w:bidi="ar-SA"/>
          <w14:ligatures w14:val="none"/>
        </w:rPr>
        <w:t>7.3</w:t>
      </w:r>
      <w:r>
        <w:rPr>
          <w:rFonts w:hint="eastAsia" w:ascii="宋体" w:hAnsi="宋体" w:eastAsia="宋体" w:cs="Times New Roman"/>
          <w:b/>
          <w:bCs/>
          <w:kern w:val="2"/>
          <w:sz w:val="28"/>
          <w:szCs w:val="28"/>
          <w:lang w:val="hr-HR" w:eastAsia="zh-CN" w:bidi="ar-SA"/>
          <w14:ligatures w14:val="none"/>
        </w:rPr>
        <w:t>网络安全培训人员要求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hr-HR" w:eastAsia="zh-CN"/>
        </w:rPr>
      </w:pPr>
      <w:r>
        <w:rPr>
          <w:rFonts w:hint="eastAsia" w:ascii="宋体" w:hAnsi="宋体" w:eastAsia="宋体" w:cs="Times New Roman"/>
          <w:sz w:val="28"/>
          <w:szCs w:val="28"/>
          <w:lang w:val="hr-HR" w:eastAsia="zh-CN"/>
        </w:rPr>
        <w:t>网络安全培训实施过程所要求专家为具有工业和信息化部颁发的计算机类人员中级或以上（含中级）资质，</w:t>
      </w:r>
      <w:r>
        <w:rPr>
          <w:rFonts w:hint="eastAsia" w:ascii="宋体" w:hAnsi="宋体" w:eastAsia="宋体" w:cs="Times New Roman"/>
          <w:sz w:val="28"/>
          <w:szCs w:val="28"/>
          <w:lang w:val="en-US" w:eastAsia="zh-CN"/>
        </w:rPr>
        <w:t>均为中标单位正式工作人员，提供近半年内人员在本单位购买社保资料证明。</w:t>
      </w:r>
    </w:p>
    <w:p>
      <w:pPr>
        <w:pStyle w:val="7"/>
        <w:pageBreakBefore w:val="0"/>
        <w:kinsoku/>
        <w:wordWrap/>
        <w:overflowPunct/>
        <w:topLinePunct w:val="0"/>
        <w:autoSpaceDE/>
        <w:autoSpaceDN/>
        <w:bidi w:val="0"/>
        <w:spacing w:line="560" w:lineRule="exact"/>
        <w:ind w:left="0" w:leftChars="0" w:firstLine="0" w:firstLineChars="0"/>
        <w:rPr>
          <w:rFonts w:hint="eastAsia" w:ascii="宋体" w:hAnsi="宋体" w:eastAsia="宋体" w:cs="Times New Roman"/>
          <w:b/>
          <w:bCs/>
          <w:kern w:val="2"/>
          <w:sz w:val="28"/>
          <w:szCs w:val="28"/>
          <w:lang w:val="hr-HR" w:eastAsia="zh-CN" w:bidi="ar-SA"/>
          <w14:ligatures w14:val="none"/>
        </w:rPr>
      </w:pPr>
      <w:r>
        <w:rPr>
          <w:rFonts w:hint="eastAsia" w:ascii="宋体" w:hAnsi="宋体" w:eastAsia="宋体" w:cs="Times New Roman"/>
          <w:b/>
          <w:bCs/>
          <w:kern w:val="2"/>
          <w:sz w:val="28"/>
          <w:szCs w:val="28"/>
          <w:lang w:val="en-US" w:eastAsia="zh-CN" w:bidi="ar-SA"/>
          <w14:ligatures w14:val="none"/>
        </w:rPr>
        <w:t>7.4</w:t>
      </w:r>
      <w:r>
        <w:rPr>
          <w:rFonts w:hint="eastAsia" w:ascii="宋体" w:hAnsi="宋体" w:eastAsia="宋体" w:cs="Times New Roman"/>
          <w:b/>
          <w:bCs/>
          <w:kern w:val="2"/>
          <w:sz w:val="28"/>
          <w:szCs w:val="28"/>
          <w:lang w:val="hr-HR" w:eastAsia="zh-CN" w:bidi="ar-SA"/>
          <w14:ligatures w14:val="none"/>
        </w:rPr>
        <w:t>中心机房巡检人员要求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hr-HR" w:eastAsia="zh-CN"/>
        </w:rPr>
      </w:pPr>
      <w:r>
        <w:rPr>
          <w:rFonts w:hint="eastAsia" w:ascii="宋体" w:hAnsi="宋体" w:eastAsia="宋体" w:cs="Times New Roman"/>
          <w:sz w:val="28"/>
          <w:szCs w:val="28"/>
          <w:lang w:val="hr-HR" w:eastAsia="zh-CN"/>
        </w:rPr>
        <w:t>中心机房巡检过程要求供应方安排机房巡检技术人员为该单位在册员工（以社保缴纳证明为认定依据）。必须要具有一定的专业素养，熟悉机房管理规范流程，具备丰富的机房管理运维能力，对主流数据库及存储有丰富维护经验，熟悉国产主流厂家网络及安全设备的管理维护，具备数据包分析和网络安全防护能力，具备管理和维护服务器和磁盘阵列等硬件和软件系统，解决应用系统故障和问题，对服务器系统进行必要的配置和变更，部署、管理虚拟化平台，对业务系统数据进行完整性、安全性保护，熟悉PC技术原理和整体架构、常用操作系统及软件，有视频监控、对讲报警、门禁、广播等安防系统的维护经验和能力。</w:t>
      </w:r>
    </w:p>
    <w:p>
      <w:pPr>
        <w:pStyle w:val="7"/>
        <w:pageBreakBefore w:val="0"/>
        <w:kinsoku/>
        <w:wordWrap/>
        <w:overflowPunct/>
        <w:topLinePunct w:val="0"/>
        <w:autoSpaceDE/>
        <w:autoSpaceDN/>
        <w:bidi w:val="0"/>
        <w:spacing w:line="560" w:lineRule="exact"/>
        <w:ind w:left="0" w:leftChars="0" w:firstLine="0" w:firstLineChars="0"/>
        <w:rPr>
          <w:rFonts w:hint="eastAsia" w:ascii="宋体" w:hAnsi="宋体" w:eastAsia="宋体" w:cs="Times New Roman"/>
          <w:b/>
          <w:bCs/>
          <w:kern w:val="2"/>
          <w:sz w:val="28"/>
          <w:szCs w:val="28"/>
          <w:lang w:val="hr-HR" w:eastAsia="zh-CN" w:bidi="ar-SA"/>
          <w14:ligatures w14:val="none"/>
        </w:rPr>
      </w:pPr>
      <w:r>
        <w:rPr>
          <w:rFonts w:hint="eastAsia" w:ascii="宋体" w:hAnsi="宋体" w:eastAsia="宋体" w:cs="Times New Roman"/>
          <w:b/>
          <w:bCs/>
          <w:kern w:val="2"/>
          <w:sz w:val="28"/>
          <w:szCs w:val="28"/>
          <w:lang w:val="en-US" w:eastAsia="zh-CN" w:bidi="ar-SA"/>
          <w14:ligatures w14:val="none"/>
        </w:rPr>
        <w:t>7.5</w:t>
      </w:r>
      <w:r>
        <w:rPr>
          <w:rFonts w:hint="eastAsia" w:ascii="宋体" w:hAnsi="宋体" w:eastAsia="宋体" w:cs="Times New Roman"/>
          <w:b/>
          <w:bCs/>
          <w:kern w:val="2"/>
          <w:sz w:val="28"/>
          <w:szCs w:val="28"/>
          <w:lang w:val="hr-HR" w:eastAsia="zh-CN" w:bidi="ar-SA"/>
          <w14:ligatures w14:val="none"/>
        </w:rPr>
        <w:t>应急处置实施人员要求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hr-HR" w:eastAsia="zh-CN"/>
        </w:rPr>
        <w:t>应急处置过程要求</w:t>
      </w:r>
      <w:r>
        <w:rPr>
          <w:rFonts w:hint="eastAsia" w:ascii="宋体" w:hAnsi="宋体" w:eastAsia="宋体" w:cs="Times New Roman"/>
          <w:sz w:val="28"/>
          <w:szCs w:val="28"/>
          <w:lang w:val="en-US" w:eastAsia="zh-CN"/>
        </w:rPr>
        <w:t>监狱发生二级网络安全事件时，2名或以上具有网络中级职称或以上的专家为具有工业和信息化部颁发的计算机类人员中级或以上（含中级）资质，均为中标单位正式工作人员，提供本公司社保资料证明（提供证明材料）；发生一级网络安全事件时，2名或以上专家中1名为具有工业和信息化部颁发的计算机类人员高级职称资质，1名为具有中级或以上（含中级）资质，均为中标单位正式工作人员，提供近半年内人员在本单位购买社保资料证明。</w:t>
      </w:r>
    </w:p>
    <w:p>
      <w:pPr>
        <w:pStyle w:val="7"/>
        <w:pageBreakBefore w:val="0"/>
        <w:kinsoku/>
        <w:wordWrap/>
        <w:overflowPunct/>
        <w:topLinePunct w:val="0"/>
        <w:autoSpaceDE/>
        <w:autoSpaceDN/>
        <w:bidi w:val="0"/>
        <w:spacing w:line="560" w:lineRule="exact"/>
        <w:ind w:left="0" w:leftChars="0" w:firstLine="0" w:firstLineChars="0"/>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7.6其他要求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供应商必须保证从事本项目工作的相关人员具备完成合同规定的工作所需的资历和技能，并向采购人如实提供相关人员专业经验和水平的证明材料。</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投标人须承诺，如在项目实际执行过程中发生项目经理不能按采购文件要求胜任相关工作的，采购人有权要求更换项目经理，投标人须在两周内调整为符合采购文件要求且能胜任相关工作的项目经理并到位开展工作，否则采购人有权终止合同并报相关管理部门进行处理。投标人承诺的项目经理和开发实施的主要人员未经用户同意不得调整；投标人如中途更换项目经理和主要开发技术人员，应征得用户同意，否则采购人有权终止合同。</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服务商应指派固定的团队为本项目提供专业服务。如须调整服务团队成员，须书面向采购人提出申请，说明申请理由，经采购人书面同意方可调整团队人员，调入人员的资历和从业经验不低于调出人员，否则视为违约行为，采购人有权终止服务合同。</w:t>
      </w:r>
    </w:p>
    <w:p>
      <w:pPr>
        <w:pStyle w:val="2"/>
        <w:keepNext/>
        <w:keepLines/>
        <w:pageBreakBefore w:val="0"/>
        <w:numPr>
          <w:ilvl w:val="0"/>
          <w:numId w:val="0"/>
        </w:numPr>
        <w:kinsoku/>
        <w:wordWrap/>
        <w:overflowPunct/>
        <w:topLinePunct w:val="0"/>
        <w:autoSpaceDE/>
        <w:autoSpaceDN/>
        <w:bidi w:val="0"/>
        <w:spacing w:line="560" w:lineRule="exact"/>
        <w:ind w:leftChars="0"/>
        <w:rPr>
          <w:rFonts w:ascii="宋体" w:hAnsi="宋体" w:cstheme="minorBidi"/>
          <w:kern w:val="44"/>
          <w:sz w:val="28"/>
          <w:szCs w:val="28"/>
        </w:rPr>
      </w:pPr>
      <w:r>
        <w:rPr>
          <w:rFonts w:hint="eastAsia" w:ascii="宋体" w:hAnsi="宋体" w:cstheme="minorBidi"/>
          <w:kern w:val="44"/>
          <w:sz w:val="28"/>
          <w:szCs w:val="28"/>
          <w:lang w:val="en-US" w:eastAsia="zh-CN"/>
        </w:rPr>
        <w:t>8.</w:t>
      </w:r>
      <w:r>
        <w:rPr>
          <w:rFonts w:hint="eastAsia" w:ascii="宋体" w:hAnsi="宋体" w:cstheme="minorBidi"/>
          <w:kern w:val="44"/>
          <w:sz w:val="28"/>
          <w:szCs w:val="28"/>
        </w:rPr>
        <w:t>报价要求</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8.1本次预算价为40.7万元，控制价为40.7万元，报价金额需以预算价为基数报具体金额，并不得超过控制价，报价须包含完成本项工作的全部费用。</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8.2定标原则为最低价中标。</w:t>
      </w:r>
    </w:p>
    <w:p>
      <w:pPr>
        <w:pageBreakBefore w:val="0"/>
        <w:kinsoku/>
        <w:wordWrap/>
        <w:overflowPunct/>
        <w:topLinePunct w:val="0"/>
        <w:autoSpaceDE/>
        <w:autoSpaceDN/>
        <w:bidi w:val="0"/>
        <w:spacing w:line="560" w:lineRule="exact"/>
        <w:ind w:firstLine="560" w:firstLineChars="200"/>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注:所有文件需盖公章。</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9.保密要求</w:t>
      </w:r>
    </w:p>
    <w:p>
      <w:pPr>
        <w:pageBreakBefore w:val="0"/>
        <w:kinsoku/>
        <w:wordWrap/>
        <w:overflowPunct/>
        <w:topLinePunct w:val="0"/>
        <w:autoSpaceDE/>
        <w:autoSpaceDN/>
        <w:bidi w:val="0"/>
        <w:spacing w:line="56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9.1</w:t>
      </w:r>
      <w:r>
        <w:rPr>
          <w:rFonts w:hint="default" w:ascii="宋体" w:hAnsi="宋体" w:eastAsia="宋体" w:cs="Times New Roman"/>
          <w:sz w:val="28"/>
          <w:szCs w:val="28"/>
          <w:lang w:val="en-US" w:eastAsia="zh-CN"/>
        </w:rPr>
        <w:t>投标人应签订保密协议，对其因身份、职务、职业或技术关系而知悉的采购人商业秘密和党政机关保密信息应严格保守，保证不被披露或使用，包括意外或过失。</w:t>
      </w:r>
    </w:p>
    <w:p>
      <w:pPr>
        <w:pageBreakBefore w:val="0"/>
        <w:kinsoku/>
        <w:wordWrap/>
        <w:overflowPunct/>
        <w:topLinePunct w:val="0"/>
        <w:autoSpaceDE/>
        <w:autoSpaceDN/>
        <w:bidi w:val="0"/>
        <w:spacing w:line="56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9.2</w:t>
      </w:r>
      <w:r>
        <w:rPr>
          <w:rFonts w:hint="default" w:ascii="宋体" w:hAnsi="宋体" w:eastAsia="宋体" w:cs="Times New Roman"/>
          <w:sz w:val="28"/>
          <w:szCs w:val="28"/>
          <w:lang w:val="en-US" w:eastAsia="zh-CN"/>
        </w:rPr>
        <w:t xml:space="preserve">投标人不得以竞争为目的、或出于私利、或为第三人谋利而擅自保存、披露、使用采购人商业秘密和党政机关保密信息；不得直接或间接地向无关人员泄露采购人的商业秘密和党政机关保密信息；不得向不承担保密义务的任何第三人披露采购人的商业秘密和党政机关保密信息。投标人在从事政府项目时，不得擅自记录、复制、拍摄、摘抄、收藏在工作中涉及的保密信息，严禁将涉及政府项目的任何资料、数据透露或以其他方式提供给项目以外的其他方或投标人内部与该项目无关的任何人员。 </w:t>
      </w:r>
    </w:p>
    <w:p>
      <w:pPr>
        <w:pageBreakBefore w:val="0"/>
        <w:kinsoku/>
        <w:wordWrap/>
        <w:overflowPunct/>
        <w:topLinePunct w:val="0"/>
        <w:autoSpaceDE/>
        <w:autoSpaceDN/>
        <w:bidi w:val="0"/>
        <w:spacing w:line="56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9.3</w:t>
      </w:r>
      <w:r>
        <w:rPr>
          <w:rFonts w:hint="default" w:ascii="宋体" w:hAnsi="宋体" w:eastAsia="宋体" w:cs="Times New Roman"/>
          <w:sz w:val="28"/>
          <w:szCs w:val="28"/>
          <w:lang w:val="en-US" w:eastAsia="zh-CN"/>
        </w:rPr>
        <w:t xml:space="preserve">投标人对于工作期间知悉采购人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pPr>
        <w:pageBreakBefore w:val="0"/>
        <w:kinsoku/>
        <w:wordWrap/>
        <w:overflowPunct/>
        <w:topLinePunct w:val="0"/>
        <w:autoSpaceDE/>
        <w:autoSpaceDN/>
        <w:bidi w:val="0"/>
        <w:spacing w:line="56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9.4</w:t>
      </w:r>
      <w:r>
        <w:rPr>
          <w:rFonts w:hint="default" w:ascii="宋体" w:hAnsi="宋体" w:eastAsia="宋体" w:cs="Times New Roman"/>
          <w:sz w:val="28"/>
          <w:szCs w:val="28"/>
          <w:lang w:val="en-US" w:eastAsia="zh-CN"/>
        </w:rPr>
        <w:t xml:space="preserve">严禁泄露在工作中接触到的政府机关科技研究、发明、装备器材及其技术资料和政府工作信息。 </w:t>
      </w:r>
    </w:p>
    <w:p>
      <w:pPr>
        <w:pageBreakBefore w:val="0"/>
        <w:kinsoku/>
        <w:wordWrap/>
        <w:overflowPunct/>
        <w:topLinePunct w:val="0"/>
        <w:autoSpaceDE/>
        <w:autoSpaceDN/>
        <w:bidi w:val="0"/>
        <w:spacing w:line="560" w:lineRule="exact"/>
        <w:ind w:firstLine="560" w:firstLineChars="200"/>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9.5如涉及涉密信息设备运维，则提供服务的人员必须具备国家许可的相应资质</w:t>
      </w:r>
      <w:r>
        <w:rPr>
          <w:rFonts w:hint="default" w:ascii="宋体" w:hAnsi="宋体" w:eastAsia="宋体" w:cs="Times New Roman"/>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textAlignment w:val="auto"/>
        <w:rPr>
          <w:rFonts w:hint="eastAsia" w:ascii="宋体" w:hAnsi="宋体" w:eastAsia="宋体" w:cs="宋体"/>
          <w:b/>
          <w:sz w:val="28"/>
          <w:szCs w:val="28"/>
          <w:lang w:val="en-US" w:eastAsia="zh-CN" w:bidi="ar-SA"/>
        </w:rPr>
      </w:pPr>
      <w:r>
        <w:rPr>
          <w:rFonts w:hint="eastAsia" w:ascii="宋体" w:hAnsi="宋体" w:eastAsia="宋体" w:cs="宋体"/>
          <w:b/>
          <w:sz w:val="28"/>
          <w:szCs w:val="28"/>
          <w:lang w:val="en-US" w:eastAsia="zh-CN" w:bidi="ar-SA"/>
        </w:rPr>
        <w:t>10.验收支付</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10.1验收要求</w:t>
      </w:r>
    </w:p>
    <w:p>
      <w:pPr>
        <w:pStyle w:val="7"/>
        <w:keepNext w:val="0"/>
        <w:keepLines w:val="0"/>
        <w:pageBreakBefore w:val="0"/>
        <w:widowControl w:val="0"/>
        <w:kinsoku/>
        <w:wordWrap/>
        <w:overflowPunct/>
        <w:topLinePunct w:val="0"/>
        <w:autoSpaceDE/>
        <w:autoSpaceDN/>
        <w:bidi w:val="0"/>
        <w:adjustRightInd/>
        <w:snapToGrid/>
        <w:spacing w:before="120" w:line="560" w:lineRule="exact"/>
        <w:ind w:firstLine="560" w:firstLineChars="200"/>
        <w:textAlignment w:val="auto"/>
        <w:rPr>
          <w:rFonts w:hint="eastAsia" w:ascii="宋体" w:hAnsi="宋体" w:eastAsia="宋体" w:cs="Times New Roman"/>
          <w:kern w:val="2"/>
          <w:sz w:val="28"/>
          <w:szCs w:val="28"/>
          <w:lang w:val="hr-HR" w:eastAsia="zh-CN" w:bidi="ar-SA"/>
          <w14:ligatures w14:val="none"/>
        </w:rPr>
      </w:pPr>
      <w:r>
        <w:rPr>
          <w:rFonts w:hint="eastAsia" w:ascii="宋体" w:hAnsi="宋体" w:eastAsia="宋体" w:cs="Times New Roman"/>
          <w:kern w:val="2"/>
          <w:sz w:val="28"/>
          <w:szCs w:val="28"/>
          <w:lang w:val="en-US" w:eastAsia="zh-CN" w:bidi="ar-SA"/>
          <w14:ligatures w14:val="none"/>
        </w:rPr>
        <w:t>10.1.1</w:t>
      </w:r>
      <w:r>
        <w:rPr>
          <w:rFonts w:hint="eastAsia" w:ascii="宋体" w:hAnsi="宋体" w:eastAsia="宋体" w:cs="Times New Roman"/>
          <w:kern w:val="2"/>
          <w:sz w:val="28"/>
          <w:szCs w:val="28"/>
          <w:lang w:val="hr-HR" w:eastAsia="zh-CN" w:bidi="ar-SA"/>
          <w14:ligatures w14:val="none"/>
        </w:rPr>
        <w:t>完成对广东省英德监狱监管改造信息管理系统（三级）以及广东省英德监狱刑罚执行网上协同工作平台（三级）的等级保护测评，并提供符合等保</w:t>
      </w:r>
      <w:r>
        <w:rPr>
          <w:rFonts w:hint="eastAsia" w:ascii="宋体" w:hAnsi="宋体" w:eastAsia="宋体" w:cs="Times New Roman"/>
          <w:kern w:val="2"/>
          <w:sz w:val="28"/>
          <w:szCs w:val="28"/>
          <w:lang w:val="en-US" w:eastAsia="zh-CN" w:bidi="ar-SA"/>
          <w14:ligatures w14:val="none"/>
        </w:rPr>
        <w:t>2.0测评标准的</w:t>
      </w:r>
      <w:r>
        <w:rPr>
          <w:rFonts w:hint="eastAsia" w:ascii="宋体" w:hAnsi="宋体" w:eastAsia="宋体" w:cs="Times New Roman"/>
          <w:kern w:val="2"/>
          <w:sz w:val="28"/>
          <w:szCs w:val="28"/>
          <w:lang w:val="hr-HR" w:eastAsia="zh-CN" w:bidi="ar-SA"/>
          <w14:ligatures w14:val="none"/>
        </w:rPr>
        <w:t>最终等级保护安全测评报告。</w:t>
      </w:r>
    </w:p>
    <w:p>
      <w:pPr>
        <w:pStyle w:val="7"/>
        <w:keepNext w:val="0"/>
        <w:keepLines w:val="0"/>
        <w:pageBreakBefore w:val="0"/>
        <w:widowControl w:val="0"/>
        <w:kinsoku/>
        <w:wordWrap/>
        <w:overflowPunct/>
        <w:topLinePunct w:val="0"/>
        <w:autoSpaceDE/>
        <w:autoSpaceDN/>
        <w:bidi w:val="0"/>
        <w:adjustRightInd/>
        <w:snapToGrid/>
        <w:spacing w:before="120" w:line="560" w:lineRule="exact"/>
        <w:ind w:firstLine="560" w:firstLineChars="200"/>
        <w:textAlignment w:val="auto"/>
        <w:rPr>
          <w:rFonts w:hint="eastAsia" w:ascii="宋体" w:hAnsi="宋体" w:eastAsia="宋体" w:cs="Times New Roman"/>
          <w:kern w:val="2"/>
          <w:sz w:val="28"/>
          <w:szCs w:val="28"/>
          <w:lang w:val="hr-HR" w:eastAsia="zh-CN" w:bidi="ar-SA"/>
          <w14:ligatures w14:val="none"/>
        </w:rPr>
      </w:pPr>
      <w:r>
        <w:rPr>
          <w:rFonts w:hint="eastAsia" w:ascii="宋体" w:hAnsi="宋体" w:eastAsia="宋体" w:cs="Times New Roman"/>
          <w:kern w:val="2"/>
          <w:sz w:val="28"/>
          <w:szCs w:val="28"/>
          <w:lang w:val="en-US" w:eastAsia="zh-CN" w:bidi="ar-SA"/>
          <w14:ligatures w14:val="none"/>
        </w:rPr>
        <w:t>10.1.2完成对</w:t>
      </w:r>
      <w:r>
        <w:rPr>
          <w:rFonts w:hint="eastAsia" w:ascii="宋体" w:hAnsi="宋体" w:eastAsia="宋体" w:cs="Times New Roman"/>
          <w:kern w:val="2"/>
          <w:sz w:val="28"/>
          <w:szCs w:val="28"/>
          <w:lang w:val="hr-HR" w:eastAsia="zh-CN" w:bidi="ar-SA"/>
          <w14:ligatures w14:val="none"/>
        </w:rPr>
        <w:t>广东省英德监狱欣档档案管理系统（二级）以及广东省英德监狱亲情电话管理系统（二级）的等级保护测评，并提供符合等保</w:t>
      </w:r>
      <w:r>
        <w:rPr>
          <w:rFonts w:hint="eastAsia" w:ascii="宋体" w:hAnsi="宋体" w:eastAsia="宋体" w:cs="Times New Roman"/>
          <w:kern w:val="2"/>
          <w:sz w:val="28"/>
          <w:szCs w:val="28"/>
          <w:lang w:val="en-US" w:eastAsia="zh-CN" w:bidi="ar-SA"/>
          <w14:ligatures w14:val="none"/>
        </w:rPr>
        <w:t>2.0测评标准的</w:t>
      </w:r>
      <w:r>
        <w:rPr>
          <w:rFonts w:hint="eastAsia" w:ascii="宋体" w:hAnsi="宋体" w:eastAsia="宋体" w:cs="Times New Roman"/>
          <w:kern w:val="2"/>
          <w:sz w:val="28"/>
          <w:szCs w:val="28"/>
          <w:lang w:val="hr-HR" w:eastAsia="zh-CN" w:bidi="ar-SA"/>
          <w14:ligatures w14:val="none"/>
        </w:rPr>
        <w:t>等级保护安全测评报告，协助采购方完成主管部门对系统的备案与检查后的回执证明。</w:t>
      </w:r>
    </w:p>
    <w:p>
      <w:pPr>
        <w:pStyle w:val="7"/>
        <w:keepNext w:val="0"/>
        <w:keepLines w:val="0"/>
        <w:pageBreakBefore w:val="0"/>
        <w:widowControl w:val="0"/>
        <w:kinsoku/>
        <w:wordWrap/>
        <w:overflowPunct/>
        <w:topLinePunct w:val="0"/>
        <w:autoSpaceDE/>
        <w:autoSpaceDN/>
        <w:bidi w:val="0"/>
        <w:adjustRightInd/>
        <w:snapToGrid/>
        <w:spacing w:before="120" w:line="560" w:lineRule="exact"/>
        <w:ind w:firstLine="560" w:firstLineChars="200"/>
        <w:textAlignment w:val="auto"/>
        <w:rPr>
          <w:rFonts w:hint="default"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10.1.3完成对</w:t>
      </w:r>
      <w:r>
        <w:rPr>
          <w:rFonts w:hint="eastAsia" w:ascii="宋体" w:hAnsi="宋体" w:eastAsia="宋体" w:cs="Times New Roman"/>
          <w:kern w:val="2"/>
          <w:sz w:val="28"/>
          <w:szCs w:val="28"/>
          <w:lang w:val="hr-HR" w:eastAsia="zh-CN" w:bidi="ar-SA"/>
          <w14:ligatures w14:val="none"/>
        </w:rPr>
        <w:t>财务管理系统（用友软件）、ITC对讲监听、生卫系统、狱务公开查询系统、罪犯减假暂提请资格筛查系统、内网终端管理系统、视频人脸比对、机房动环系统、英德容灾备份系统（爱数）以及科达监控平台等</w:t>
      </w:r>
      <w:r>
        <w:rPr>
          <w:rFonts w:hint="eastAsia" w:ascii="宋体" w:hAnsi="宋体" w:eastAsia="宋体" w:cs="Times New Roman"/>
          <w:kern w:val="2"/>
          <w:sz w:val="28"/>
          <w:szCs w:val="28"/>
          <w:lang w:val="en-US" w:eastAsia="zh-CN" w:bidi="ar-SA"/>
          <w14:ligatures w14:val="none"/>
        </w:rPr>
        <w:t>10个拟定一级等保信息系统进行专家评估、出具专家意见，协助采购人出具专家定级评审意见和安全整改建议。</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Times New Roman"/>
          <w:b/>
          <w:bCs/>
          <w:kern w:val="2"/>
          <w:sz w:val="28"/>
          <w:szCs w:val="28"/>
          <w:lang w:val="en-US" w:eastAsia="zh-CN" w:bidi="ar-SA"/>
          <w14:ligatures w14:val="none"/>
        </w:rPr>
      </w:pPr>
      <w:r>
        <w:rPr>
          <w:rFonts w:hint="eastAsia" w:ascii="宋体" w:hAnsi="宋体" w:eastAsia="宋体" w:cs="Times New Roman"/>
          <w:b/>
          <w:bCs/>
          <w:kern w:val="2"/>
          <w:sz w:val="28"/>
          <w:szCs w:val="28"/>
          <w:lang w:val="en-US" w:eastAsia="zh-CN" w:bidi="ar-SA"/>
          <w14:ligatures w14:val="none"/>
        </w:rPr>
        <w:t>10.2支付条款</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kern w:val="2"/>
          <w:sz w:val="28"/>
          <w:szCs w:val="28"/>
          <w:lang w:val="en-US" w:eastAsia="zh-CN" w:bidi="ar-SA"/>
          <w14:ligatures w14:val="none"/>
        </w:rPr>
      </w:pPr>
      <w:r>
        <w:rPr>
          <w:rFonts w:hint="eastAsia" w:ascii="宋体" w:hAnsi="宋体" w:eastAsia="宋体" w:cs="Times New Roman"/>
          <w:kern w:val="2"/>
          <w:sz w:val="28"/>
          <w:szCs w:val="28"/>
          <w:lang w:val="en-US" w:eastAsia="zh-CN" w:bidi="ar-SA"/>
          <w14:ligatures w14:val="none"/>
        </w:rPr>
        <w:t>10.2.1合同价按中标价签订；</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kern w:val="2"/>
          <w:sz w:val="28"/>
          <w:szCs w:val="28"/>
          <w:lang w:val="en-GB" w:eastAsia="zh-CN" w:bidi="ar-SA"/>
          <w14:ligatures w14:val="none"/>
        </w:rPr>
      </w:pPr>
      <w:r>
        <w:rPr>
          <w:rFonts w:hint="eastAsia" w:ascii="宋体" w:hAnsi="宋体" w:eastAsia="宋体" w:cs="Times New Roman"/>
          <w:kern w:val="2"/>
          <w:sz w:val="28"/>
          <w:szCs w:val="28"/>
          <w:lang w:val="en-US" w:eastAsia="zh-CN" w:bidi="ar-SA"/>
          <w14:ligatures w14:val="none"/>
        </w:rPr>
        <w:t>10.2.2</w:t>
      </w:r>
      <w:r>
        <w:rPr>
          <w:rFonts w:hint="eastAsia" w:ascii="宋体" w:hAnsi="宋体" w:eastAsia="宋体" w:cs="Times New Roman"/>
          <w:kern w:val="2"/>
          <w:sz w:val="28"/>
          <w:szCs w:val="28"/>
          <w:lang w:val="en-GB" w:eastAsia="zh-CN" w:bidi="ar-SA"/>
          <w14:ligatures w14:val="none"/>
        </w:rPr>
        <w:t>履约保证金：合同签订后五个工作日内中标人需向采购人缴纳中标金额</w:t>
      </w:r>
      <w:r>
        <w:rPr>
          <w:rFonts w:hint="eastAsia" w:ascii="宋体" w:hAnsi="宋体" w:eastAsia="宋体" w:cs="Times New Roman"/>
          <w:kern w:val="2"/>
          <w:sz w:val="28"/>
          <w:szCs w:val="28"/>
          <w:lang w:val="en-US" w:eastAsia="zh-CN" w:bidi="ar-SA"/>
          <w14:ligatures w14:val="none"/>
        </w:rPr>
        <w:t>5%的履约保证金，验收合格后1个月内无质量问题的履约保证金给予无息全额退还；中标方未完成项目，采购方不予退回履约保证金。</w:t>
      </w:r>
    </w:p>
    <w:p>
      <w:pPr>
        <w:pStyle w:val="3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宋体" w:hAnsi="宋体" w:eastAsia="宋体" w:cs="Times New Roman"/>
          <w:kern w:val="2"/>
          <w:sz w:val="28"/>
          <w:szCs w:val="28"/>
          <w:lang w:val="en-GB" w:eastAsia="zh-CN" w:bidi="ar-SA"/>
          <w14:ligatures w14:val="none"/>
        </w:rPr>
      </w:pPr>
      <w:r>
        <w:rPr>
          <w:rFonts w:hint="eastAsia" w:ascii="宋体" w:hAnsi="宋体" w:eastAsia="宋体" w:cs="Times New Roman"/>
          <w:kern w:val="2"/>
          <w:sz w:val="28"/>
          <w:szCs w:val="28"/>
          <w:lang w:val="en-US" w:eastAsia="zh-CN" w:bidi="ar-SA"/>
          <w14:ligatures w14:val="none"/>
        </w:rPr>
        <w:t>10.2.3</w:t>
      </w:r>
      <w:r>
        <w:rPr>
          <w:rFonts w:hint="eastAsia" w:ascii="宋体" w:hAnsi="宋体" w:eastAsia="宋体" w:cs="Times New Roman"/>
          <w:kern w:val="2"/>
          <w:sz w:val="28"/>
          <w:szCs w:val="28"/>
          <w:lang w:val="en-GB" w:eastAsia="zh-CN" w:bidi="ar-SA"/>
          <w14:ligatures w14:val="none"/>
        </w:rPr>
        <w:t>本项目预算所有费用总价为</w:t>
      </w:r>
      <w:r>
        <w:rPr>
          <w:rFonts w:hint="eastAsia" w:ascii="宋体" w:hAnsi="宋体" w:eastAsia="宋体" w:cs="Times New Roman"/>
          <w:kern w:val="2"/>
          <w:sz w:val="28"/>
          <w:szCs w:val="28"/>
          <w:lang w:val="en-US" w:eastAsia="zh-CN" w:bidi="ar-SA"/>
          <w14:ligatures w14:val="none"/>
        </w:rPr>
        <w:t>40.7</w:t>
      </w:r>
      <w:r>
        <w:rPr>
          <w:rFonts w:hint="default" w:ascii="宋体" w:hAnsi="宋体" w:eastAsia="宋体" w:cs="Times New Roman"/>
          <w:kern w:val="2"/>
          <w:sz w:val="28"/>
          <w:szCs w:val="28"/>
          <w:lang w:val="en-GB" w:eastAsia="zh-CN" w:bidi="ar-SA"/>
          <w14:ligatures w14:val="none"/>
        </w:rPr>
        <w:t>万元</w:t>
      </w:r>
      <w:r>
        <w:rPr>
          <w:rFonts w:hint="eastAsia" w:ascii="宋体" w:hAnsi="宋体" w:eastAsia="宋体" w:cs="Times New Roman"/>
          <w:kern w:val="2"/>
          <w:sz w:val="28"/>
          <w:szCs w:val="28"/>
          <w:lang w:val="en-US" w:eastAsia="zh-CN" w:bidi="ar-SA"/>
          <w14:ligatures w14:val="none"/>
        </w:rPr>
        <w:t>。采购方</w:t>
      </w:r>
      <w:r>
        <w:rPr>
          <w:rFonts w:hint="eastAsia" w:ascii="宋体" w:hAnsi="宋体" w:eastAsia="宋体" w:cs="Times New Roman"/>
          <w:kern w:val="2"/>
          <w:sz w:val="28"/>
          <w:szCs w:val="28"/>
          <w:lang w:val="en-GB" w:eastAsia="zh-CN" w:bidi="ar-SA"/>
          <w14:ligatures w14:val="none"/>
        </w:rPr>
        <w:t>结合项目的实施进度，</w:t>
      </w:r>
      <w:r>
        <w:rPr>
          <w:rFonts w:hint="eastAsia" w:ascii="宋体" w:hAnsi="宋体" w:eastAsia="宋体" w:cs="Times New Roman"/>
          <w:kern w:val="2"/>
          <w:sz w:val="28"/>
          <w:szCs w:val="28"/>
          <w:lang w:val="en-US" w:eastAsia="zh-CN" w:bidi="ar-SA"/>
          <w14:ligatures w14:val="none"/>
        </w:rPr>
        <w:t>2024年11月30日前须完成等级保护测评，应急演练，网络安全培训以及完成至少两次中心机房巡检服务，</w:t>
      </w:r>
      <w:r>
        <w:rPr>
          <w:rFonts w:hint="default" w:ascii="宋体" w:hAnsi="宋体" w:eastAsia="宋体" w:cs="Times New Roman"/>
          <w:kern w:val="2"/>
          <w:sz w:val="28"/>
          <w:szCs w:val="28"/>
          <w:lang w:val="en-GB" w:eastAsia="zh-CN" w:bidi="ar-SA"/>
          <w14:ligatures w14:val="none"/>
        </w:rPr>
        <w:t>支付</w:t>
      </w:r>
      <w:r>
        <w:rPr>
          <w:rFonts w:hint="eastAsia" w:ascii="宋体" w:hAnsi="宋体" w:eastAsia="宋体" w:cs="Times New Roman"/>
          <w:kern w:val="2"/>
          <w:sz w:val="28"/>
          <w:szCs w:val="28"/>
          <w:lang w:val="en-GB" w:eastAsia="zh-CN" w:bidi="ar-SA"/>
          <w14:ligatures w14:val="none"/>
        </w:rPr>
        <w:t>项目金额的</w:t>
      </w:r>
      <w:r>
        <w:rPr>
          <w:rFonts w:hint="eastAsia" w:ascii="宋体" w:hAnsi="宋体" w:eastAsia="宋体" w:cs="Times New Roman"/>
          <w:kern w:val="2"/>
          <w:sz w:val="28"/>
          <w:szCs w:val="28"/>
          <w:lang w:val="en-US" w:eastAsia="zh-CN" w:bidi="ar-SA"/>
          <w14:ligatures w14:val="none"/>
        </w:rPr>
        <w:t>70</w:t>
      </w:r>
      <w:r>
        <w:rPr>
          <w:rFonts w:hint="default" w:ascii="宋体" w:hAnsi="宋体" w:eastAsia="宋体" w:cs="Times New Roman"/>
          <w:kern w:val="2"/>
          <w:sz w:val="28"/>
          <w:szCs w:val="28"/>
          <w:lang w:val="en-GB" w:eastAsia="zh-CN" w:bidi="ar-SA"/>
          <w14:ligatures w14:val="none"/>
        </w:rPr>
        <w:t>%</w:t>
      </w:r>
      <w:r>
        <w:rPr>
          <w:rFonts w:hint="eastAsia" w:ascii="宋体" w:hAnsi="宋体" w:eastAsia="宋体" w:cs="Times New Roman"/>
          <w:kern w:val="2"/>
          <w:sz w:val="28"/>
          <w:szCs w:val="28"/>
          <w:lang w:val="en-GB" w:eastAsia="zh-CN" w:bidi="ar-SA"/>
          <w14:ligatures w14:val="none"/>
        </w:rPr>
        <w:t>；完成项目验收后</w:t>
      </w:r>
      <w:r>
        <w:rPr>
          <w:rFonts w:hint="eastAsia" w:ascii="宋体" w:hAnsi="宋体" w:eastAsia="宋体" w:cs="Times New Roman"/>
          <w:kern w:val="2"/>
          <w:sz w:val="28"/>
          <w:szCs w:val="28"/>
          <w:lang w:val="en-US" w:eastAsia="zh-CN" w:bidi="ar-SA"/>
          <w14:ligatures w14:val="none"/>
        </w:rPr>
        <w:t>1个月内</w:t>
      </w:r>
      <w:r>
        <w:rPr>
          <w:rFonts w:hint="eastAsia" w:ascii="宋体" w:hAnsi="宋体" w:eastAsia="宋体" w:cs="Times New Roman"/>
          <w:kern w:val="2"/>
          <w:sz w:val="28"/>
          <w:szCs w:val="28"/>
          <w:lang w:val="en-GB" w:eastAsia="zh-CN" w:bidi="ar-SA"/>
          <w14:ligatures w14:val="none"/>
        </w:rPr>
        <w:t>，中标方进行项目支付申请，采购方支付项目剩余金额</w:t>
      </w:r>
      <w:r>
        <w:rPr>
          <w:rFonts w:hint="eastAsia" w:ascii="宋体" w:hAnsi="宋体" w:eastAsia="宋体" w:cs="Times New Roman"/>
          <w:kern w:val="2"/>
          <w:sz w:val="28"/>
          <w:szCs w:val="28"/>
          <w:lang w:val="en-US" w:eastAsia="zh-CN" w:bidi="ar-SA"/>
          <w14:ligatures w14:val="none"/>
        </w:rPr>
        <w:t>30</w:t>
      </w:r>
      <w:r>
        <w:rPr>
          <w:rFonts w:hint="default" w:ascii="宋体" w:hAnsi="宋体" w:eastAsia="宋体" w:cs="Times New Roman"/>
          <w:kern w:val="2"/>
          <w:sz w:val="28"/>
          <w:szCs w:val="28"/>
          <w:lang w:val="en-GB" w:eastAsia="zh-CN" w:bidi="ar-SA"/>
          <w14:ligatures w14:val="none"/>
        </w:rPr>
        <w:t>%</w:t>
      </w:r>
      <w:r>
        <w:rPr>
          <w:rFonts w:hint="eastAsia" w:ascii="宋体" w:hAnsi="宋体" w:eastAsia="宋体" w:cs="Times New Roman"/>
          <w:kern w:val="2"/>
          <w:sz w:val="28"/>
          <w:szCs w:val="28"/>
          <w:lang w:val="en-GB" w:eastAsia="zh-CN" w:bidi="ar-SA"/>
          <w14:ligatures w14:val="none"/>
        </w:rPr>
        <w:t>并返还履约保证金。</w:t>
      </w:r>
    </w:p>
    <w:p>
      <w:pPr>
        <w:pStyle w:val="7"/>
        <w:keepNext w:val="0"/>
        <w:keepLines w:val="0"/>
        <w:pageBreakBefore w:val="0"/>
        <w:widowControl w:val="0"/>
        <w:numPr>
          <w:ilvl w:val="0"/>
          <w:numId w:val="0"/>
        </w:numPr>
        <w:kinsoku/>
        <w:wordWrap/>
        <w:overflowPunct/>
        <w:topLinePunct w:val="0"/>
        <w:autoSpaceDE/>
        <w:autoSpaceDN/>
        <w:bidi w:val="0"/>
        <w:adjustRightInd/>
        <w:snapToGrid/>
        <w:ind w:firstLine="0" w:firstLineChars="0"/>
        <w:textAlignment w:val="auto"/>
        <w:rPr>
          <w:rFonts w:hint="default" w:ascii="Times" w:hAnsi="Times" w:eastAsia="宋体" w:cs="Times New Roman"/>
          <w:kern w:val="2"/>
          <w:sz w:val="28"/>
          <w:szCs w:val="28"/>
          <w:lang w:val="en-US" w:eastAsia="zh-CN" w:bidi="ar-SA"/>
          <w14:ligatures w14: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Symbol">
    <w:panose1 w:val="020B0502040204020203"/>
    <w:charset w:val="00"/>
    <w:family w:val="auto"/>
    <w:pitch w:val="default"/>
    <w:sig w:usb0="8000006F" w:usb1="1200FBEF" w:usb2="0004C000" w:usb3="00000000" w:csb0="00000001" w:csb1="4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622621"/>
    <w:multiLevelType w:val="singleLevel"/>
    <w:tmpl w:val="82622621"/>
    <w:lvl w:ilvl="0" w:tentative="0">
      <w:start w:val="1"/>
      <w:numFmt w:val="lowerLetter"/>
      <w:suff w:val="nothing"/>
      <w:lvlText w:val="%1）"/>
      <w:lvlJc w:val="left"/>
    </w:lvl>
  </w:abstractNum>
  <w:abstractNum w:abstractNumId="1">
    <w:nsid w:val="4567404E"/>
    <w:multiLevelType w:val="multilevel"/>
    <w:tmpl w:val="4567404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77EAF444"/>
    <w:multiLevelType w:val="singleLevel"/>
    <w:tmpl w:val="77EAF444"/>
    <w:lvl w:ilvl="0" w:tentative="0">
      <w:start w:val="7"/>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32"/>
    <w:rsid w:val="00120EE8"/>
    <w:rsid w:val="00215F32"/>
    <w:rsid w:val="00282FAF"/>
    <w:rsid w:val="00290968"/>
    <w:rsid w:val="002A4482"/>
    <w:rsid w:val="00646825"/>
    <w:rsid w:val="008D50E6"/>
    <w:rsid w:val="00934BD8"/>
    <w:rsid w:val="00A1515C"/>
    <w:rsid w:val="00A239A7"/>
    <w:rsid w:val="00AF3583"/>
    <w:rsid w:val="00B15A1B"/>
    <w:rsid w:val="00B80AFB"/>
    <w:rsid w:val="00BB7FCD"/>
    <w:rsid w:val="00BF000F"/>
    <w:rsid w:val="00C55DCB"/>
    <w:rsid w:val="00D05DDB"/>
    <w:rsid w:val="00DA4D8B"/>
    <w:rsid w:val="023079B9"/>
    <w:rsid w:val="03742947"/>
    <w:rsid w:val="04B23AE7"/>
    <w:rsid w:val="05222BF8"/>
    <w:rsid w:val="05D1092F"/>
    <w:rsid w:val="09482972"/>
    <w:rsid w:val="0A2D607C"/>
    <w:rsid w:val="0ABB3FCC"/>
    <w:rsid w:val="0AF26D4B"/>
    <w:rsid w:val="0C704678"/>
    <w:rsid w:val="0D1E2E99"/>
    <w:rsid w:val="0E911EE0"/>
    <w:rsid w:val="0EB77A12"/>
    <w:rsid w:val="11EF00D9"/>
    <w:rsid w:val="15BB4DDB"/>
    <w:rsid w:val="16540BCB"/>
    <w:rsid w:val="17AD27E8"/>
    <w:rsid w:val="17C446D2"/>
    <w:rsid w:val="18322035"/>
    <w:rsid w:val="1B8F146A"/>
    <w:rsid w:val="1DC45516"/>
    <w:rsid w:val="1FC87893"/>
    <w:rsid w:val="20817463"/>
    <w:rsid w:val="21DE6A8B"/>
    <w:rsid w:val="252E644C"/>
    <w:rsid w:val="2CE47A69"/>
    <w:rsid w:val="2F4C0760"/>
    <w:rsid w:val="2FC35D42"/>
    <w:rsid w:val="30AB3423"/>
    <w:rsid w:val="340D3F5B"/>
    <w:rsid w:val="350876F9"/>
    <w:rsid w:val="37EB0ACB"/>
    <w:rsid w:val="394F548A"/>
    <w:rsid w:val="39790C2E"/>
    <w:rsid w:val="3C401D09"/>
    <w:rsid w:val="3D4A5D0C"/>
    <w:rsid w:val="3DA4752B"/>
    <w:rsid w:val="3E155F41"/>
    <w:rsid w:val="40513C05"/>
    <w:rsid w:val="44FF2E5D"/>
    <w:rsid w:val="46153E08"/>
    <w:rsid w:val="486A7BB6"/>
    <w:rsid w:val="4AC0454E"/>
    <w:rsid w:val="4B4C380F"/>
    <w:rsid w:val="4BBF7A8C"/>
    <w:rsid w:val="4FB51655"/>
    <w:rsid w:val="4FF26B86"/>
    <w:rsid w:val="523148A3"/>
    <w:rsid w:val="52BB7DB5"/>
    <w:rsid w:val="52F55D10"/>
    <w:rsid w:val="58D8399B"/>
    <w:rsid w:val="58FE1654"/>
    <w:rsid w:val="59B37E80"/>
    <w:rsid w:val="5A971B37"/>
    <w:rsid w:val="5C7A1B7E"/>
    <w:rsid w:val="5D534D0A"/>
    <w:rsid w:val="5D750BAC"/>
    <w:rsid w:val="61D02FEB"/>
    <w:rsid w:val="62F40C96"/>
    <w:rsid w:val="63E8117E"/>
    <w:rsid w:val="653B0E9C"/>
    <w:rsid w:val="680232FF"/>
    <w:rsid w:val="6B7D2C66"/>
    <w:rsid w:val="6BB06D60"/>
    <w:rsid w:val="6E9E3317"/>
    <w:rsid w:val="73836ECE"/>
    <w:rsid w:val="786A5EC3"/>
    <w:rsid w:val="7A2F55BC"/>
    <w:rsid w:val="7BE94A5A"/>
    <w:rsid w:val="7C061557"/>
    <w:rsid w:val="7D7B50FE"/>
    <w:rsid w:val="7F0F5920"/>
    <w:rsid w:val="7F324AA5"/>
    <w:rsid w:val="7F735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21"/>
    <w:qFormat/>
    <w:uiPriority w:val="9"/>
    <w:pPr>
      <w:spacing w:line="360" w:lineRule="auto"/>
      <w:outlineLvl w:val="0"/>
    </w:pPr>
    <w:rPr>
      <w:rFonts w:ascii="Times New Roman" w:hAnsi="Times New Roman" w:eastAsia="宋体" w:cs="Times New Roman"/>
      <w:b/>
      <w:bCs/>
      <w:sz w:val="24"/>
      <w:szCs w:val="28"/>
    </w:rPr>
  </w:style>
  <w:style w:type="paragraph" w:styleId="3">
    <w:name w:val="heading 2"/>
    <w:basedOn w:val="1"/>
    <w:next w:val="1"/>
    <w:link w:val="22"/>
    <w:unhideWhenUsed/>
    <w:qFormat/>
    <w:uiPriority w:val="9"/>
    <w:pPr>
      <w:spacing w:line="360" w:lineRule="auto"/>
      <w:ind w:firstLine="422" w:firstLineChars="200"/>
      <w:outlineLvl w:val="1"/>
    </w:pPr>
    <w:rPr>
      <w:rFonts w:ascii="Times New Roman" w:hAnsi="Times New Roman" w:eastAsia="宋体" w:cs="Times New Roman"/>
      <w:b/>
      <w:bCs/>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26"/>
    <w:semiHidden/>
    <w:unhideWhenUsed/>
    <w:qFormat/>
    <w:uiPriority w:val="99"/>
    <w:rPr>
      <w:b/>
      <w:bCs/>
    </w:rPr>
  </w:style>
  <w:style w:type="paragraph" w:styleId="6">
    <w:name w:val="annotation text"/>
    <w:basedOn w:val="1"/>
    <w:link w:val="24"/>
    <w:unhideWhenUsed/>
    <w:qFormat/>
    <w:uiPriority w:val="0"/>
    <w:pPr>
      <w:jc w:val="left"/>
    </w:pPr>
  </w:style>
  <w:style w:type="paragraph" w:styleId="7">
    <w:name w:val="Normal Indent"/>
    <w:basedOn w:val="1"/>
    <w:unhideWhenUsed/>
    <w:qFormat/>
    <w:uiPriority w:val="0"/>
    <w:pPr>
      <w:spacing w:line="360" w:lineRule="auto"/>
      <w:ind w:firstLine="420" w:firstLineChars="200"/>
    </w:pPr>
    <w:rPr>
      <w:rFonts w:ascii="Times" w:hAnsi="Times" w:eastAsia="宋体" w:cs="Times New Roman"/>
      <w:sz w:val="24"/>
      <w:szCs w:val="24"/>
    </w:rPr>
  </w:style>
  <w:style w:type="paragraph" w:styleId="8">
    <w:name w:val="Body Text"/>
    <w:basedOn w:val="1"/>
    <w:link w:val="25"/>
    <w:qFormat/>
    <w:uiPriority w:val="1"/>
    <w:pPr>
      <w:spacing w:before="36"/>
      <w:ind w:left="120"/>
      <w:jc w:val="left"/>
    </w:pPr>
    <w:rPr>
      <w:rFonts w:ascii="宋体" w:hAnsi="宋体" w:eastAsia="宋体"/>
      <w:kern w:val="0"/>
      <w:sz w:val="24"/>
      <w:szCs w:val="24"/>
      <w:lang w:eastAsia="en-US"/>
    </w:rPr>
  </w:style>
  <w:style w:type="paragraph" w:styleId="9">
    <w:name w:val="index 4"/>
    <w:basedOn w:val="1"/>
    <w:next w:val="1"/>
    <w:unhideWhenUsed/>
    <w:qFormat/>
    <w:uiPriority w:val="99"/>
    <w:pPr>
      <w:ind w:left="600" w:leftChars="600"/>
    </w:pPr>
  </w:style>
  <w:style w:type="paragraph" w:styleId="10">
    <w:name w:val="Balloon Text"/>
    <w:basedOn w:val="1"/>
    <w:link w:val="33"/>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unhideWhenUsed/>
    <w:qFormat/>
    <w:uiPriority w:val="99"/>
    <w:pP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pPr>
      <w:widowControl/>
      <w:spacing w:before="100" w:beforeAutospacing="1" w:after="100" w:afterAutospacing="1"/>
      <w:jc w:val="left"/>
    </w:pPr>
    <w:rPr>
      <w:rFonts w:ascii="宋体" w:hAnsi="宋体" w:eastAsia="宋体" w:cs="Times New Roman"/>
      <w:kern w:val="0"/>
      <w:sz w:val="15"/>
      <w:szCs w:val="15"/>
    </w:rPr>
  </w:style>
  <w:style w:type="character" w:styleId="16">
    <w:name w:val="annotation reference"/>
    <w:basedOn w:val="15"/>
    <w:unhideWhenUsed/>
    <w:qFormat/>
    <w:uiPriority w:val="0"/>
    <w:rPr>
      <w:sz w:val="21"/>
      <w:szCs w:val="21"/>
    </w:rPr>
  </w:style>
  <w:style w:type="table" w:styleId="18">
    <w:name w:val="Table Grid"/>
    <w:basedOn w:val="17"/>
    <w:qFormat/>
    <w:uiPriority w:val="39"/>
    <w:pPr>
      <w:widowControl w:val="0"/>
    </w:pPr>
    <w:rPr>
      <w:kern w:val="0"/>
      <w:sz w:val="22"/>
      <w:szCs w:val="20"/>
      <w:lang w:eastAsia="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5"/>
    <w:link w:val="12"/>
    <w:qFormat/>
    <w:uiPriority w:val="99"/>
    <w:rPr>
      <w:sz w:val="18"/>
      <w:szCs w:val="18"/>
    </w:rPr>
  </w:style>
  <w:style w:type="character" w:customStyle="1" w:styleId="20">
    <w:name w:val="页脚 字符"/>
    <w:basedOn w:val="15"/>
    <w:link w:val="11"/>
    <w:qFormat/>
    <w:uiPriority w:val="99"/>
    <w:rPr>
      <w:sz w:val="18"/>
      <w:szCs w:val="18"/>
    </w:rPr>
  </w:style>
  <w:style w:type="character" w:customStyle="1" w:styleId="21">
    <w:name w:val="标题 1 字符"/>
    <w:basedOn w:val="15"/>
    <w:link w:val="2"/>
    <w:qFormat/>
    <w:uiPriority w:val="9"/>
    <w:rPr>
      <w:rFonts w:ascii="Times New Roman" w:hAnsi="Times New Roman" w:eastAsia="宋体" w:cs="Times New Roman"/>
      <w:b/>
      <w:bCs/>
      <w:sz w:val="24"/>
      <w:szCs w:val="28"/>
      <w14:ligatures w14:val="none"/>
    </w:rPr>
  </w:style>
  <w:style w:type="character" w:customStyle="1" w:styleId="22">
    <w:name w:val="标题 2 字符"/>
    <w:basedOn w:val="15"/>
    <w:link w:val="3"/>
    <w:qFormat/>
    <w:uiPriority w:val="9"/>
    <w:rPr>
      <w:rFonts w:ascii="Times New Roman" w:hAnsi="Times New Roman" w:eastAsia="宋体" w:cs="Times New Roman"/>
      <w:b/>
      <w:bCs/>
      <w14:ligatures w14:val="none"/>
    </w:rPr>
  </w:style>
  <w:style w:type="character" w:customStyle="1" w:styleId="23">
    <w:name w:val="标题 4 字符"/>
    <w:basedOn w:val="15"/>
    <w:link w:val="4"/>
    <w:semiHidden/>
    <w:qFormat/>
    <w:uiPriority w:val="9"/>
    <w:rPr>
      <w:rFonts w:asciiTheme="majorHAnsi" w:hAnsiTheme="majorHAnsi" w:eastAsiaTheme="majorEastAsia" w:cstheme="majorBidi"/>
      <w:b/>
      <w:bCs/>
      <w:sz w:val="28"/>
      <w:szCs w:val="28"/>
      <w14:ligatures w14:val="none"/>
    </w:rPr>
  </w:style>
  <w:style w:type="character" w:customStyle="1" w:styleId="24">
    <w:name w:val="批注文字 字符"/>
    <w:basedOn w:val="15"/>
    <w:link w:val="6"/>
    <w:qFormat/>
    <w:uiPriority w:val="0"/>
    <w:rPr>
      <w14:ligatures w14:val="none"/>
    </w:rPr>
  </w:style>
  <w:style w:type="character" w:customStyle="1" w:styleId="25">
    <w:name w:val="正文文本 字符"/>
    <w:basedOn w:val="15"/>
    <w:link w:val="8"/>
    <w:qFormat/>
    <w:uiPriority w:val="1"/>
    <w:rPr>
      <w:rFonts w:ascii="宋体" w:hAnsi="宋体" w:eastAsia="宋体"/>
      <w:kern w:val="0"/>
      <w:sz w:val="24"/>
      <w:szCs w:val="24"/>
      <w:lang w:eastAsia="en-US"/>
      <w14:ligatures w14:val="none"/>
    </w:rPr>
  </w:style>
  <w:style w:type="character" w:customStyle="1" w:styleId="26">
    <w:name w:val="批注主题 字符"/>
    <w:basedOn w:val="24"/>
    <w:link w:val="5"/>
    <w:semiHidden/>
    <w:qFormat/>
    <w:uiPriority w:val="99"/>
    <w:rPr>
      <w:b/>
      <w:bCs/>
      <w14:ligatures w14:val="none"/>
    </w:rPr>
  </w:style>
  <w:style w:type="paragraph" w:customStyle="1" w:styleId="27">
    <w:name w:val="Table Paragraph"/>
    <w:basedOn w:val="1"/>
    <w:qFormat/>
    <w:uiPriority w:val="1"/>
    <w:pPr>
      <w:jc w:val="left"/>
    </w:pPr>
    <w:rPr>
      <w:kern w:val="0"/>
      <w:sz w:val="22"/>
      <w:lang w:eastAsia="en-US"/>
    </w:rPr>
  </w:style>
  <w:style w:type="paragraph" w:customStyle="1" w:styleId="28">
    <w:name w:val="方案正文"/>
    <w:basedOn w:val="1"/>
    <w:qFormat/>
    <w:uiPriority w:val="0"/>
    <w:pPr>
      <w:spacing w:line="360" w:lineRule="auto"/>
      <w:ind w:firstLine="200" w:firstLineChars="200"/>
    </w:pPr>
    <w:rPr>
      <w:rFonts w:ascii="Times New Roman" w:hAnsi="Times New Roman" w:eastAsia="仿宋_GB2312" w:cs="Times New Roman"/>
      <w:sz w:val="28"/>
      <w:szCs w:val="28"/>
    </w:rPr>
  </w:style>
  <w:style w:type="paragraph" w:styleId="29">
    <w:name w:val="List Paragraph"/>
    <w:basedOn w:val="1"/>
    <w:link w:val="34"/>
    <w:qFormat/>
    <w:uiPriority w:val="99"/>
    <w:pPr>
      <w:ind w:firstLine="420" w:firstLineChars="200"/>
    </w:pPr>
    <w:rPr>
      <w:rFonts w:ascii="Calibri" w:hAnsi="Calibri" w:eastAsia="仿宋_GB2312" w:cs="Times New Roman"/>
      <w:sz w:val="28"/>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14:ligatures w14:val="none"/>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14:ligatures w14:val="none"/>
    </w:rPr>
  </w:style>
  <w:style w:type="paragraph" w:customStyle="1" w:styleId="32">
    <w:name w:val="Revision"/>
    <w:hidden/>
    <w:semiHidden/>
    <w:qFormat/>
    <w:uiPriority w:val="99"/>
    <w:rPr>
      <w:rFonts w:asciiTheme="minorHAnsi" w:hAnsiTheme="minorHAnsi" w:eastAsiaTheme="minorEastAsia" w:cstheme="minorBidi"/>
      <w:kern w:val="2"/>
      <w:sz w:val="21"/>
      <w:szCs w:val="22"/>
      <w:lang w:val="en-US" w:eastAsia="zh-CN" w:bidi="ar-SA"/>
      <w14:ligatures w14:val="none"/>
    </w:rPr>
  </w:style>
  <w:style w:type="character" w:customStyle="1" w:styleId="33">
    <w:name w:val="批注框文本 字符"/>
    <w:basedOn w:val="15"/>
    <w:link w:val="10"/>
    <w:semiHidden/>
    <w:qFormat/>
    <w:uiPriority w:val="99"/>
    <w:rPr>
      <w:sz w:val="18"/>
      <w:szCs w:val="18"/>
      <w14:ligatures w14:val="none"/>
    </w:rPr>
  </w:style>
  <w:style w:type="character" w:customStyle="1" w:styleId="34">
    <w:name w:val="列表段落 字符"/>
    <w:link w:val="29"/>
    <w:qFormat/>
    <w:uiPriority w:val="99"/>
    <w:rPr>
      <w:rFonts w:ascii="Calibri" w:hAnsi="Calibri" w:eastAsia="仿宋_GB2312" w:cs="Times New Roman"/>
      <w:sz w:val="28"/>
      <w14:ligatures w14:val="none"/>
    </w:rPr>
  </w:style>
  <w:style w:type="paragraph" w:customStyle="1" w:styleId="35">
    <w:name w:val="立项正文"/>
    <w:basedOn w:val="1"/>
    <w:qFormat/>
    <w:uiPriority w:val="0"/>
    <w:pPr>
      <w:ind w:firstLine="200" w:firstLineChars="200"/>
      <w:contextualSpacing/>
    </w:pPr>
    <w:rPr>
      <w:rFonts w:ascii="Times New Roman" w:hAnsi="Times New Roman" w:eastAsia="宋体" w:cs="宋体"/>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1894</Words>
  <Characters>10798</Characters>
  <Lines>89</Lines>
  <Paragraphs>25</Paragraphs>
  <TotalTime>138</TotalTime>
  <ScaleCrop>false</ScaleCrop>
  <LinksUpToDate>false</LinksUpToDate>
  <CharactersWithSpaces>12667</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2024-05-27T10:24:00Z</dcterms:created>
  <dc:creator>jiangdong zhu</dc:creator>
  <cp:lastModifiedBy>陈锦望</cp:lastModifiedBy>
  <cp:lastPrinted>2024-07-09T08:58:00Z</cp:lastPrinted>
  <dcterms:modified xsi:type="dcterms:W3CDTF">2024-07-17T07:21:52Z</dcterms:modified>
  <dc:title>广东省英德监狱2024年</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EAB9871D558D4AF598C750439FAE08A6</vt:lpwstr>
  </property>
</Properties>
</file>