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659A8">
      <w:pPr>
        <w:rPr>
          <w:rFonts w:hint="eastAsia"/>
        </w:rPr>
      </w:pPr>
    </w:p>
    <w:p w14:paraId="3663AA2D"/>
    <w:p w14:paraId="3551E406">
      <w:pPr>
        <w:widowControl/>
        <w:jc w:val="center"/>
        <w:rPr>
          <w:rFonts w:ascii="黑体" w:hAnsi="黑体" w:eastAsia="黑体" w:cs="黑体"/>
          <w:b/>
          <w:bCs/>
          <w:kern w:val="0"/>
          <w:sz w:val="64"/>
          <w:szCs w:val="64"/>
          <w:lang w:bidi="ar"/>
        </w:rPr>
      </w:pPr>
    </w:p>
    <w:p w14:paraId="43EEC485">
      <w:pPr>
        <w:widowControl/>
        <w:spacing w:line="360" w:lineRule="auto"/>
        <w:jc w:val="center"/>
        <w:rPr>
          <w:rFonts w:ascii="黑体" w:hAnsi="黑体" w:eastAsia="黑体" w:cs="黑体"/>
          <w:b/>
          <w:bCs/>
          <w:kern w:val="0"/>
          <w:sz w:val="58"/>
          <w:szCs w:val="58"/>
          <w:lang w:bidi="ar"/>
        </w:rPr>
      </w:pPr>
      <w:r>
        <w:rPr>
          <w:rFonts w:hint="eastAsia" w:ascii="黑体" w:hAnsi="黑体" w:eastAsia="黑体" w:cs="黑体"/>
          <w:b/>
          <w:bCs/>
          <w:kern w:val="0"/>
          <w:sz w:val="58"/>
          <w:szCs w:val="58"/>
          <w:lang w:bidi="ar"/>
        </w:rPr>
        <w:t>广东省广裕集团英德工贸实业</w:t>
      </w:r>
    </w:p>
    <w:p w14:paraId="456F1C68">
      <w:pPr>
        <w:widowControl/>
        <w:spacing w:line="360" w:lineRule="auto"/>
        <w:jc w:val="center"/>
        <w:rPr>
          <w:rFonts w:ascii="黑体" w:hAnsi="黑体" w:eastAsia="黑体" w:cs="黑体"/>
          <w:b/>
          <w:bCs/>
          <w:kern w:val="0"/>
          <w:sz w:val="58"/>
          <w:szCs w:val="58"/>
          <w:lang w:bidi="ar"/>
        </w:rPr>
      </w:pPr>
      <w:r>
        <w:rPr>
          <w:rFonts w:hint="eastAsia" w:ascii="黑体" w:hAnsi="黑体" w:eastAsia="黑体" w:cs="黑体"/>
          <w:b/>
          <w:bCs/>
          <w:kern w:val="0"/>
          <w:sz w:val="58"/>
          <w:szCs w:val="58"/>
          <w:lang w:bidi="ar"/>
        </w:rPr>
        <w:t>有限公司2024-2026年生产零配件、耗材定点采购项目</w:t>
      </w:r>
    </w:p>
    <w:p w14:paraId="2769068E">
      <w:pPr>
        <w:tabs>
          <w:tab w:val="left" w:pos="420"/>
          <w:tab w:val="left" w:pos="6660"/>
        </w:tabs>
        <w:adjustRightInd w:val="0"/>
        <w:snapToGrid w:val="0"/>
        <w:spacing w:before="72" w:after="72" w:line="1200" w:lineRule="atLeast"/>
        <w:jc w:val="center"/>
        <w:rPr>
          <w:rFonts w:ascii="黑体" w:eastAsia="黑体"/>
          <w:b/>
          <w:sz w:val="70"/>
          <w:szCs w:val="70"/>
        </w:rPr>
      </w:pPr>
    </w:p>
    <w:p w14:paraId="15647686"/>
    <w:p w14:paraId="6A671B63"/>
    <w:p w14:paraId="684D455C">
      <w:pPr>
        <w:tabs>
          <w:tab w:val="left" w:pos="420"/>
          <w:tab w:val="left" w:pos="6660"/>
        </w:tabs>
        <w:spacing w:before="72" w:after="72" w:line="1200" w:lineRule="atLeast"/>
        <w:jc w:val="center"/>
        <w:rPr>
          <w:rFonts w:ascii="黑体" w:eastAsia="黑体"/>
          <w:b/>
          <w:sz w:val="90"/>
          <w:szCs w:val="90"/>
        </w:rPr>
      </w:pPr>
      <w:r>
        <w:rPr>
          <w:rFonts w:hint="eastAsia" w:ascii="黑体" w:eastAsia="黑体"/>
          <w:b/>
          <w:sz w:val="90"/>
          <w:szCs w:val="90"/>
        </w:rPr>
        <w:t>公开招标文件</w:t>
      </w:r>
    </w:p>
    <w:p w14:paraId="5497C8E4">
      <w:pPr>
        <w:pStyle w:val="13"/>
        <w:spacing w:line="360" w:lineRule="auto"/>
        <w:ind w:left="0" w:leftChars="0"/>
        <w:jc w:val="center"/>
        <w:rPr>
          <w:rFonts w:ascii="黑体" w:hAnsi="黑体" w:eastAsia="黑体" w:cs="黑体"/>
          <w:sz w:val="44"/>
          <w:szCs w:val="44"/>
        </w:rPr>
      </w:pPr>
      <w:r>
        <w:rPr>
          <w:rFonts w:hint="eastAsia" w:ascii="黑体" w:hAnsi="黑体" w:eastAsia="黑体" w:cs="黑体"/>
          <w:sz w:val="44"/>
          <w:szCs w:val="44"/>
        </w:rPr>
        <w:t>（项目编号：1210-2440YDZB7768）</w:t>
      </w:r>
    </w:p>
    <w:p w14:paraId="43DD6829">
      <w:pPr>
        <w:rPr>
          <w:rFonts w:ascii="黑体" w:hAnsi="黑体" w:eastAsia="黑体" w:cs="黑体"/>
          <w:sz w:val="36"/>
          <w:szCs w:val="36"/>
        </w:rPr>
      </w:pPr>
    </w:p>
    <w:p w14:paraId="169F13A5">
      <w:pPr>
        <w:spacing w:before="72" w:after="72"/>
        <w:jc w:val="center"/>
      </w:pPr>
    </w:p>
    <w:p w14:paraId="047F28DD"/>
    <w:p w14:paraId="71F224A9"/>
    <w:p w14:paraId="0ED3D1F3"/>
    <w:p w14:paraId="3C1515E4"/>
    <w:p w14:paraId="058A14EB">
      <w:pPr>
        <w:spacing w:before="72" w:after="72"/>
        <w:jc w:val="center"/>
      </w:pPr>
    </w:p>
    <w:p w14:paraId="77F9B98C">
      <w:pPr>
        <w:rPr>
          <w:rFonts w:hAnsi="宋体"/>
          <w:bCs/>
          <w:sz w:val="32"/>
          <w:szCs w:val="32"/>
        </w:rPr>
      </w:pPr>
    </w:p>
    <w:p w14:paraId="565BDDCB">
      <w:pPr>
        <w:spacing w:before="72" w:after="72" w:line="360" w:lineRule="auto"/>
        <w:jc w:val="center"/>
        <w:rPr>
          <w:rFonts w:ascii="黑体" w:eastAsia="黑体"/>
          <w:sz w:val="48"/>
          <w:szCs w:val="48"/>
        </w:rPr>
      </w:pPr>
      <w:r>
        <w:rPr>
          <w:rFonts w:hint="eastAsia" w:ascii="黑体" w:hAnsi="宋体" w:eastAsia="黑体"/>
          <w:sz w:val="48"/>
          <w:szCs w:val="48"/>
        </w:rPr>
        <w:t>广东有德招标采购有限公司</w:t>
      </w:r>
    </w:p>
    <w:p w14:paraId="1BFC1CE6">
      <w:pPr>
        <w:jc w:val="center"/>
        <w:rPr>
          <w:rFonts w:eastAsia="仿宋_GB2312"/>
          <w:b/>
          <w:bCs/>
          <w:sz w:val="32"/>
          <w:szCs w:val="32"/>
        </w:rPr>
        <w:sectPr>
          <w:headerReference r:id="rId3" w:type="default"/>
          <w:pgSz w:w="11905" w:h="16838"/>
          <w:pgMar w:top="1440" w:right="1440" w:bottom="1440" w:left="1440" w:header="850" w:footer="822" w:gutter="0"/>
          <w:cols w:space="0" w:num="1"/>
          <w:docGrid w:linePitch="312" w:charSpace="0"/>
        </w:sectPr>
      </w:pPr>
      <w:r>
        <w:rPr>
          <w:rFonts w:hint="eastAsia" w:ascii="黑体" w:hAnsi="宋体" w:eastAsia="黑体"/>
          <w:sz w:val="48"/>
          <w:szCs w:val="48"/>
        </w:rPr>
        <w:t>二〇二四年</w:t>
      </w:r>
      <w:r>
        <w:rPr>
          <w:rFonts w:hint="eastAsia" w:ascii="黑体" w:hAnsi="宋体" w:eastAsia="黑体"/>
          <w:sz w:val="48"/>
          <w:szCs w:val="48"/>
          <w:lang w:eastAsia="zh-CN"/>
        </w:rPr>
        <w:t>九</w:t>
      </w:r>
      <w:r>
        <w:rPr>
          <w:rFonts w:hint="eastAsia" w:ascii="黑体" w:hAnsi="宋体" w:eastAsia="黑体"/>
          <w:sz w:val="48"/>
          <w:szCs w:val="48"/>
        </w:rPr>
        <w:t>月</w:t>
      </w:r>
    </w:p>
    <w:p w14:paraId="0D602B3E">
      <w:bookmarkStart w:id="0" w:name="_Toc50736465"/>
      <w:bookmarkStart w:id="1" w:name="_Toc50737317"/>
      <w:bookmarkStart w:id="2" w:name="_Toc50691018"/>
      <w:bookmarkStart w:id="3" w:name="_Toc372468299"/>
      <w:bookmarkStart w:id="4" w:name="_Toc50737285"/>
      <w:bookmarkStart w:id="5" w:name="_Toc182886646"/>
      <w:bookmarkStart w:id="6" w:name="_Toc168288363"/>
      <w:bookmarkStart w:id="7" w:name="_Toc183316708"/>
      <w:bookmarkStart w:id="8" w:name="_Toc423021938"/>
    </w:p>
    <w:p w14:paraId="4D336DF9">
      <w:pPr>
        <w:pStyle w:val="2"/>
        <w:adjustRightInd w:val="0"/>
        <w:snapToGrid w:val="0"/>
        <w:spacing w:before="0" w:after="0" w:line="360" w:lineRule="auto"/>
        <w:jc w:val="center"/>
      </w:pPr>
      <w:bookmarkStart w:id="9" w:name="_Toc25172"/>
      <w:bookmarkStart w:id="10" w:name="_Toc10397"/>
      <w:bookmarkStart w:id="11" w:name="_Toc12201"/>
      <w:bookmarkStart w:id="12" w:name="_Toc9871"/>
      <w:bookmarkStart w:id="13" w:name="_Toc31776"/>
      <w:r>
        <w:rPr>
          <w:rFonts w:hint="eastAsia"/>
        </w:rPr>
        <w:t>温馨提示: 投标人投标特别注意事项</w:t>
      </w:r>
      <w:bookmarkEnd w:id="9"/>
      <w:bookmarkEnd w:id="10"/>
      <w:bookmarkEnd w:id="11"/>
      <w:bookmarkEnd w:id="12"/>
      <w:bookmarkEnd w:id="13"/>
    </w:p>
    <w:p w14:paraId="75B07E55"/>
    <w:p w14:paraId="610F1588">
      <w:pPr>
        <w:numPr>
          <w:ilvl w:val="0"/>
          <w:numId w:val="2"/>
        </w:numPr>
        <w:spacing w:line="360" w:lineRule="auto"/>
        <w:rPr>
          <w:sz w:val="24"/>
        </w:rPr>
      </w:pPr>
      <w:r>
        <w:rPr>
          <w:rFonts w:hint="eastAsia"/>
          <w:sz w:val="24"/>
        </w:rPr>
        <w:t>请投标人特别留意招标文件上注明的投标截止和开标时间，逾期送达或邮寄送达的投标文件本公司恕不接收。投标截止时间一到，本公司不再接收任何投标文件。因此，请投标人适当提前到达开标地点。</w:t>
      </w:r>
    </w:p>
    <w:p w14:paraId="32C0E8A9">
      <w:pPr>
        <w:numPr>
          <w:ilvl w:val="0"/>
          <w:numId w:val="2"/>
        </w:numPr>
        <w:spacing w:line="360" w:lineRule="auto"/>
        <w:rPr>
          <w:b/>
          <w:bCs/>
          <w:sz w:val="24"/>
        </w:rPr>
      </w:pPr>
      <w:r>
        <w:rPr>
          <w:rFonts w:hint="eastAsia"/>
          <w:b/>
          <w:bCs/>
          <w:sz w:val="24"/>
        </w:rPr>
        <w:t>购买招标文件或缴交中标服务费的账户：</w:t>
      </w:r>
    </w:p>
    <w:p w14:paraId="6FB84B2F">
      <w:pPr>
        <w:spacing w:line="360" w:lineRule="auto"/>
        <w:ind w:firstLine="420" w:firstLineChars="175"/>
        <w:rPr>
          <w:sz w:val="24"/>
        </w:rPr>
      </w:pPr>
      <w:r>
        <w:rPr>
          <w:rFonts w:hint="eastAsia"/>
          <w:sz w:val="24"/>
        </w:rPr>
        <w:t>账号：38610188000123567，开户银行：中国光大银行广州分行，收款人：广东有德招标采购有限公司</w:t>
      </w:r>
    </w:p>
    <w:p w14:paraId="30EEB9BC">
      <w:pPr>
        <w:numPr>
          <w:ilvl w:val="0"/>
          <w:numId w:val="2"/>
        </w:numPr>
        <w:spacing w:line="360" w:lineRule="auto"/>
        <w:rPr>
          <w:sz w:val="24"/>
        </w:rPr>
      </w:pPr>
      <w:r>
        <w:rPr>
          <w:rFonts w:hint="eastAsia"/>
          <w:sz w:val="24"/>
        </w:rPr>
        <w:t>招标文件有“★”的地方为实质性的指标要求，必须一一响应。若有一项带“★”的指标要求未响应或不满足，将按投标无效处理。</w:t>
      </w:r>
    </w:p>
    <w:p w14:paraId="1655D390">
      <w:pPr>
        <w:numPr>
          <w:ilvl w:val="0"/>
          <w:numId w:val="2"/>
        </w:numPr>
        <w:spacing w:line="360" w:lineRule="auto"/>
        <w:rPr>
          <w:sz w:val="24"/>
        </w:rPr>
      </w:pPr>
      <w:r>
        <w:rPr>
          <w:rFonts w:hint="eastAsia"/>
          <w:sz w:val="24"/>
        </w:rPr>
        <w:t>请正确填写《开标一览表》，含有包组的投标项目需分开报价，制作投标文件时可分开装订也可统一装订，但都必须密封。</w:t>
      </w:r>
    </w:p>
    <w:p w14:paraId="28146118">
      <w:pPr>
        <w:numPr>
          <w:ilvl w:val="0"/>
          <w:numId w:val="2"/>
        </w:numPr>
        <w:spacing w:line="360" w:lineRule="auto"/>
        <w:rPr>
          <w:sz w:val="24"/>
        </w:rPr>
      </w:pPr>
      <w:r>
        <w:rPr>
          <w:rFonts w:hint="eastAsia"/>
          <w:sz w:val="24"/>
        </w:rPr>
        <w:t>请仔细检查《投标函》、《开标一览表》等重要格式文件是否有按要求盖公章或签名。</w:t>
      </w:r>
    </w:p>
    <w:p w14:paraId="0588401E">
      <w:pPr>
        <w:numPr>
          <w:ilvl w:val="0"/>
          <w:numId w:val="2"/>
        </w:numPr>
        <w:spacing w:line="360" w:lineRule="auto"/>
        <w:rPr>
          <w:sz w:val="24"/>
        </w:rPr>
      </w:pPr>
      <w:r>
        <w:rPr>
          <w:rFonts w:hint="eastAsia"/>
          <w:sz w:val="24"/>
        </w:rPr>
        <w:t>投标文件应按顺序编制页码。</w:t>
      </w:r>
    </w:p>
    <w:p w14:paraId="63CC5E25">
      <w:pPr>
        <w:numPr>
          <w:ilvl w:val="0"/>
          <w:numId w:val="2"/>
        </w:numPr>
        <w:spacing w:line="360" w:lineRule="auto"/>
        <w:rPr>
          <w:sz w:val="24"/>
        </w:rPr>
      </w:pPr>
      <w:r>
        <w:rPr>
          <w:rFonts w:hint="eastAsia"/>
          <w:sz w:val="24"/>
        </w:rPr>
        <w:t>招标文件如允许分公司投标的，需提供具有法人资格的总公司有效的营业执照副本复印件及对被授权人的授权书。</w:t>
      </w:r>
    </w:p>
    <w:p w14:paraId="53675EEA">
      <w:pPr>
        <w:numPr>
          <w:ilvl w:val="0"/>
          <w:numId w:val="2"/>
        </w:numPr>
        <w:spacing w:line="360" w:lineRule="auto"/>
        <w:rPr>
          <w:sz w:val="24"/>
        </w:rPr>
      </w:pPr>
      <w:r>
        <w:rPr>
          <w:rFonts w:hint="eastAsia"/>
          <w:sz w:val="24"/>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3097500E">
      <w:pPr>
        <w:spacing w:line="360" w:lineRule="auto"/>
        <w:jc w:val="center"/>
        <w:rPr>
          <w:b/>
          <w:bCs/>
          <w:sz w:val="18"/>
          <w:szCs w:val="18"/>
        </w:rPr>
      </w:pPr>
      <w:r>
        <w:rPr>
          <w:rFonts w:hint="eastAsia"/>
          <w:b/>
          <w:bCs/>
          <w:sz w:val="18"/>
          <w:szCs w:val="18"/>
        </w:rPr>
        <w:t>（本提示非招标文件的组成部分，仅作善意提醒。若与招标文件有不同之处，以招标文件为准。）</w:t>
      </w:r>
    </w:p>
    <w:p w14:paraId="63DC726E"/>
    <w:p w14:paraId="10894F2E">
      <w:pPr>
        <w:sectPr>
          <w:headerReference r:id="rId4" w:type="default"/>
          <w:footerReference r:id="rId5" w:type="default"/>
          <w:pgSz w:w="11905" w:h="16838"/>
          <w:pgMar w:top="1440" w:right="1440" w:bottom="1440" w:left="1440" w:header="850" w:footer="822" w:gutter="0"/>
          <w:pgNumType w:start="1"/>
          <w:cols w:space="0" w:num="1"/>
          <w:docGrid w:linePitch="312" w:charSpace="0"/>
        </w:sectPr>
      </w:pPr>
    </w:p>
    <w:p w14:paraId="3EC6C7FD">
      <w:pPr>
        <w:pStyle w:val="2"/>
        <w:adjustRightInd w:val="0"/>
        <w:snapToGrid w:val="0"/>
        <w:spacing w:before="0" w:after="0" w:line="340" w:lineRule="exact"/>
        <w:jc w:val="center"/>
        <w:rPr>
          <w:sz w:val="36"/>
          <w:szCs w:val="36"/>
        </w:rPr>
      </w:pPr>
      <w:bookmarkStart w:id="14" w:name="_Toc4156"/>
      <w:bookmarkStart w:id="15" w:name="_Toc18881"/>
      <w:bookmarkStart w:id="16" w:name="_Toc29872"/>
      <w:bookmarkStart w:id="17" w:name="_Toc6018"/>
      <w:bookmarkStart w:id="18" w:name="_Toc3828"/>
      <w:bookmarkStart w:id="19" w:name="_Toc78470010"/>
      <w:bookmarkStart w:id="20" w:name="_Toc46253166"/>
      <w:bookmarkStart w:id="21" w:name="_Toc89077591"/>
      <w:r>
        <w:rPr>
          <w:rFonts w:hint="eastAsia"/>
          <w:sz w:val="36"/>
          <w:szCs w:val="36"/>
        </w:rPr>
        <w:t>目  录</w:t>
      </w:r>
      <w:bookmarkEnd w:id="14"/>
      <w:bookmarkEnd w:id="15"/>
      <w:bookmarkEnd w:id="16"/>
      <w:bookmarkEnd w:id="17"/>
      <w:bookmarkEnd w:id="18"/>
      <w:bookmarkEnd w:id="19"/>
      <w:bookmarkEnd w:id="20"/>
      <w:bookmarkEnd w:id="21"/>
    </w:p>
    <w:p w14:paraId="32DE6F11">
      <w:pPr>
        <w:pStyle w:val="17"/>
        <w:tabs>
          <w:tab w:val="right" w:leader="dot" w:pos="9025"/>
        </w:tabs>
        <w:spacing w:line="320" w:lineRule="exact"/>
        <w:rPr>
          <w:rFonts w:ascii="宋体" w:hAnsi="宋体" w:eastAsia="宋体"/>
        </w:rPr>
      </w:pPr>
      <w:r>
        <w:rPr>
          <w:rFonts w:hint="eastAsia" w:asciiTheme="minorEastAsia" w:hAnsiTheme="minorEastAsia"/>
          <w:sz w:val="24"/>
        </w:rPr>
        <w:fldChar w:fldCharType="begin"/>
      </w:r>
      <w:r>
        <w:rPr>
          <w:rFonts w:hint="eastAsia" w:asciiTheme="minorEastAsia" w:hAnsiTheme="minorEastAsia"/>
          <w:sz w:val="24"/>
        </w:rPr>
        <w:instrText xml:space="preserve">TOC \o "1-3" \h \u </w:instrText>
      </w:r>
      <w:r>
        <w:rPr>
          <w:rFonts w:hint="eastAsia" w:asciiTheme="minorEastAsia" w:hAnsiTheme="minorEastAsia"/>
          <w:sz w:val="24"/>
        </w:rPr>
        <w:fldChar w:fldCharType="separate"/>
      </w:r>
      <w:r>
        <w:fldChar w:fldCharType="begin"/>
      </w:r>
      <w:r>
        <w:instrText xml:space="preserve"> HYPERLINK \l "_Toc10397" </w:instrText>
      </w:r>
      <w:r>
        <w:fldChar w:fldCharType="separate"/>
      </w:r>
      <w:r>
        <w:rPr>
          <w:rFonts w:hint="eastAsia" w:ascii="宋体" w:hAnsi="宋体" w:eastAsia="宋体"/>
        </w:rPr>
        <w:t>温馨提示: 投标人投标特别注意事项</w:t>
      </w:r>
      <w:r>
        <w:rPr>
          <w:rFonts w:ascii="宋体" w:hAnsi="宋体" w:eastAsia="宋体"/>
        </w:rPr>
        <w:tab/>
      </w:r>
      <w:r>
        <w:rPr>
          <w:rFonts w:ascii="宋体" w:hAnsi="宋体" w:eastAsia="宋体"/>
        </w:rPr>
        <w:fldChar w:fldCharType="begin"/>
      </w:r>
      <w:r>
        <w:rPr>
          <w:rFonts w:ascii="宋体" w:hAnsi="宋体" w:eastAsia="宋体"/>
        </w:rPr>
        <w:instrText xml:space="preserve"> PAGEREF _Toc10397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14:paraId="13D8106B">
      <w:pPr>
        <w:pStyle w:val="17"/>
        <w:tabs>
          <w:tab w:val="right" w:leader="dot" w:pos="9025"/>
        </w:tabs>
        <w:spacing w:line="320" w:lineRule="exact"/>
        <w:rPr>
          <w:rFonts w:ascii="宋体" w:hAnsi="宋体" w:eastAsia="宋体"/>
        </w:rPr>
      </w:pPr>
      <w:r>
        <w:fldChar w:fldCharType="begin"/>
      </w:r>
      <w:r>
        <w:instrText xml:space="preserve"> HYPERLINK \l "_Toc10450" </w:instrText>
      </w:r>
      <w:r>
        <w:fldChar w:fldCharType="separate"/>
      </w:r>
      <w:r>
        <w:rPr>
          <w:rFonts w:hint="eastAsia" w:ascii="宋体" w:hAnsi="宋体" w:eastAsia="宋体"/>
        </w:rPr>
        <w:t>第一章 投标邀请函</w:t>
      </w:r>
      <w:r>
        <w:rPr>
          <w:rFonts w:ascii="宋体" w:hAnsi="宋体" w:eastAsia="宋体"/>
        </w:rPr>
        <w:tab/>
      </w:r>
      <w:r>
        <w:rPr>
          <w:rFonts w:ascii="宋体" w:hAnsi="宋体" w:eastAsia="宋体"/>
        </w:rPr>
        <w:fldChar w:fldCharType="begin"/>
      </w:r>
      <w:r>
        <w:rPr>
          <w:rFonts w:ascii="宋体" w:hAnsi="宋体" w:eastAsia="宋体"/>
        </w:rPr>
        <w:instrText xml:space="preserve"> PAGEREF _Toc10450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14:paraId="1C13CB5C">
      <w:pPr>
        <w:pStyle w:val="17"/>
        <w:tabs>
          <w:tab w:val="right" w:leader="dot" w:pos="9025"/>
        </w:tabs>
        <w:spacing w:line="320" w:lineRule="exact"/>
        <w:rPr>
          <w:rFonts w:ascii="宋体" w:hAnsi="宋体" w:eastAsia="宋体"/>
        </w:rPr>
      </w:pPr>
      <w:r>
        <w:fldChar w:fldCharType="begin"/>
      </w:r>
      <w:r>
        <w:instrText xml:space="preserve"> HYPERLINK \l "_Toc13206" </w:instrText>
      </w:r>
      <w:r>
        <w:fldChar w:fldCharType="separate"/>
      </w:r>
      <w:r>
        <w:rPr>
          <w:rFonts w:hint="eastAsia" w:ascii="宋体" w:hAnsi="宋体" w:eastAsia="宋体"/>
        </w:rPr>
        <w:t>第二章 投标人须知</w:t>
      </w:r>
      <w:r>
        <w:rPr>
          <w:rFonts w:ascii="宋体" w:hAnsi="宋体" w:eastAsia="宋体"/>
        </w:rPr>
        <w:tab/>
      </w:r>
      <w:r>
        <w:rPr>
          <w:rFonts w:ascii="宋体" w:hAnsi="宋体" w:eastAsia="宋体"/>
        </w:rPr>
        <w:fldChar w:fldCharType="begin"/>
      </w:r>
      <w:r>
        <w:rPr>
          <w:rFonts w:ascii="宋体" w:hAnsi="宋体" w:eastAsia="宋体"/>
        </w:rPr>
        <w:instrText xml:space="preserve"> PAGEREF _Toc13206 \h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fldChar w:fldCharType="end"/>
      </w:r>
    </w:p>
    <w:p w14:paraId="1468FE3D">
      <w:pPr>
        <w:pStyle w:val="21"/>
        <w:tabs>
          <w:tab w:val="right" w:leader="dot" w:pos="9025"/>
        </w:tabs>
        <w:spacing w:line="320" w:lineRule="exact"/>
        <w:rPr>
          <w:rFonts w:ascii="宋体" w:hAnsi="宋体" w:eastAsia="宋体"/>
        </w:rPr>
      </w:pPr>
      <w:r>
        <w:rPr>
          <w:rFonts w:hint="eastAsia" w:ascii="宋体" w:hAnsi="宋体" w:eastAsia="宋体"/>
        </w:rPr>
        <w:fldChar w:fldCharType="begin"/>
      </w:r>
      <w:r>
        <w:rPr>
          <w:rFonts w:hint="eastAsia" w:ascii="宋体" w:hAnsi="宋体" w:eastAsia="宋体"/>
        </w:rPr>
        <w:instrText xml:space="preserve"> HYPERLINK \l _Toc3357 </w:instrText>
      </w:r>
      <w:r>
        <w:rPr>
          <w:rFonts w:hint="eastAsia" w:ascii="宋体" w:hAnsi="宋体" w:eastAsia="宋体"/>
        </w:rPr>
        <w:fldChar w:fldCharType="separate"/>
      </w:r>
      <w:r>
        <w:rPr>
          <w:rFonts w:hint="eastAsia" w:ascii="宋体" w:hAnsi="宋体" w:eastAsia="宋体"/>
        </w:rPr>
        <w:t>投标人须知前附表</w:t>
      </w:r>
      <w:r>
        <w:rPr>
          <w:rFonts w:ascii="宋体" w:hAnsi="宋体" w:eastAsia="宋体"/>
        </w:rPr>
        <w:tab/>
      </w:r>
      <w:r>
        <w:rPr>
          <w:rFonts w:ascii="宋体" w:hAnsi="宋体" w:eastAsia="宋体"/>
        </w:rPr>
        <w:fldChar w:fldCharType="begin"/>
      </w:r>
      <w:r>
        <w:rPr>
          <w:rFonts w:ascii="宋体" w:hAnsi="宋体" w:eastAsia="宋体"/>
        </w:rPr>
        <w:instrText xml:space="preserve"> PAGEREF _Toc3357 \h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hint="eastAsia" w:ascii="宋体" w:hAnsi="宋体" w:eastAsia="宋体"/>
        </w:rPr>
        <w:fldChar w:fldCharType="end"/>
      </w:r>
    </w:p>
    <w:p w14:paraId="209BD0B5">
      <w:pPr>
        <w:pStyle w:val="21"/>
        <w:tabs>
          <w:tab w:val="right" w:leader="dot" w:pos="9025"/>
        </w:tabs>
        <w:spacing w:line="320" w:lineRule="exact"/>
        <w:rPr>
          <w:rFonts w:ascii="宋体" w:hAnsi="宋体" w:eastAsia="宋体"/>
        </w:rPr>
      </w:pPr>
      <w:r>
        <w:fldChar w:fldCharType="begin"/>
      </w:r>
      <w:r>
        <w:instrText xml:space="preserve"> HYPERLINK \l "_Toc12612" </w:instrText>
      </w:r>
      <w:r>
        <w:fldChar w:fldCharType="separate"/>
      </w:r>
      <w:r>
        <w:rPr>
          <w:rFonts w:hint="eastAsia" w:ascii="宋体" w:hAnsi="宋体" w:eastAsia="宋体"/>
        </w:rPr>
        <w:t xml:space="preserve">（一） </w:t>
      </w:r>
      <w:r>
        <w:rPr>
          <w:rFonts w:ascii="宋体" w:hAnsi="宋体" w:eastAsia="宋体"/>
        </w:rPr>
        <w:t>总则</w:t>
      </w:r>
      <w:r>
        <w:rPr>
          <w:rFonts w:ascii="宋体" w:hAnsi="宋体" w:eastAsia="宋体"/>
        </w:rPr>
        <w:tab/>
      </w:r>
      <w:r>
        <w:rPr>
          <w:rFonts w:ascii="宋体" w:hAnsi="宋体" w:eastAsia="宋体"/>
        </w:rPr>
        <w:fldChar w:fldCharType="begin"/>
      </w:r>
      <w:r>
        <w:rPr>
          <w:rFonts w:ascii="宋体" w:hAnsi="宋体" w:eastAsia="宋体"/>
        </w:rPr>
        <w:instrText xml:space="preserve"> PAGEREF _Toc12612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06D12EF9">
      <w:pPr>
        <w:pStyle w:val="11"/>
        <w:tabs>
          <w:tab w:val="right" w:leader="dot" w:pos="9025"/>
        </w:tabs>
        <w:spacing w:line="320" w:lineRule="exact"/>
        <w:rPr>
          <w:rFonts w:ascii="宋体" w:hAnsi="宋体" w:eastAsia="宋体"/>
        </w:rPr>
      </w:pPr>
      <w:r>
        <w:fldChar w:fldCharType="begin"/>
      </w:r>
      <w:r>
        <w:instrText xml:space="preserve"> HYPERLINK \l "_Toc6158" </w:instrText>
      </w:r>
      <w:r>
        <w:fldChar w:fldCharType="separate"/>
      </w:r>
      <w:r>
        <w:rPr>
          <w:rFonts w:ascii="宋体" w:hAnsi="宋体" w:eastAsia="宋体"/>
          <w:szCs w:val="28"/>
          <w:lang w:val="zh-CN"/>
        </w:rPr>
        <w:t xml:space="preserve">1. </w:t>
      </w:r>
      <w:r>
        <w:rPr>
          <w:rFonts w:hint="eastAsia" w:ascii="宋体" w:hAnsi="宋体" w:eastAsia="宋体"/>
          <w:szCs w:val="28"/>
          <w:lang w:val="zh-CN"/>
        </w:rPr>
        <w:t>招标项目与采购当事人</w:t>
      </w:r>
      <w:r>
        <w:rPr>
          <w:rFonts w:ascii="宋体" w:hAnsi="宋体" w:eastAsia="宋体"/>
        </w:rPr>
        <w:tab/>
      </w:r>
      <w:r>
        <w:rPr>
          <w:rFonts w:ascii="宋体" w:hAnsi="宋体" w:eastAsia="宋体"/>
        </w:rPr>
        <w:fldChar w:fldCharType="begin"/>
      </w:r>
      <w:r>
        <w:rPr>
          <w:rFonts w:ascii="宋体" w:hAnsi="宋体" w:eastAsia="宋体"/>
        </w:rPr>
        <w:instrText xml:space="preserve"> PAGEREF _Toc6158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1B9E5CAE">
      <w:pPr>
        <w:pStyle w:val="11"/>
        <w:tabs>
          <w:tab w:val="right" w:leader="dot" w:pos="9025"/>
        </w:tabs>
        <w:spacing w:line="320" w:lineRule="exact"/>
        <w:rPr>
          <w:rFonts w:ascii="宋体" w:hAnsi="宋体" w:eastAsia="宋体"/>
        </w:rPr>
      </w:pPr>
      <w:r>
        <w:fldChar w:fldCharType="begin"/>
      </w:r>
      <w:r>
        <w:instrText xml:space="preserve"> HYPERLINK \l "_Toc31137" </w:instrText>
      </w:r>
      <w:r>
        <w:fldChar w:fldCharType="separate"/>
      </w:r>
      <w:r>
        <w:rPr>
          <w:rFonts w:ascii="宋体" w:hAnsi="宋体" w:eastAsia="宋体"/>
          <w:szCs w:val="28"/>
          <w:lang w:val="zh-CN"/>
        </w:rPr>
        <w:t xml:space="preserve">2. </w:t>
      </w:r>
      <w:r>
        <w:rPr>
          <w:rFonts w:hint="eastAsia" w:ascii="宋体" w:hAnsi="宋体" w:eastAsia="宋体"/>
          <w:szCs w:val="28"/>
          <w:lang w:val="zh-CN"/>
        </w:rPr>
        <w:t>合格的投标人</w:t>
      </w:r>
      <w:r>
        <w:rPr>
          <w:rFonts w:ascii="宋体" w:hAnsi="宋体" w:eastAsia="宋体"/>
        </w:rPr>
        <w:tab/>
      </w:r>
      <w:r>
        <w:rPr>
          <w:rFonts w:ascii="宋体" w:hAnsi="宋体" w:eastAsia="宋体"/>
        </w:rPr>
        <w:fldChar w:fldCharType="begin"/>
      </w:r>
      <w:r>
        <w:rPr>
          <w:rFonts w:ascii="宋体" w:hAnsi="宋体" w:eastAsia="宋体"/>
        </w:rPr>
        <w:instrText xml:space="preserve"> PAGEREF _Toc31137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24CB7860">
      <w:pPr>
        <w:pStyle w:val="11"/>
        <w:tabs>
          <w:tab w:val="right" w:leader="dot" w:pos="9025"/>
        </w:tabs>
        <w:spacing w:line="320" w:lineRule="exact"/>
        <w:rPr>
          <w:rFonts w:ascii="宋体" w:hAnsi="宋体" w:eastAsia="宋体"/>
        </w:rPr>
      </w:pPr>
      <w:r>
        <w:fldChar w:fldCharType="begin"/>
      </w:r>
      <w:r>
        <w:instrText xml:space="preserve"> HYPERLINK \l "_Toc9224" </w:instrText>
      </w:r>
      <w:r>
        <w:fldChar w:fldCharType="separate"/>
      </w:r>
      <w:r>
        <w:rPr>
          <w:rFonts w:ascii="宋体" w:hAnsi="宋体" w:eastAsia="宋体"/>
          <w:szCs w:val="28"/>
          <w:lang w:val="zh-CN"/>
        </w:rPr>
        <w:t xml:space="preserve">3. </w:t>
      </w:r>
      <w:r>
        <w:rPr>
          <w:rFonts w:hint="eastAsia" w:ascii="宋体" w:hAnsi="宋体" w:eastAsia="宋体"/>
          <w:szCs w:val="28"/>
          <w:lang w:val="zh-CN"/>
        </w:rPr>
        <w:t>合格的货物和服务</w:t>
      </w:r>
      <w:r>
        <w:rPr>
          <w:rFonts w:ascii="宋体" w:hAnsi="宋体" w:eastAsia="宋体"/>
        </w:rPr>
        <w:tab/>
      </w:r>
      <w:r>
        <w:rPr>
          <w:rFonts w:ascii="宋体" w:hAnsi="宋体" w:eastAsia="宋体"/>
        </w:rPr>
        <w:fldChar w:fldCharType="begin"/>
      </w:r>
      <w:r>
        <w:rPr>
          <w:rFonts w:ascii="宋体" w:hAnsi="宋体" w:eastAsia="宋体"/>
        </w:rPr>
        <w:instrText xml:space="preserve"> PAGEREF _Toc9224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3EE4DAF1">
      <w:pPr>
        <w:pStyle w:val="11"/>
        <w:tabs>
          <w:tab w:val="right" w:leader="dot" w:pos="9025"/>
        </w:tabs>
        <w:spacing w:line="320" w:lineRule="exact"/>
        <w:rPr>
          <w:rFonts w:ascii="宋体" w:hAnsi="宋体" w:eastAsia="宋体"/>
        </w:rPr>
      </w:pPr>
      <w:r>
        <w:fldChar w:fldCharType="begin"/>
      </w:r>
      <w:r>
        <w:instrText xml:space="preserve"> HYPERLINK \l "_Toc17565" </w:instrText>
      </w:r>
      <w:r>
        <w:fldChar w:fldCharType="separate"/>
      </w:r>
      <w:r>
        <w:rPr>
          <w:rFonts w:ascii="宋体" w:hAnsi="宋体" w:eastAsia="宋体"/>
          <w:szCs w:val="28"/>
          <w:lang w:val="zh-CN"/>
        </w:rPr>
        <w:t xml:space="preserve">4. </w:t>
      </w:r>
      <w:r>
        <w:rPr>
          <w:rFonts w:hint="eastAsia" w:ascii="宋体" w:hAnsi="宋体" w:eastAsia="宋体"/>
          <w:szCs w:val="28"/>
          <w:lang w:val="zh-CN"/>
        </w:rPr>
        <w:t>信用担保</w:t>
      </w:r>
      <w:r>
        <w:rPr>
          <w:rFonts w:ascii="宋体" w:hAnsi="宋体" w:eastAsia="宋体"/>
        </w:rPr>
        <w:tab/>
      </w:r>
      <w:r>
        <w:rPr>
          <w:rFonts w:ascii="宋体" w:hAnsi="宋体" w:eastAsia="宋体"/>
        </w:rPr>
        <w:fldChar w:fldCharType="begin"/>
      </w:r>
      <w:r>
        <w:rPr>
          <w:rFonts w:ascii="宋体" w:hAnsi="宋体" w:eastAsia="宋体"/>
        </w:rPr>
        <w:instrText xml:space="preserve"> PAGEREF _Toc17565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0E94A3B1">
      <w:pPr>
        <w:pStyle w:val="21"/>
        <w:tabs>
          <w:tab w:val="right" w:leader="dot" w:pos="9025"/>
        </w:tabs>
        <w:spacing w:line="320" w:lineRule="exact"/>
        <w:rPr>
          <w:rFonts w:ascii="宋体" w:hAnsi="宋体" w:eastAsia="宋体"/>
        </w:rPr>
      </w:pPr>
      <w:r>
        <w:fldChar w:fldCharType="begin"/>
      </w:r>
      <w:r>
        <w:instrText xml:space="preserve"> HYPERLINK \l "_Toc7148" </w:instrText>
      </w:r>
      <w:r>
        <w:fldChar w:fldCharType="separate"/>
      </w:r>
      <w:r>
        <w:rPr>
          <w:rFonts w:hint="eastAsia" w:ascii="宋体" w:hAnsi="宋体" w:eastAsia="宋体"/>
        </w:rPr>
        <w:t xml:space="preserve">（二） </w:t>
      </w:r>
      <w:r>
        <w:rPr>
          <w:rFonts w:ascii="宋体" w:hAnsi="宋体" w:eastAsia="宋体"/>
        </w:rPr>
        <w:t>招标文件</w:t>
      </w:r>
      <w:r>
        <w:rPr>
          <w:rFonts w:ascii="宋体" w:hAnsi="宋体" w:eastAsia="宋体"/>
        </w:rPr>
        <w:tab/>
      </w:r>
      <w:r>
        <w:rPr>
          <w:rFonts w:ascii="宋体" w:hAnsi="宋体" w:eastAsia="宋体"/>
        </w:rPr>
        <w:fldChar w:fldCharType="begin"/>
      </w:r>
      <w:r>
        <w:rPr>
          <w:rFonts w:ascii="宋体" w:hAnsi="宋体" w:eastAsia="宋体"/>
        </w:rPr>
        <w:instrText xml:space="preserve"> PAGEREF _Toc7148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1C9177B7">
      <w:pPr>
        <w:pStyle w:val="11"/>
        <w:tabs>
          <w:tab w:val="right" w:leader="dot" w:pos="9025"/>
        </w:tabs>
        <w:spacing w:line="320" w:lineRule="exact"/>
        <w:rPr>
          <w:rFonts w:ascii="宋体" w:hAnsi="宋体" w:eastAsia="宋体"/>
        </w:rPr>
      </w:pPr>
      <w:r>
        <w:fldChar w:fldCharType="begin"/>
      </w:r>
      <w:r>
        <w:instrText xml:space="preserve"> HYPERLINK \l "_Toc24967" </w:instrText>
      </w:r>
      <w:r>
        <w:fldChar w:fldCharType="separate"/>
      </w:r>
      <w:r>
        <w:rPr>
          <w:rFonts w:ascii="宋体" w:hAnsi="宋体" w:eastAsia="宋体"/>
          <w:szCs w:val="28"/>
          <w:lang w:val="zh-CN"/>
        </w:rPr>
        <w:t xml:space="preserve">5. </w:t>
      </w:r>
      <w:r>
        <w:rPr>
          <w:rFonts w:hint="eastAsia" w:ascii="宋体" w:hAnsi="宋体" w:eastAsia="宋体"/>
          <w:szCs w:val="28"/>
          <w:lang w:val="zh-CN"/>
        </w:rPr>
        <w:t>招标文件的编制依据和组成</w:t>
      </w:r>
      <w:r>
        <w:rPr>
          <w:rFonts w:ascii="宋体" w:hAnsi="宋体" w:eastAsia="宋体"/>
        </w:rPr>
        <w:tab/>
      </w:r>
      <w:r>
        <w:rPr>
          <w:rFonts w:ascii="宋体" w:hAnsi="宋体" w:eastAsia="宋体"/>
        </w:rPr>
        <w:fldChar w:fldCharType="begin"/>
      </w:r>
      <w:r>
        <w:rPr>
          <w:rFonts w:ascii="宋体" w:hAnsi="宋体" w:eastAsia="宋体"/>
        </w:rPr>
        <w:instrText xml:space="preserve"> PAGEREF _Toc24967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41B6D146">
      <w:pPr>
        <w:pStyle w:val="11"/>
        <w:tabs>
          <w:tab w:val="right" w:leader="dot" w:pos="9025"/>
        </w:tabs>
        <w:spacing w:line="320" w:lineRule="exact"/>
        <w:rPr>
          <w:rFonts w:ascii="宋体" w:hAnsi="宋体" w:eastAsia="宋体"/>
        </w:rPr>
      </w:pPr>
      <w:r>
        <w:fldChar w:fldCharType="begin"/>
      </w:r>
      <w:r>
        <w:instrText xml:space="preserve"> HYPERLINK \l "_Toc2579" </w:instrText>
      </w:r>
      <w:r>
        <w:fldChar w:fldCharType="separate"/>
      </w:r>
      <w:r>
        <w:rPr>
          <w:rFonts w:ascii="宋体" w:hAnsi="宋体" w:eastAsia="宋体"/>
          <w:szCs w:val="28"/>
          <w:lang w:val="zh-CN"/>
        </w:rPr>
        <w:t xml:space="preserve">6. </w:t>
      </w:r>
      <w:r>
        <w:rPr>
          <w:rFonts w:hint="eastAsia" w:ascii="宋体" w:hAnsi="宋体" w:eastAsia="宋体"/>
          <w:szCs w:val="28"/>
          <w:lang w:val="zh-CN"/>
        </w:rPr>
        <w:t>招标文件的澄清和修改</w:t>
      </w:r>
      <w:r>
        <w:rPr>
          <w:rFonts w:ascii="宋体" w:hAnsi="宋体" w:eastAsia="宋体"/>
        </w:rPr>
        <w:tab/>
      </w:r>
      <w:r>
        <w:rPr>
          <w:rFonts w:ascii="宋体" w:hAnsi="宋体" w:eastAsia="宋体"/>
        </w:rPr>
        <w:fldChar w:fldCharType="begin"/>
      </w:r>
      <w:r>
        <w:rPr>
          <w:rFonts w:ascii="宋体" w:hAnsi="宋体" w:eastAsia="宋体"/>
        </w:rPr>
        <w:instrText xml:space="preserve"> PAGEREF _Toc2579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4F1D9468">
      <w:pPr>
        <w:pStyle w:val="11"/>
        <w:tabs>
          <w:tab w:val="right" w:leader="dot" w:pos="9025"/>
        </w:tabs>
        <w:spacing w:line="320" w:lineRule="exact"/>
        <w:rPr>
          <w:rFonts w:ascii="宋体" w:hAnsi="宋体" w:eastAsia="宋体"/>
        </w:rPr>
      </w:pPr>
      <w:r>
        <w:fldChar w:fldCharType="begin"/>
      </w:r>
      <w:r>
        <w:instrText xml:space="preserve"> HYPERLINK \l "_Toc20616" </w:instrText>
      </w:r>
      <w:r>
        <w:fldChar w:fldCharType="separate"/>
      </w:r>
      <w:r>
        <w:rPr>
          <w:rFonts w:ascii="宋体" w:hAnsi="宋体" w:eastAsia="宋体"/>
          <w:szCs w:val="28"/>
          <w:lang w:val="zh-CN"/>
        </w:rPr>
        <w:t xml:space="preserve">7. </w:t>
      </w:r>
      <w:r>
        <w:rPr>
          <w:rFonts w:hint="eastAsia" w:ascii="宋体" w:hAnsi="宋体" w:eastAsia="宋体"/>
          <w:szCs w:val="28"/>
          <w:lang w:val="zh-CN"/>
        </w:rPr>
        <w:t>答疑会或踏勘现场</w:t>
      </w:r>
      <w:r>
        <w:rPr>
          <w:rFonts w:ascii="宋体" w:hAnsi="宋体" w:eastAsia="宋体"/>
        </w:rPr>
        <w:tab/>
      </w:r>
      <w:r>
        <w:rPr>
          <w:rFonts w:ascii="宋体" w:hAnsi="宋体" w:eastAsia="宋体"/>
        </w:rPr>
        <w:fldChar w:fldCharType="begin"/>
      </w:r>
      <w:r>
        <w:rPr>
          <w:rFonts w:ascii="宋体" w:hAnsi="宋体" w:eastAsia="宋体"/>
        </w:rPr>
        <w:instrText xml:space="preserve"> PAGEREF _Toc20616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14:paraId="2E6111E4">
      <w:pPr>
        <w:pStyle w:val="21"/>
        <w:tabs>
          <w:tab w:val="right" w:leader="dot" w:pos="9025"/>
        </w:tabs>
        <w:spacing w:line="320" w:lineRule="exact"/>
        <w:rPr>
          <w:rFonts w:ascii="宋体" w:hAnsi="宋体" w:eastAsia="宋体"/>
        </w:rPr>
      </w:pPr>
      <w:r>
        <w:fldChar w:fldCharType="begin"/>
      </w:r>
      <w:r>
        <w:instrText xml:space="preserve"> HYPERLINK \l "_Toc30799" </w:instrText>
      </w:r>
      <w:r>
        <w:fldChar w:fldCharType="separate"/>
      </w:r>
      <w:r>
        <w:rPr>
          <w:rFonts w:hint="eastAsia" w:ascii="宋体" w:hAnsi="宋体" w:eastAsia="宋体"/>
        </w:rPr>
        <w:t xml:space="preserve">（三） </w:t>
      </w:r>
      <w:r>
        <w:rPr>
          <w:rFonts w:ascii="宋体" w:hAnsi="宋体" w:eastAsia="宋体"/>
        </w:rPr>
        <w:t>投标文件</w:t>
      </w:r>
      <w:r>
        <w:rPr>
          <w:rFonts w:hint="eastAsia" w:ascii="宋体" w:hAnsi="宋体" w:eastAsia="宋体"/>
        </w:rPr>
        <w:t>的</w:t>
      </w:r>
      <w:r>
        <w:rPr>
          <w:rFonts w:ascii="宋体" w:hAnsi="宋体" w:eastAsia="宋体"/>
        </w:rPr>
        <w:t>编制</w:t>
      </w:r>
      <w:r>
        <w:rPr>
          <w:rFonts w:ascii="宋体" w:hAnsi="宋体" w:eastAsia="宋体"/>
        </w:rPr>
        <w:tab/>
      </w:r>
      <w:r>
        <w:rPr>
          <w:rFonts w:ascii="宋体" w:hAnsi="宋体" w:eastAsia="宋体"/>
        </w:rPr>
        <w:fldChar w:fldCharType="begin"/>
      </w:r>
      <w:r>
        <w:rPr>
          <w:rFonts w:ascii="宋体" w:hAnsi="宋体" w:eastAsia="宋体"/>
        </w:rPr>
        <w:instrText xml:space="preserve"> PAGEREF _Toc30799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14:paraId="142CA417">
      <w:pPr>
        <w:pStyle w:val="11"/>
        <w:tabs>
          <w:tab w:val="right" w:leader="dot" w:pos="9025"/>
        </w:tabs>
        <w:spacing w:line="320" w:lineRule="exact"/>
        <w:rPr>
          <w:rFonts w:ascii="宋体" w:hAnsi="宋体" w:eastAsia="宋体"/>
        </w:rPr>
      </w:pPr>
      <w:r>
        <w:fldChar w:fldCharType="begin"/>
      </w:r>
      <w:r>
        <w:instrText xml:space="preserve"> HYPERLINK \l "_Toc28879" </w:instrText>
      </w:r>
      <w:r>
        <w:fldChar w:fldCharType="separate"/>
      </w:r>
      <w:r>
        <w:rPr>
          <w:rFonts w:ascii="宋体" w:hAnsi="宋体" w:eastAsia="宋体"/>
          <w:szCs w:val="28"/>
          <w:lang w:val="zh-CN"/>
        </w:rPr>
        <w:t xml:space="preserve">8. </w:t>
      </w:r>
      <w:r>
        <w:rPr>
          <w:rFonts w:hint="eastAsia" w:ascii="宋体" w:hAnsi="宋体" w:eastAsia="宋体"/>
          <w:szCs w:val="28"/>
          <w:lang w:val="zh-CN"/>
        </w:rPr>
        <w:t>投标语言和计量单位</w:t>
      </w:r>
      <w:r>
        <w:rPr>
          <w:rFonts w:ascii="宋体" w:hAnsi="宋体" w:eastAsia="宋体"/>
        </w:rPr>
        <w:tab/>
      </w:r>
      <w:r>
        <w:rPr>
          <w:rFonts w:ascii="宋体" w:hAnsi="宋体" w:eastAsia="宋体"/>
        </w:rPr>
        <w:fldChar w:fldCharType="begin"/>
      </w:r>
      <w:r>
        <w:rPr>
          <w:rFonts w:ascii="宋体" w:hAnsi="宋体" w:eastAsia="宋体"/>
        </w:rPr>
        <w:instrText xml:space="preserve"> PAGEREF _Toc28879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14:paraId="6A30ED7D">
      <w:pPr>
        <w:pStyle w:val="11"/>
        <w:tabs>
          <w:tab w:val="right" w:leader="dot" w:pos="9025"/>
        </w:tabs>
        <w:spacing w:line="320" w:lineRule="exact"/>
        <w:rPr>
          <w:rFonts w:ascii="宋体" w:hAnsi="宋体" w:eastAsia="宋体"/>
        </w:rPr>
      </w:pPr>
      <w:r>
        <w:fldChar w:fldCharType="begin"/>
      </w:r>
      <w:r>
        <w:instrText xml:space="preserve"> HYPERLINK \l "_Toc10842" </w:instrText>
      </w:r>
      <w:r>
        <w:fldChar w:fldCharType="separate"/>
      </w:r>
      <w:r>
        <w:rPr>
          <w:rFonts w:ascii="宋体" w:hAnsi="宋体" w:eastAsia="宋体"/>
          <w:szCs w:val="28"/>
          <w:lang w:val="zh-CN"/>
        </w:rPr>
        <w:t xml:space="preserve">9. </w:t>
      </w:r>
      <w:r>
        <w:rPr>
          <w:rFonts w:hint="eastAsia" w:ascii="宋体" w:hAnsi="宋体" w:eastAsia="宋体"/>
          <w:szCs w:val="28"/>
          <w:lang w:val="zh-CN"/>
        </w:rPr>
        <w:t>投标文件的构成</w:t>
      </w:r>
      <w:r>
        <w:rPr>
          <w:rFonts w:ascii="宋体" w:hAnsi="宋体" w:eastAsia="宋体"/>
        </w:rPr>
        <w:tab/>
      </w:r>
      <w:r>
        <w:rPr>
          <w:rFonts w:ascii="宋体" w:hAnsi="宋体" w:eastAsia="宋体"/>
        </w:rPr>
        <w:fldChar w:fldCharType="begin"/>
      </w:r>
      <w:r>
        <w:rPr>
          <w:rFonts w:ascii="宋体" w:hAnsi="宋体" w:eastAsia="宋体"/>
        </w:rPr>
        <w:instrText xml:space="preserve"> PAGEREF _Toc10842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14:paraId="61A3CF9E">
      <w:pPr>
        <w:pStyle w:val="11"/>
        <w:tabs>
          <w:tab w:val="right" w:leader="dot" w:pos="9025"/>
        </w:tabs>
        <w:spacing w:line="320" w:lineRule="exact"/>
        <w:rPr>
          <w:rFonts w:ascii="宋体" w:hAnsi="宋体" w:eastAsia="宋体"/>
        </w:rPr>
      </w:pPr>
      <w:r>
        <w:fldChar w:fldCharType="begin"/>
      </w:r>
      <w:r>
        <w:instrText xml:space="preserve"> HYPERLINK \l "_Toc12038" </w:instrText>
      </w:r>
      <w:r>
        <w:fldChar w:fldCharType="separate"/>
      </w:r>
      <w:r>
        <w:rPr>
          <w:rFonts w:ascii="宋体" w:hAnsi="宋体" w:eastAsia="宋体"/>
          <w:szCs w:val="28"/>
          <w:lang w:val="zh-CN"/>
        </w:rPr>
        <w:t xml:space="preserve">10. </w:t>
      </w:r>
      <w:r>
        <w:rPr>
          <w:rFonts w:hint="eastAsia" w:ascii="宋体" w:hAnsi="宋体" w:eastAsia="宋体"/>
          <w:szCs w:val="28"/>
          <w:lang w:val="zh-CN"/>
        </w:rPr>
        <w:t>投标文件编制注意事项</w:t>
      </w:r>
      <w:r>
        <w:rPr>
          <w:rFonts w:ascii="宋体" w:hAnsi="宋体" w:eastAsia="宋体"/>
        </w:rPr>
        <w:tab/>
      </w:r>
      <w:r>
        <w:rPr>
          <w:rFonts w:ascii="宋体" w:hAnsi="宋体" w:eastAsia="宋体"/>
        </w:rPr>
        <w:fldChar w:fldCharType="begin"/>
      </w:r>
      <w:r>
        <w:rPr>
          <w:rFonts w:ascii="宋体" w:hAnsi="宋体" w:eastAsia="宋体"/>
        </w:rPr>
        <w:instrText xml:space="preserve"> PAGEREF _Toc12038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14:paraId="441F1327">
      <w:pPr>
        <w:pStyle w:val="11"/>
        <w:tabs>
          <w:tab w:val="right" w:leader="dot" w:pos="9025"/>
        </w:tabs>
        <w:spacing w:line="320" w:lineRule="exact"/>
        <w:rPr>
          <w:rFonts w:ascii="宋体" w:hAnsi="宋体" w:eastAsia="宋体"/>
        </w:rPr>
      </w:pPr>
      <w:r>
        <w:fldChar w:fldCharType="begin"/>
      </w:r>
      <w:r>
        <w:instrText xml:space="preserve"> HYPERLINK \l "_Toc25034" </w:instrText>
      </w:r>
      <w:r>
        <w:fldChar w:fldCharType="separate"/>
      </w:r>
      <w:r>
        <w:rPr>
          <w:rFonts w:ascii="宋体" w:hAnsi="宋体" w:eastAsia="宋体"/>
          <w:szCs w:val="28"/>
          <w:lang w:val="zh-CN"/>
        </w:rPr>
        <w:t xml:space="preserve">11. </w:t>
      </w:r>
      <w:r>
        <w:rPr>
          <w:rFonts w:hint="eastAsia" w:ascii="宋体" w:hAnsi="宋体" w:eastAsia="宋体"/>
          <w:szCs w:val="28"/>
          <w:lang w:val="zh-CN"/>
        </w:rPr>
        <w:t>投标文件的式样和签署</w:t>
      </w:r>
      <w:r>
        <w:rPr>
          <w:rFonts w:ascii="宋体" w:hAnsi="宋体" w:eastAsia="宋体"/>
        </w:rPr>
        <w:tab/>
      </w:r>
      <w:r>
        <w:rPr>
          <w:rFonts w:ascii="宋体" w:hAnsi="宋体" w:eastAsia="宋体"/>
        </w:rPr>
        <w:fldChar w:fldCharType="begin"/>
      </w:r>
      <w:r>
        <w:rPr>
          <w:rFonts w:ascii="宋体" w:hAnsi="宋体" w:eastAsia="宋体"/>
        </w:rPr>
        <w:instrText xml:space="preserve"> PAGEREF _Toc25034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14:paraId="5EC8687E">
      <w:pPr>
        <w:pStyle w:val="11"/>
        <w:tabs>
          <w:tab w:val="right" w:leader="dot" w:pos="9025"/>
        </w:tabs>
        <w:spacing w:line="320" w:lineRule="exact"/>
        <w:rPr>
          <w:rFonts w:ascii="宋体" w:hAnsi="宋体" w:eastAsia="宋体"/>
        </w:rPr>
      </w:pPr>
      <w:r>
        <w:fldChar w:fldCharType="begin"/>
      </w:r>
      <w:r>
        <w:instrText xml:space="preserve"> HYPERLINK \l "_Toc18709" </w:instrText>
      </w:r>
      <w:r>
        <w:fldChar w:fldCharType="separate"/>
      </w:r>
      <w:r>
        <w:rPr>
          <w:rFonts w:ascii="宋体" w:hAnsi="宋体" w:eastAsia="宋体"/>
          <w:szCs w:val="28"/>
          <w:lang w:val="zh-CN"/>
        </w:rPr>
        <w:t xml:space="preserve">12. </w:t>
      </w:r>
      <w:r>
        <w:rPr>
          <w:rFonts w:hint="eastAsia" w:ascii="宋体" w:hAnsi="宋体" w:eastAsia="宋体"/>
          <w:szCs w:val="28"/>
          <w:lang w:val="zh-CN"/>
        </w:rPr>
        <w:t>投标报价</w:t>
      </w:r>
      <w:r>
        <w:rPr>
          <w:rFonts w:ascii="宋体" w:hAnsi="宋体" w:eastAsia="宋体"/>
        </w:rPr>
        <w:tab/>
      </w:r>
      <w:r>
        <w:rPr>
          <w:rFonts w:ascii="宋体" w:hAnsi="宋体" w:eastAsia="宋体"/>
        </w:rPr>
        <w:fldChar w:fldCharType="begin"/>
      </w:r>
      <w:r>
        <w:rPr>
          <w:rFonts w:ascii="宋体" w:hAnsi="宋体" w:eastAsia="宋体"/>
        </w:rPr>
        <w:instrText xml:space="preserve"> PAGEREF _Toc18709 \h </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fldChar w:fldCharType="end"/>
      </w:r>
    </w:p>
    <w:p w14:paraId="192596CC">
      <w:pPr>
        <w:pStyle w:val="11"/>
        <w:tabs>
          <w:tab w:val="right" w:leader="dot" w:pos="9025"/>
        </w:tabs>
        <w:spacing w:line="320" w:lineRule="exact"/>
        <w:rPr>
          <w:rFonts w:ascii="宋体" w:hAnsi="宋体" w:eastAsia="宋体"/>
        </w:rPr>
      </w:pPr>
      <w:r>
        <w:fldChar w:fldCharType="begin"/>
      </w:r>
      <w:r>
        <w:instrText xml:space="preserve"> HYPERLINK \l "_Toc3738" </w:instrText>
      </w:r>
      <w:r>
        <w:fldChar w:fldCharType="separate"/>
      </w:r>
      <w:r>
        <w:rPr>
          <w:rFonts w:ascii="宋体" w:hAnsi="宋体" w:eastAsia="宋体"/>
          <w:szCs w:val="28"/>
          <w:lang w:val="zh-CN"/>
        </w:rPr>
        <w:t xml:space="preserve">13. </w:t>
      </w:r>
      <w:r>
        <w:rPr>
          <w:rFonts w:hint="eastAsia" w:ascii="宋体" w:hAnsi="宋体" w:eastAsia="宋体"/>
          <w:szCs w:val="28"/>
          <w:lang w:val="zh-CN"/>
        </w:rPr>
        <w:t>投标有效期</w:t>
      </w:r>
      <w:r>
        <w:rPr>
          <w:rFonts w:ascii="宋体" w:hAnsi="宋体" w:eastAsia="宋体"/>
        </w:rPr>
        <w:tab/>
      </w:r>
      <w:r>
        <w:rPr>
          <w:rFonts w:ascii="宋体" w:hAnsi="宋体" w:eastAsia="宋体"/>
        </w:rPr>
        <w:fldChar w:fldCharType="begin"/>
      </w:r>
      <w:r>
        <w:rPr>
          <w:rFonts w:ascii="宋体" w:hAnsi="宋体" w:eastAsia="宋体"/>
        </w:rPr>
        <w:instrText xml:space="preserve"> PAGEREF _Toc3738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174BE31C">
      <w:pPr>
        <w:pStyle w:val="11"/>
        <w:tabs>
          <w:tab w:val="right" w:leader="dot" w:pos="9025"/>
        </w:tabs>
        <w:spacing w:line="320" w:lineRule="exact"/>
        <w:rPr>
          <w:rFonts w:ascii="宋体" w:hAnsi="宋体" w:eastAsia="宋体"/>
        </w:rPr>
      </w:pPr>
      <w:r>
        <w:fldChar w:fldCharType="begin"/>
      </w:r>
      <w:r>
        <w:instrText xml:space="preserve"> HYPERLINK \l "_Toc7499" </w:instrText>
      </w:r>
      <w:r>
        <w:fldChar w:fldCharType="separate"/>
      </w:r>
      <w:r>
        <w:rPr>
          <w:rFonts w:ascii="宋体" w:hAnsi="宋体" w:eastAsia="宋体"/>
          <w:szCs w:val="28"/>
          <w:lang w:val="zh-CN"/>
        </w:rPr>
        <w:t xml:space="preserve">14. </w:t>
      </w:r>
      <w:r>
        <w:rPr>
          <w:rFonts w:hint="eastAsia" w:ascii="宋体" w:hAnsi="宋体" w:eastAsia="宋体"/>
          <w:szCs w:val="28"/>
          <w:lang w:val="zh-CN"/>
        </w:rPr>
        <w:t>联合体投标</w:t>
      </w:r>
      <w:r>
        <w:rPr>
          <w:rFonts w:ascii="宋体" w:hAnsi="宋体" w:eastAsia="宋体"/>
        </w:rPr>
        <w:tab/>
      </w:r>
      <w:r>
        <w:rPr>
          <w:rFonts w:ascii="宋体" w:hAnsi="宋体" w:eastAsia="宋体"/>
        </w:rPr>
        <w:fldChar w:fldCharType="begin"/>
      </w:r>
      <w:r>
        <w:rPr>
          <w:rFonts w:ascii="宋体" w:hAnsi="宋体" w:eastAsia="宋体"/>
        </w:rPr>
        <w:instrText xml:space="preserve"> PAGEREF _Toc7499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4CEDE214">
      <w:pPr>
        <w:pStyle w:val="11"/>
        <w:tabs>
          <w:tab w:val="right" w:leader="dot" w:pos="9025"/>
        </w:tabs>
        <w:spacing w:line="320" w:lineRule="exact"/>
        <w:rPr>
          <w:rFonts w:ascii="宋体" w:hAnsi="宋体" w:eastAsia="宋体"/>
        </w:rPr>
      </w:pPr>
      <w:r>
        <w:fldChar w:fldCharType="begin"/>
      </w:r>
      <w:r>
        <w:instrText xml:space="preserve"> HYPERLINK \l "_Toc7977" </w:instrText>
      </w:r>
      <w:r>
        <w:fldChar w:fldCharType="separate"/>
      </w:r>
      <w:r>
        <w:rPr>
          <w:rFonts w:ascii="宋体" w:hAnsi="宋体" w:eastAsia="宋体"/>
          <w:szCs w:val="28"/>
          <w:lang w:val="zh-CN"/>
        </w:rPr>
        <w:t xml:space="preserve">15. </w:t>
      </w:r>
      <w:r>
        <w:rPr>
          <w:rFonts w:hint="eastAsia" w:ascii="宋体" w:hAnsi="宋体" w:eastAsia="宋体"/>
          <w:szCs w:val="28"/>
          <w:lang w:val="zh-CN"/>
        </w:rPr>
        <w:t>证明投标人合格和资格的文件</w:t>
      </w:r>
      <w:r>
        <w:rPr>
          <w:rFonts w:ascii="宋体" w:hAnsi="宋体" w:eastAsia="宋体"/>
        </w:rPr>
        <w:tab/>
      </w:r>
      <w:r>
        <w:rPr>
          <w:rFonts w:ascii="宋体" w:hAnsi="宋体" w:eastAsia="宋体"/>
        </w:rPr>
        <w:fldChar w:fldCharType="begin"/>
      </w:r>
      <w:r>
        <w:rPr>
          <w:rFonts w:ascii="宋体" w:hAnsi="宋体" w:eastAsia="宋体"/>
        </w:rPr>
        <w:instrText xml:space="preserve"> PAGEREF _Toc7977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51ADC515">
      <w:pPr>
        <w:pStyle w:val="11"/>
        <w:tabs>
          <w:tab w:val="right" w:leader="dot" w:pos="9025"/>
        </w:tabs>
        <w:spacing w:line="320" w:lineRule="exact"/>
        <w:rPr>
          <w:rFonts w:ascii="宋体" w:hAnsi="宋体" w:eastAsia="宋体"/>
        </w:rPr>
      </w:pPr>
      <w:r>
        <w:fldChar w:fldCharType="begin"/>
      </w:r>
      <w:r>
        <w:instrText xml:space="preserve"> HYPERLINK \l "_Toc27816" </w:instrText>
      </w:r>
      <w:r>
        <w:fldChar w:fldCharType="separate"/>
      </w:r>
      <w:r>
        <w:rPr>
          <w:rFonts w:ascii="宋体" w:hAnsi="宋体" w:eastAsia="宋体"/>
          <w:szCs w:val="28"/>
          <w:lang w:val="zh-CN"/>
        </w:rPr>
        <w:t xml:space="preserve">16. </w:t>
      </w:r>
      <w:r>
        <w:rPr>
          <w:rFonts w:hint="eastAsia" w:ascii="宋体" w:hAnsi="宋体" w:eastAsia="宋体"/>
          <w:szCs w:val="28"/>
          <w:lang w:val="zh-CN"/>
        </w:rPr>
        <w:t>证明货物的合格性和符合招标文件规定的文件</w:t>
      </w:r>
      <w:r>
        <w:rPr>
          <w:rFonts w:ascii="宋体" w:hAnsi="宋体" w:eastAsia="宋体"/>
        </w:rPr>
        <w:tab/>
      </w:r>
      <w:r>
        <w:rPr>
          <w:rFonts w:ascii="宋体" w:hAnsi="宋体" w:eastAsia="宋体"/>
        </w:rPr>
        <w:fldChar w:fldCharType="begin"/>
      </w:r>
      <w:r>
        <w:rPr>
          <w:rFonts w:ascii="宋体" w:hAnsi="宋体" w:eastAsia="宋体"/>
        </w:rPr>
        <w:instrText xml:space="preserve"> PAGEREF _Toc27816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6B7B6EC7">
      <w:pPr>
        <w:pStyle w:val="21"/>
        <w:tabs>
          <w:tab w:val="right" w:leader="dot" w:pos="9025"/>
        </w:tabs>
        <w:spacing w:line="320" w:lineRule="exact"/>
        <w:rPr>
          <w:rFonts w:ascii="宋体" w:hAnsi="宋体" w:eastAsia="宋体"/>
        </w:rPr>
      </w:pPr>
      <w:r>
        <w:fldChar w:fldCharType="begin"/>
      </w:r>
      <w:r>
        <w:instrText xml:space="preserve"> HYPERLINK \l "_Toc13330" </w:instrText>
      </w:r>
      <w:r>
        <w:fldChar w:fldCharType="separate"/>
      </w:r>
      <w:r>
        <w:rPr>
          <w:rFonts w:hint="eastAsia" w:ascii="宋体" w:hAnsi="宋体" w:eastAsia="宋体"/>
        </w:rPr>
        <w:t xml:space="preserve">（四） </w:t>
      </w:r>
      <w:r>
        <w:rPr>
          <w:rFonts w:ascii="宋体" w:hAnsi="宋体" w:eastAsia="宋体"/>
        </w:rPr>
        <w:t>投标文件的递交</w:t>
      </w:r>
      <w:r>
        <w:rPr>
          <w:rFonts w:ascii="宋体" w:hAnsi="宋体" w:eastAsia="宋体"/>
        </w:rPr>
        <w:tab/>
      </w:r>
      <w:r>
        <w:rPr>
          <w:rFonts w:ascii="宋体" w:hAnsi="宋体" w:eastAsia="宋体"/>
        </w:rPr>
        <w:fldChar w:fldCharType="begin"/>
      </w:r>
      <w:r>
        <w:rPr>
          <w:rFonts w:ascii="宋体" w:hAnsi="宋体" w:eastAsia="宋体"/>
        </w:rPr>
        <w:instrText xml:space="preserve"> PAGEREF _Toc13330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6AA9FA8E">
      <w:pPr>
        <w:pStyle w:val="11"/>
        <w:tabs>
          <w:tab w:val="right" w:leader="dot" w:pos="9025"/>
        </w:tabs>
        <w:spacing w:line="320" w:lineRule="exact"/>
        <w:rPr>
          <w:rFonts w:ascii="宋体" w:hAnsi="宋体" w:eastAsia="宋体"/>
        </w:rPr>
      </w:pPr>
      <w:r>
        <w:fldChar w:fldCharType="begin"/>
      </w:r>
      <w:r>
        <w:instrText xml:space="preserve"> HYPERLINK \l "_Toc4752" </w:instrText>
      </w:r>
      <w:r>
        <w:fldChar w:fldCharType="separate"/>
      </w:r>
      <w:r>
        <w:rPr>
          <w:rFonts w:ascii="宋体" w:hAnsi="宋体" w:eastAsia="宋体"/>
          <w:szCs w:val="28"/>
          <w:lang w:val="zh-CN"/>
        </w:rPr>
        <w:t xml:space="preserve">17. </w:t>
      </w:r>
      <w:r>
        <w:rPr>
          <w:rFonts w:hint="eastAsia" w:ascii="宋体" w:hAnsi="宋体" w:eastAsia="宋体"/>
          <w:szCs w:val="28"/>
          <w:lang w:val="zh-CN"/>
        </w:rPr>
        <w:t>投标文件的密封和标记</w:t>
      </w:r>
      <w:r>
        <w:rPr>
          <w:rFonts w:ascii="宋体" w:hAnsi="宋体" w:eastAsia="宋体"/>
        </w:rPr>
        <w:tab/>
      </w:r>
      <w:r>
        <w:rPr>
          <w:rFonts w:ascii="宋体" w:hAnsi="宋体" w:eastAsia="宋体"/>
        </w:rPr>
        <w:fldChar w:fldCharType="begin"/>
      </w:r>
      <w:r>
        <w:rPr>
          <w:rFonts w:ascii="宋体" w:hAnsi="宋体" w:eastAsia="宋体"/>
        </w:rPr>
        <w:instrText xml:space="preserve"> PAGEREF _Toc4752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69980102">
      <w:pPr>
        <w:pStyle w:val="11"/>
        <w:tabs>
          <w:tab w:val="right" w:leader="dot" w:pos="9025"/>
        </w:tabs>
        <w:spacing w:line="320" w:lineRule="exact"/>
        <w:rPr>
          <w:rFonts w:ascii="宋体" w:hAnsi="宋体" w:eastAsia="宋体"/>
        </w:rPr>
      </w:pPr>
      <w:r>
        <w:fldChar w:fldCharType="begin"/>
      </w:r>
      <w:r>
        <w:instrText xml:space="preserve"> HYPERLINK \l "_Toc19344" </w:instrText>
      </w:r>
      <w:r>
        <w:fldChar w:fldCharType="separate"/>
      </w:r>
      <w:r>
        <w:rPr>
          <w:rFonts w:ascii="宋体" w:hAnsi="宋体" w:eastAsia="宋体"/>
          <w:szCs w:val="28"/>
          <w:lang w:val="zh-CN"/>
        </w:rPr>
        <w:t xml:space="preserve">18. </w:t>
      </w:r>
      <w:r>
        <w:rPr>
          <w:rFonts w:hint="eastAsia" w:ascii="宋体" w:hAnsi="宋体" w:eastAsia="宋体"/>
          <w:szCs w:val="28"/>
          <w:lang w:val="zh-CN"/>
        </w:rPr>
        <w:t>投标文件递交要求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_Toc19344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2B855471">
      <w:pPr>
        <w:pStyle w:val="11"/>
        <w:tabs>
          <w:tab w:val="right" w:leader="dot" w:pos="9025"/>
        </w:tabs>
        <w:spacing w:line="320" w:lineRule="exact"/>
        <w:rPr>
          <w:rFonts w:ascii="宋体" w:hAnsi="宋体" w:eastAsia="宋体"/>
        </w:rPr>
      </w:pPr>
      <w:r>
        <w:fldChar w:fldCharType="begin"/>
      </w:r>
      <w:r>
        <w:instrText xml:space="preserve"> HYPERLINK \l "_Toc2838" </w:instrText>
      </w:r>
      <w:r>
        <w:fldChar w:fldCharType="separate"/>
      </w:r>
      <w:r>
        <w:rPr>
          <w:rFonts w:ascii="宋体" w:hAnsi="宋体" w:eastAsia="宋体"/>
          <w:szCs w:val="28"/>
          <w:lang w:val="zh-CN"/>
        </w:rPr>
        <w:t xml:space="preserve">19. </w:t>
      </w:r>
      <w:r>
        <w:rPr>
          <w:rFonts w:hint="eastAsia" w:ascii="宋体" w:hAnsi="宋体" w:eastAsia="宋体"/>
          <w:szCs w:val="28"/>
          <w:lang w:val="zh-CN"/>
        </w:rPr>
        <w:t>投标截止</w:t>
      </w:r>
      <w:r>
        <w:rPr>
          <w:rFonts w:ascii="宋体" w:hAnsi="宋体" w:eastAsia="宋体"/>
        </w:rPr>
        <w:tab/>
      </w:r>
      <w:r>
        <w:rPr>
          <w:rFonts w:ascii="宋体" w:hAnsi="宋体" w:eastAsia="宋体"/>
        </w:rPr>
        <w:fldChar w:fldCharType="begin"/>
      </w:r>
      <w:r>
        <w:rPr>
          <w:rFonts w:ascii="宋体" w:hAnsi="宋体" w:eastAsia="宋体"/>
        </w:rPr>
        <w:instrText xml:space="preserve"> PAGEREF _Toc2838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037C21E9">
      <w:pPr>
        <w:pStyle w:val="11"/>
        <w:tabs>
          <w:tab w:val="right" w:leader="dot" w:pos="9025"/>
        </w:tabs>
        <w:spacing w:line="320" w:lineRule="exact"/>
        <w:rPr>
          <w:rFonts w:ascii="宋体" w:hAnsi="宋体" w:eastAsia="宋体"/>
        </w:rPr>
      </w:pPr>
      <w:r>
        <w:fldChar w:fldCharType="begin"/>
      </w:r>
      <w:r>
        <w:instrText xml:space="preserve"> HYPERLINK \l "_Toc5414" </w:instrText>
      </w:r>
      <w:r>
        <w:fldChar w:fldCharType="separate"/>
      </w:r>
      <w:r>
        <w:rPr>
          <w:rFonts w:ascii="宋体" w:hAnsi="宋体" w:eastAsia="宋体"/>
          <w:szCs w:val="28"/>
          <w:lang w:val="zh-CN"/>
        </w:rPr>
        <w:t xml:space="preserve">20. </w:t>
      </w:r>
      <w:r>
        <w:rPr>
          <w:rFonts w:hint="eastAsia" w:ascii="宋体" w:hAnsi="宋体" w:eastAsia="宋体"/>
          <w:szCs w:val="28"/>
          <w:lang w:val="zh-CN"/>
        </w:rPr>
        <w:t>投标文件的修改和撤回</w:t>
      </w:r>
      <w:r>
        <w:rPr>
          <w:rFonts w:ascii="宋体" w:hAnsi="宋体" w:eastAsia="宋体"/>
        </w:rPr>
        <w:tab/>
      </w:r>
      <w:r>
        <w:rPr>
          <w:rFonts w:ascii="宋体" w:hAnsi="宋体" w:eastAsia="宋体"/>
        </w:rPr>
        <w:fldChar w:fldCharType="begin"/>
      </w:r>
      <w:r>
        <w:rPr>
          <w:rFonts w:ascii="宋体" w:hAnsi="宋体" w:eastAsia="宋体"/>
        </w:rPr>
        <w:instrText xml:space="preserve"> PAGEREF _Toc5414 \h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fldChar w:fldCharType="end"/>
      </w:r>
    </w:p>
    <w:p w14:paraId="72C4B7A1">
      <w:pPr>
        <w:pStyle w:val="21"/>
        <w:tabs>
          <w:tab w:val="right" w:leader="dot" w:pos="9025"/>
        </w:tabs>
        <w:spacing w:line="320" w:lineRule="exact"/>
        <w:rPr>
          <w:rFonts w:ascii="宋体" w:hAnsi="宋体" w:eastAsia="宋体"/>
        </w:rPr>
      </w:pPr>
      <w:r>
        <w:fldChar w:fldCharType="begin"/>
      </w:r>
      <w:r>
        <w:instrText xml:space="preserve"> HYPERLINK \l "_Toc17532" </w:instrText>
      </w:r>
      <w:r>
        <w:fldChar w:fldCharType="separate"/>
      </w:r>
      <w:r>
        <w:rPr>
          <w:rFonts w:hint="eastAsia" w:ascii="宋体" w:hAnsi="宋体" w:eastAsia="宋体"/>
        </w:rPr>
        <w:t xml:space="preserve">（五） </w:t>
      </w:r>
      <w:r>
        <w:rPr>
          <w:rFonts w:ascii="宋体" w:hAnsi="宋体" w:eastAsia="宋体"/>
        </w:rPr>
        <w:t>开标</w:t>
      </w:r>
      <w:r>
        <w:rPr>
          <w:rFonts w:hint="eastAsia" w:ascii="宋体" w:hAnsi="宋体" w:eastAsia="宋体"/>
        </w:rPr>
        <w:t>与</w:t>
      </w:r>
      <w:r>
        <w:rPr>
          <w:rFonts w:ascii="宋体" w:hAnsi="宋体" w:eastAsia="宋体"/>
        </w:rPr>
        <w:t>评标</w:t>
      </w:r>
      <w:r>
        <w:rPr>
          <w:rFonts w:ascii="宋体" w:hAnsi="宋体" w:eastAsia="宋体"/>
        </w:rPr>
        <w:tab/>
      </w:r>
      <w:r>
        <w:rPr>
          <w:rFonts w:ascii="宋体" w:hAnsi="宋体" w:eastAsia="宋体"/>
        </w:rPr>
        <w:fldChar w:fldCharType="begin"/>
      </w:r>
      <w:r>
        <w:rPr>
          <w:rFonts w:ascii="宋体" w:hAnsi="宋体" w:eastAsia="宋体"/>
        </w:rPr>
        <w:instrText xml:space="preserve"> PAGEREF _Toc17532 \h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fldChar w:fldCharType="end"/>
      </w:r>
    </w:p>
    <w:p w14:paraId="500D5865">
      <w:pPr>
        <w:pStyle w:val="11"/>
        <w:tabs>
          <w:tab w:val="right" w:leader="dot" w:pos="9025"/>
        </w:tabs>
        <w:spacing w:line="320" w:lineRule="exact"/>
        <w:rPr>
          <w:rFonts w:ascii="宋体" w:hAnsi="宋体" w:eastAsia="宋体"/>
        </w:rPr>
      </w:pPr>
      <w:r>
        <w:fldChar w:fldCharType="begin"/>
      </w:r>
      <w:r>
        <w:instrText xml:space="preserve"> HYPERLINK \l "_Toc6040" </w:instrText>
      </w:r>
      <w:r>
        <w:fldChar w:fldCharType="separate"/>
      </w:r>
      <w:r>
        <w:rPr>
          <w:rFonts w:ascii="宋体" w:hAnsi="宋体" w:eastAsia="宋体"/>
          <w:szCs w:val="28"/>
          <w:lang w:val="zh-CN"/>
        </w:rPr>
        <w:t xml:space="preserve">21. </w:t>
      </w:r>
      <w:r>
        <w:rPr>
          <w:rFonts w:hint="eastAsia" w:ascii="宋体" w:hAnsi="宋体" w:eastAsia="宋体"/>
          <w:szCs w:val="28"/>
          <w:lang w:val="zh-CN"/>
        </w:rPr>
        <w:t>开标</w:t>
      </w:r>
      <w:r>
        <w:rPr>
          <w:rFonts w:ascii="宋体" w:hAnsi="宋体" w:eastAsia="宋体"/>
        </w:rPr>
        <w:tab/>
      </w:r>
      <w:r>
        <w:rPr>
          <w:rFonts w:ascii="宋体" w:hAnsi="宋体" w:eastAsia="宋体"/>
        </w:rPr>
        <w:fldChar w:fldCharType="begin"/>
      </w:r>
      <w:r>
        <w:rPr>
          <w:rFonts w:ascii="宋体" w:hAnsi="宋体" w:eastAsia="宋体"/>
        </w:rPr>
        <w:instrText xml:space="preserve"> PAGEREF _Toc6040 \h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fldChar w:fldCharType="end"/>
      </w:r>
    </w:p>
    <w:p w14:paraId="3314B91E">
      <w:pPr>
        <w:pStyle w:val="11"/>
        <w:tabs>
          <w:tab w:val="right" w:leader="dot" w:pos="9025"/>
        </w:tabs>
        <w:spacing w:line="320" w:lineRule="exact"/>
        <w:rPr>
          <w:rFonts w:ascii="宋体" w:hAnsi="宋体" w:eastAsia="宋体"/>
        </w:rPr>
      </w:pPr>
      <w:r>
        <w:fldChar w:fldCharType="begin"/>
      </w:r>
      <w:r>
        <w:instrText xml:space="preserve"> HYPERLINK \l "_Toc24031" </w:instrText>
      </w:r>
      <w:r>
        <w:fldChar w:fldCharType="separate"/>
      </w:r>
      <w:r>
        <w:rPr>
          <w:rFonts w:ascii="宋体" w:hAnsi="宋体" w:eastAsia="宋体" w:cs="宋体"/>
          <w:lang w:val="zh-CN" w:eastAsia="zh-TW"/>
        </w:rPr>
        <w:t xml:space="preserve">22. </w:t>
      </w:r>
      <w:r>
        <w:rPr>
          <w:rFonts w:hint="eastAsia" w:ascii="宋体" w:hAnsi="宋体" w:eastAsia="宋体"/>
          <w:szCs w:val="28"/>
          <w:lang w:val="zh-CN"/>
        </w:rPr>
        <w:t>评标</w:t>
      </w:r>
      <w:r>
        <w:rPr>
          <w:rFonts w:ascii="宋体" w:hAnsi="宋体" w:eastAsia="宋体"/>
        </w:rPr>
        <w:tab/>
      </w:r>
      <w:r>
        <w:rPr>
          <w:rFonts w:ascii="宋体" w:hAnsi="宋体" w:eastAsia="宋体"/>
        </w:rPr>
        <w:fldChar w:fldCharType="begin"/>
      </w:r>
      <w:r>
        <w:rPr>
          <w:rFonts w:ascii="宋体" w:hAnsi="宋体" w:eastAsia="宋体"/>
        </w:rPr>
        <w:instrText xml:space="preserve"> PAGEREF _Toc24031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14:paraId="656E2558">
      <w:pPr>
        <w:pStyle w:val="11"/>
        <w:tabs>
          <w:tab w:val="right" w:leader="dot" w:pos="9025"/>
        </w:tabs>
        <w:spacing w:line="320" w:lineRule="exact"/>
        <w:rPr>
          <w:rFonts w:ascii="宋体" w:hAnsi="宋体" w:eastAsia="宋体"/>
        </w:rPr>
      </w:pPr>
      <w:r>
        <w:fldChar w:fldCharType="begin"/>
      </w:r>
      <w:r>
        <w:instrText xml:space="preserve"> HYPERLINK \l "_Toc25445" </w:instrText>
      </w:r>
      <w:r>
        <w:fldChar w:fldCharType="separate"/>
      </w:r>
      <w:r>
        <w:rPr>
          <w:rFonts w:ascii="宋体" w:hAnsi="宋体" w:eastAsia="宋体"/>
          <w:szCs w:val="28"/>
          <w:lang w:val="zh-CN"/>
        </w:rPr>
        <w:t xml:space="preserve">23. </w:t>
      </w:r>
      <w:r>
        <w:rPr>
          <w:rFonts w:hint="eastAsia" w:ascii="宋体" w:hAnsi="宋体" w:eastAsia="宋体"/>
          <w:szCs w:val="28"/>
          <w:lang w:val="zh-CN"/>
        </w:rPr>
        <w:t>定标原则和授标</w:t>
      </w:r>
      <w:r>
        <w:rPr>
          <w:rFonts w:ascii="宋体" w:hAnsi="宋体" w:eastAsia="宋体"/>
        </w:rPr>
        <w:tab/>
      </w:r>
      <w:r>
        <w:rPr>
          <w:rFonts w:ascii="宋体" w:hAnsi="宋体" w:eastAsia="宋体"/>
        </w:rPr>
        <w:fldChar w:fldCharType="begin"/>
      </w:r>
      <w:r>
        <w:rPr>
          <w:rFonts w:ascii="宋体" w:hAnsi="宋体" w:eastAsia="宋体"/>
        </w:rPr>
        <w:instrText xml:space="preserve"> PAGEREF _Toc25445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14:paraId="35BE5533">
      <w:pPr>
        <w:pStyle w:val="11"/>
        <w:tabs>
          <w:tab w:val="right" w:leader="dot" w:pos="9025"/>
        </w:tabs>
        <w:spacing w:line="320" w:lineRule="exact"/>
        <w:rPr>
          <w:rFonts w:ascii="宋体" w:hAnsi="宋体" w:eastAsia="宋体"/>
        </w:rPr>
      </w:pPr>
      <w:r>
        <w:fldChar w:fldCharType="begin"/>
      </w:r>
      <w:r>
        <w:instrText xml:space="preserve"> HYPERLINK \l "_Toc17456" </w:instrText>
      </w:r>
      <w:r>
        <w:fldChar w:fldCharType="separate"/>
      </w:r>
      <w:r>
        <w:rPr>
          <w:rFonts w:ascii="宋体" w:hAnsi="宋体" w:eastAsia="宋体"/>
          <w:szCs w:val="28"/>
          <w:lang w:val="zh-CN"/>
        </w:rPr>
        <w:t xml:space="preserve">24. </w:t>
      </w:r>
      <w:r>
        <w:rPr>
          <w:rFonts w:hint="eastAsia" w:ascii="宋体" w:hAnsi="宋体" w:eastAsia="宋体"/>
          <w:szCs w:val="28"/>
          <w:lang w:val="zh-CN"/>
        </w:rPr>
        <w:t>定标和中标通知书</w:t>
      </w:r>
      <w:r>
        <w:rPr>
          <w:rFonts w:ascii="宋体" w:hAnsi="宋体" w:eastAsia="宋体"/>
        </w:rPr>
        <w:tab/>
      </w:r>
      <w:r>
        <w:rPr>
          <w:rFonts w:ascii="宋体" w:hAnsi="宋体" w:eastAsia="宋体"/>
        </w:rPr>
        <w:fldChar w:fldCharType="begin"/>
      </w:r>
      <w:r>
        <w:rPr>
          <w:rFonts w:ascii="宋体" w:hAnsi="宋体" w:eastAsia="宋体"/>
        </w:rPr>
        <w:instrText xml:space="preserve"> PAGEREF _Toc17456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14:paraId="06B8EB9A">
      <w:pPr>
        <w:pStyle w:val="21"/>
        <w:tabs>
          <w:tab w:val="right" w:leader="dot" w:pos="9025"/>
        </w:tabs>
        <w:spacing w:line="320" w:lineRule="exact"/>
        <w:rPr>
          <w:rFonts w:ascii="宋体" w:hAnsi="宋体" w:eastAsia="宋体"/>
        </w:rPr>
      </w:pPr>
      <w:r>
        <w:fldChar w:fldCharType="begin"/>
      </w:r>
      <w:r>
        <w:instrText xml:space="preserve"> HYPERLINK \l "_Toc7787" </w:instrText>
      </w:r>
      <w:r>
        <w:fldChar w:fldCharType="separate"/>
      </w:r>
      <w:r>
        <w:rPr>
          <w:rFonts w:hint="eastAsia" w:ascii="宋体" w:hAnsi="宋体" w:eastAsia="宋体"/>
        </w:rPr>
        <w:t>（六） 异议及投诉</w:t>
      </w:r>
      <w:r>
        <w:rPr>
          <w:rFonts w:ascii="宋体" w:hAnsi="宋体" w:eastAsia="宋体"/>
        </w:rPr>
        <w:tab/>
      </w:r>
      <w:r>
        <w:rPr>
          <w:rFonts w:ascii="宋体" w:hAnsi="宋体" w:eastAsia="宋体"/>
        </w:rPr>
        <w:fldChar w:fldCharType="begin"/>
      </w:r>
      <w:r>
        <w:rPr>
          <w:rFonts w:ascii="宋体" w:hAnsi="宋体" w:eastAsia="宋体"/>
        </w:rPr>
        <w:instrText xml:space="preserve"> PAGEREF _Toc7787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5DE3C0F3">
      <w:pPr>
        <w:pStyle w:val="11"/>
        <w:tabs>
          <w:tab w:val="right" w:leader="dot" w:pos="9025"/>
        </w:tabs>
        <w:spacing w:line="320" w:lineRule="exact"/>
        <w:rPr>
          <w:rFonts w:ascii="宋体" w:hAnsi="宋体" w:eastAsia="宋体"/>
        </w:rPr>
      </w:pPr>
      <w:r>
        <w:fldChar w:fldCharType="begin"/>
      </w:r>
      <w:r>
        <w:instrText xml:space="preserve"> HYPERLINK \l "_Toc26585" </w:instrText>
      </w:r>
      <w:r>
        <w:fldChar w:fldCharType="separate"/>
      </w:r>
      <w:r>
        <w:rPr>
          <w:rFonts w:ascii="宋体" w:hAnsi="宋体" w:eastAsia="宋体"/>
          <w:szCs w:val="28"/>
          <w:lang w:val="zh-CN"/>
        </w:rPr>
        <w:t xml:space="preserve">25. </w:t>
      </w:r>
      <w:r>
        <w:rPr>
          <w:rFonts w:hint="eastAsia" w:ascii="宋体" w:hAnsi="宋体" w:eastAsia="宋体"/>
          <w:szCs w:val="28"/>
          <w:lang w:val="zh-CN"/>
        </w:rPr>
        <w:t>异议</w:t>
      </w:r>
      <w:r>
        <w:rPr>
          <w:rFonts w:ascii="宋体" w:hAnsi="宋体" w:eastAsia="宋体"/>
        </w:rPr>
        <w:tab/>
      </w:r>
      <w:r>
        <w:rPr>
          <w:rFonts w:ascii="宋体" w:hAnsi="宋体" w:eastAsia="宋体"/>
        </w:rPr>
        <w:fldChar w:fldCharType="begin"/>
      </w:r>
      <w:r>
        <w:rPr>
          <w:rFonts w:ascii="宋体" w:hAnsi="宋体" w:eastAsia="宋体"/>
        </w:rPr>
        <w:instrText xml:space="preserve"> PAGEREF _Toc26585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421EF9CD">
      <w:pPr>
        <w:pStyle w:val="11"/>
        <w:tabs>
          <w:tab w:val="right" w:leader="dot" w:pos="9025"/>
        </w:tabs>
        <w:spacing w:line="320" w:lineRule="exact"/>
        <w:rPr>
          <w:rFonts w:ascii="宋体" w:hAnsi="宋体" w:eastAsia="宋体"/>
        </w:rPr>
      </w:pPr>
      <w:r>
        <w:fldChar w:fldCharType="begin"/>
      </w:r>
      <w:r>
        <w:instrText xml:space="preserve"> HYPERLINK \l "_Toc22878" </w:instrText>
      </w:r>
      <w:r>
        <w:fldChar w:fldCharType="separate"/>
      </w:r>
      <w:r>
        <w:rPr>
          <w:rFonts w:ascii="宋体" w:hAnsi="宋体" w:eastAsia="宋体"/>
          <w:szCs w:val="28"/>
          <w:lang w:val="zh-CN"/>
        </w:rPr>
        <w:t xml:space="preserve">26. </w:t>
      </w:r>
      <w:r>
        <w:rPr>
          <w:rFonts w:hint="eastAsia" w:ascii="宋体" w:hAnsi="宋体" w:eastAsia="宋体"/>
          <w:szCs w:val="28"/>
          <w:lang w:val="zh-CN"/>
        </w:rPr>
        <w:t>投诉</w:t>
      </w:r>
      <w:r>
        <w:rPr>
          <w:rFonts w:ascii="宋体" w:hAnsi="宋体" w:eastAsia="宋体"/>
        </w:rPr>
        <w:tab/>
      </w:r>
      <w:r>
        <w:rPr>
          <w:rFonts w:ascii="宋体" w:hAnsi="宋体" w:eastAsia="宋体"/>
        </w:rPr>
        <w:fldChar w:fldCharType="begin"/>
      </w:r>
      <w:r>
        <w:rPr>
          <w:rFonts w:ascii="宋体" w:hAnsi="宋体" w:eastAsia="宋体"/>
        </w:rPr>
        <w:instrText xml:space="preserve"> PAGEREF _Toc22878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5876CF95">
      <w:pPr>
        <w:pStyle w:val="21"/>
        <w:tabs>
          <w:tab w:val="right" w:leader="dot" w:pos="9025"/>
        </w:tabs>
        <w:spacing w:line="320" w:lineRule="exact"/>
        <w:rPr>
          <w:rFonts w:ascii="宋体" w:hAnsi="宋体" w:eastAsia="宋体"/>
        </w:rPr>
      </w:pPr>
      <w:r>
        <w:fldChar w:fldCharType="begin"/>
      </w:r>
      <w:r>
        <w:instrText xml:space="preserve"> HYPERLINK \l "_Toc22734" </w:instrText>
      </w:r>
      <w:r>
        <w:fldChar w:fldCharType="separate"/>
      </w:r>
      <w:r>
        <w:rPr>
          <w:rFonts w:hint="eastAsia" w:ascii="宋体" w:hAnsi="宋体" w:eastAsia="宋体"/>
        </w:rPr>
        <w:t>（七） 授予</w:t>
      </w:r>
      <w:r>
        <w:rPr>
          <w:rFonts w:ascii="宋体" w:hAnsi="宋体" w:eastAsia="宋体"/>
        </w:rPr>
        <w:t>合同</w:t>
      </w:r>
      <w:r>
        <w:rPr>
          <w:rFonts w:ascii="宋体" w:hAnsi="宋体" w:eastAsia="宋体"/>
        </w:rPr>
        <w:tab/>
      </w:r>
      <w:r>
        <w:rPr>
          <w:rFonts w:ascii="宋体" w:hAnsi="宋体" w:eastAsia="宋体"/>
        </w:rPr>
        <w:fldChar w:fldCharType="begin"/>
      </w:r>
      <w:r>
        <w:rPr>
          <w:rFonts w:ascii="宋体" w:hAnsi="宋体" w:eastAsia="宋体"/>
        </w:rPr>
        <w:instrText xml:space="preserve"> PAGEREF _Toc22734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101C2740">
      <w:pPr>
        <w:pStyle w:val="11"/>
        <w:tabs>
          <w:tab w:val="right" w:leader="dot" w:pos="9025"/>
        </w:tabs>
        <w:spacing w:line="320" w:lineRule="exact"/>
        <w:rPr>
          <w:rFonts w:ascii="宋体" w:hAnsi="宋体" w:eastAsia="宋体"/>
        </w:rPr>
      </w:pPr>
      <w:r>
        <w:fldChar w:fldCharType="begin"/>
      </w:r>
      <w:r>
        <w:instrText xml:space="preserve"> HYPERLINK \l "_Toc26163" </w:instrText>
      </w:r>
      <w:r>
        <w:fldChar w:fldCharType="separate"/>
      </w:r>
      <w:r>
        <w:rPr>
          <w:rFonts w:ascii="宋体" w:hAnsi="宋体" w:eastAsia="宋体"/>
          <w:szCs w:val="28"/>
          <w:lang w:val="zh-CN"/>
        </w:rPr>
        <w:t xml:space="preserve">27. </w:t>
      </w:r>
      <w:r>
        <w:rPr>
          <w:rFonts w:hint="eastAsia" w:ascii="宋体" w:hAnsi="宋体" w:eastAsia="宋体"/>
          <w:szCs w:val="28"/>
          <w:lang w:val="zh-CN"/>
        </w:rPr>
        <w:t>合同的订立</w:t>
      </w:r>
      <w:r>
        <w:rPr>
          <w:rFonts w:ascii="宋体" w:hAnsi="宋体" w:eastAsia="宋体"/>
        </w:rPr>
        <w:tab/>
      </w:r>
      <w:r>
        <w:rPr>
          <w:rFonts w:ascii="宋体" w:hAnsi="宋体" w:eastAsia="宋体"/>
        </w:rPr>
        <w:fldChar w:fldCharType="begin"/>
      </w:r>
      <w:r>
        <w:rPr>
          <w:rFonts w:ascii="宋体" w:hAnsi="宋体" w:eastAsia="宋体"/>
        </w:rPr>
        <w:instrText xml:space="preserve"> PAGEREF _Toc26163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7638C21A">
      <w:pPr>
        <w:pStyle w:val="11"/>
        <w:tabs>
          <w:tab w:val="right" w:leader="dot" w:pos="9025"/>
        </w:tabs>
        <w:spacing w:line="320" w:lineRule="exact"/>
        <w:rPr>
          <w:rFonts w:ascii="宋体" w:hAnsi="宋体" w:eastAsia="宋体"/>
        </w:rPr>
      </w:pPr>
      <w:r>
        <w:fldChar w:fldCharType="begin"/>
      </w:r>
      <w:r>
        <w:instrText xml:space="preserve"> HYPERLINK \l "_Toc17363" </w:instrText>
      </w:r>
      <w:r>
        <w:fldChar w:fldCharType="separate"/>
      </w:r>
      <w:r>
        <w:rPr>
          <w:rFonts w:ascii="宋体" w:hAnsi="宋体" w:eastAsia="宋体"/>
          <w:szCs w:val="28"/>
          <w:lang w:val="zh-CN"/>
        </w:rPr>
        <w:t xml:space="preserve">28. </w:t>
      </w:r>
      <w:r>
        <w:rPr>
          <w:rFonts w:hint="eastAsia" w:ascii="宋体" w:hAnsi="宋体" w:eastAsia="宋体"/>
          <w:szCs w:val="28"/>
          <w:lang w:val="zh-CN"/>
        </w:rPr>
        <w:t>合同的履行</w:t>
      </w:r>
      <w:r>
        <w:rPr>
          <w:rFonts w:ascii="宋体" w:hAnsi="宋体" w:eastAsia="宋体"/>
        </w:rPr>
        <w:tab/>
      </w:r>
      <w:r>
        <w:rPr>
          <w:rFonts w:ascii="宋体" w:hAnsi="宋体" w:eastAsia="宋体"/>
        </w:rPr>
        <w:fldChar w:fldCharType="begin"/>
      </w:r>
      <w:r>
        <w:rPr>
          <w:rFonts w:ascii="宋体" w:hAnsi="宋体" w:eastAsia="宋体"/>
        </w:rPr>
        <w:instrText xml:space="preserve"> PAGEREF _Toc17363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0B850C19">
      <w:pPr>
        <w:pStyle w:val="11"/>
        <w:tabs>
          <w:tab w:val="right" w:leader="dot" w:pos="9025"/>
        </w:tabs>
        <w:spacing w:line="320" w:lineRule="exact"/>
        <w:rPr>
          <w:rFonts w:ascii="宋体" w:hAnsi="宋体" w:eastAsia="宋体"/>
        </w:rPr>
      </w:pPr>
      <w:r>
        <w:fldChar w:fldCharType="begin"/>
      </w:r>
      <w:r>
        <w:instrText xml:space="preserve"> HYPERLINK \l "_Toc24245" </w:instrText>
      </w:r>
      <w:r>
        <w:fldChar w:fldCharType="separate"/>
      </w:r>
      <w:r>
        <w:rPr>
          <w:rFonts w:ascii="宋体" w:hAnsi="宋体" w:eastAsia="宋体"/>
          <w:szCs w:val="28"/>
          <w:lang w:val="zh-CN"/>
        </w:rPr>
        <w:t xml:space="preserve">29. </w:t>
      </w:r>
      <w:r>
        <w:rPr>
          <w:rFonts w:hint="eastAsia" w:ascii="宋体" w:hAnsi="宋体" w:eastAsia="宋体"/>
          <w:szCs w:val="28"/>
          <w:lang w:val="zh-CN"/>
        </w:rPr>
        <w:t>履约保证金</w:t>
      </w:r>
      <w:r>
        <w:rPr>
          <w:rFonts w:ascii="宋体" w:hAnsi="宋体" w:eastAsia="宋体"/>
        </w:rPr>
        <w:tab/>
      </w:r>
      <w:r>
        <w:rPr>
          <w:rFonts w:ascii="宋体" w:hAnsi="宋体" w:eastAsia="宋体"/>
        </w:rPr>
        <w:fldChar w:fldCharType="begin"/>
      </w:r>
      <w:r>
        <w:rPr>
          <w:rFonts w:ascii="宋体" w:hAnsi="宋体" w:eastAsia="宋体"/>
        </w:rPr>
        <w:instrText xml:space="preserve"> PAGEREF _Toc24245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566DE7DF">
      <w:pPr>
        <w:pStyle w:val="11"/>
        <w:tabs>
          <w:tab w:val="right" w:leader="dot" w:pos="9025"/>
        </w:tabs>
        <w:spacing w:line="320" w:lineRule="exact"/>
        <w:rPr>
          <w:rFonts w:ascii="宋体" w:hAnsi="宋体" w:eastAsia="宋体"/>
        </w:rPr>
      </w:pPr>
      <w:r>
        <w:fldChar w:fldCharType="begin"/>
      </w:r>
      <w:r>
        <w:instrText xml:space="preserve"> HYPERLINK \l "_Toc25404" </w:instrText>
      </w:r>
      <w:r>
        <w:fldChar w:fldCharType="separate"/>
      </w:r>
      <w:r>
        <w:rPr>
          <w:rFonts w:ascii="宋体" w:hAnsi="宋体" w:eastAsia="宋体"/>
          <w:szCs w:val="28"/>
          <w:lang w:val="zh-CN"/>
        </w:rPr>
        <w:t xml:space="preserve">30. </w:t>
      </w:r>
      <w:r>
        <w:rPr>
          <w:rFonts w:hint="eastAsia" w:ascii="宋体" w:hAnsi="宋体" w:eastAsia="宋体"/>
          <w:szCs w:val="28"/>
          <w:lang w:val="zh-CN"/>
        </w:rPr>
        <w:t>招标代理服务费</w:t>
      </w:r>
      <w:r>
        <w:rPr>
          <w:rFonts w:ascii="宋体" w:hAnsi="宋体" w:eastAsia="宋体"/>
        </w:rPr>
        <w:tab/>
      </w:r>
      <w:r>
        <w:rPr>
          <w:rFonts w:ascii="宋体" w:hAnsi="宋体" w:eastAsia="宋体"/>
        </w:rPr>
        <w:fldChar w:fldCharType="begin"/>
      </w:r>
      <w:r>
        <w:rPr>
          <w:rFonts w:ascii="宋体" w:hAnsi="宋体" w:eastAsia="宋体"/>
        </w:rPr>
        <w:instrText xml:space="preserve"> PAGEREF _Toc25404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3F62410D">
      <w:pPr>
        <w:pStyle w:val="17"/>
        <w:tabs>
          <w:tab w:val="right" w:leader="dot" w:pos="9025"/>
        </w:tabs>
        <w:spacing w:line="320" w:lineRule="exact"/>
        <w:rPr>
          <w:rFonts w:ascii="宋体" w:hAnsi="宋体" w:eastAsia="宋体"/>
        </w:rPr>
      </w:pPr>
      <w:r>
        <w:fldChar w:fldCharType="begin"/>
      </w:r>
      <w:r>
        <w:instrText xml:space="preserve"> HYPERLINK \l "_Toc17619" </w:instrText>
      </w:r>
      <w:r>
        <w:fldChar w:fldCharType="separate"/>
      </w:r>
      <w:r>
        <w:rPr>
          <w:rFonts w:hint="eastAsia" w:ascii="宋体" w:hAnsi="宋体" w:eastAsia="宋体"/>
        </w:rPr>
        <w:t>第三章 评分体系与标准</w:t>
      </w:r>
      <w:r>
        <w:rPr>
          <w:rFonts w:ascii="宋体" w:hAnsi="宋体" w:eastAsia="宋体"/>
        </w:rPr>
        <w:tab/>
      </w:r>
      <w:r>
        <w:rPr>
          <w:rFonts w:ascii="宋体" w:hAnsi="宋体" w:eastAsia="宋体"/>
        </w:rPr>
        <w:fldChar w:fldCharType="begin"/>
      </w:r>
      <w:r>
        <w:rPr>
          <w:rFonts w:ascii="宋体" w:hAnsi="宋体" w:eastAsia="宋体"/>
        </w:rPr>
        <w:instrText xml:space="preserve"> PAGEREF _Toc17619 \h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fldChar w:fldCharType="end"/>
      </w:r>
    </w:p>
    <w:p w14:paraId="077F20CF">
      <w:pPr>
        <w:pStyle w:val="21"/>
        <w:tabs>
          <w:tab w:val="right" w:leader="dot" w:pos="9025"/>
        </w:tabs>
        <w:spacing w:line="320" w:lineRule="exact"/>
        <w:rPr>
          <w:rFonts w:ascii="宋体" w:hAnsi="宋体" w:eastAsia="宋体"/>
        </w:rPr>
      </w:pPr>
      <w:r>
        <w:fldChar w:fldCharType="begin"/>
      </w:r>
      <w:r>
        <w:instrText xml:space="preserve"> HYPERLINK \l "_Toc18041" </w:instrText>
      </w:r>
      <w:r>
        <w:fldChar w:fldCharType="separate"/>
      </w:r>
      <w:r>
        <w:rPr>
          <w:rFonts w:hint="eastAsia" w:ascii="宋体" w:hAnsi="宋体" w:eastAsia="宋体" w:cs="宋体"/>
        </w:rPr>
        <w:t>（一） 评标方法</w:t>
      </w:r>
      <w:r>
        <w:rPr>
          <w:rFonts w:ascii="宋体" w:hAnsi="宋体" w:eastAsia="宋体"/>
        </w:rPr>
        <w:tab/>
      </w:r>
      <w:r>
        <w:rPr>
          <w:rFonts w:ascii="宋体" w:hAnsi="宋体" w:eastAsia="宋体"/>
        </w:rPr>
        <w:fldChar w:fldCharType="begin"/>
      </w:r>
      <w:r>
        <w:rPr>
          <w:rFonts w:ascii="宋体" w:hAnsi="宋体" w:eastAsia="宋体"/>
        </w:rPr>
        <w:instrText xml:space="preserve"> PAGEREF _Toc18041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14:paraId="0FFD137A">
      <w:pPr>
        <w:pStyle w:val="21"/>
        <w:tabs>
          <w:tab w:val="right" w:leader="dot" w:pos="9025"/>
        </w:tabs>
        <w:spacing w:line="320" w:lineRule="exact"/>
        <w:rPr>
          <w:rFonts w:ascii="宋体" w:hAnsi="宋体" w:eastAsia="宋体"/>
        </w:rPr>
      </w:pPr>
      <w:r>
        <w:fldChar w:fldCharType="begin"/>
      </w:r>
      <w:r>
        <w:instrText xml:space="preserve"> HYPERLINK \l "_Toc12918" </w:instrText>
      </w:r>
      <w:r>
        <w:fldChar w:fldCharType="separate"/>
      </w:r>
      <w:r>
        <w:rPr>
          <w:rFonts w:hint="eastAsia" w:ascii="宋体" w:hAnsi="宋体" w:eastAsia="宋体" w:cs="宋体"/>
        </w:rPr>
        <w:t>（二） 评标流程</w:t>
      </w:r>
      <w:r>
        <w:rPr>
          <w:rFonts w:ascii="宋体" w:hAnsi="宋体" w:eastAsia="宋体"/>
        </w:rPr>
        <w:tab/>
      </w:r>
      <w:r>
        <w:rPr>
          <w:rFonts w:ascii="宋体" w:hAnsi="宋体" w:eastAsia="宋体"/>
        </w:rPr>
        <w:fldChar w:fldCharType="begin"/>
      </w:r>
      <w:r>
        <w:rPr>
          <w:rFonts w:ascii="宋体" w:hAnsi="宋体" w:eastAsia="宋体"/>
        </w:rPr>
        <w:instrText xml:space="preserve"> PAGEREF _Toc12918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14:paraId="1154D293">
      <w:pPr>
        <w:pStyle w:val="21"/>
        <w:tabs>
          <w:tab w:val="right" w:leader="dot" w:pos="9025"/>
        </w:tabs>
        <w:spacing w:line="320" w:lineRule="exact"/>
        <w:rPr>
          <w:rFonts w:ascii="宋体" w:hAnsi="宋体" w:eastAsia="宋体"/>
        </w:rPr>
      </w:pPr>
      <w:r>
        <w:fldChar w:fldCharType="begin"/>
      </w:r>
      <w:r>
        <w:instrText xml:space="preserve"> HYPERLINK \l "_Toc12069" </w:instrText>
      </w:r>
      <w:r>
        <w:fldChar w:fldCharType="separate"/>
      </w:r>
      <w:r>
        <w:rPr>
          <w:rFonts w:hint="eastAsia" w:ascii="宋体" w:hAnsi="宋体" w:eastAsia="宋体" w:cs="宋体"/>
          <w:lang w:val="zh-CN"/>
        </w:rPr>
        <w:t>（三） 初步评审</w:t>
      </w:r>
      <w:r>
        <w:rPr>
          <w:rFonts w:ascii="宋体" w:hAnsi="宋体" w:eastAsia="宋体"/>
        </w:rPr>
        <w:tab/>
      </w:r>
      <w:r>
        <w:rPr>
          <w:rFonts w:ascii="宋体" w:hAnsi="宋体" w:eastAsia="宋体"/>
        </w:rPr>
        <w:fldChar w:fldCharType="begin"/>
      </w:r>
      <w:r>
        <w:rPr>
          <w:rFonts w:ascii="宋体" w:hAnsi="宋体" w:eastAsia="宋体"/>
        </w:rPr>
        <w:instrText xml:space="preserve"> PAGEREF _Toc12069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14:paraId="43683BC8">
      <w:pPr>
        <w:pStyle w:val="21"/>
        <w:tabs>
          <w:tab w:val="right" w:leader="dot" w:pos="9025"/>
        </w:tabs>
        <w:spacing w:line="320" w:lineRule="exact"/>
        <w:rPr>
          <w:rFonts w:ascii="宋体" w:hAnsi="宋体" w:eastAsia="宋体"/>
        </w:rPr>
      </w:pPr>
      <w:r>
        <w:fldChar w:fldCharType="begin"/>
      </w:r>
      <w:r>
        <w:instrText xml:space="preserve"> HYPERLINK \l "_Toc31958" </w:instrText>
      </w:r>
      <w:r>
        <w:fldChar w:fldCharType="separate"/>
      </w:r>
      <w:r>
        <w:rPr>
          <w:rFonts w:hint="eastAsia" w:ascii="宋体" w:hAnsi="宋体" w:eastAsia="宋体" w:cs="宋体"/>
          <w:lang w:val="zh-CN"/>
        </w:rPr>
        <w:t>（四） 价格评审</w:t>
      </w:r>
      <w:r>
        <w:rPr>
          <w:rFonts w:ascii="宋体" w:hAnsi="宋体" w:eastAsia="宋体"/>
        </w:rPr>
        <w:tab/>
      </w:r>
      <w:r>
        <w:rPr>
          <w:rFonts w:ascii="宋体" w:hAnsi="宋体" w:eastAsia="宋体"/>
        </w:rPr>
        <w:fldChar w:fldCharType="begin"/>
      </w:r>
      <w:r>
        <w:rPr>
          <w:rFonts w:ascii="宋体" w:hAnsi="宋体" w:eastAsia="宋体"/>
        </w:rPr>
        <w:instrText xml:space="preserve"> PAGEREF _Toc31958 \h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14:paraId="7DFB6827">
      <w:pPr>
        <w:pStyle w:val="21"/>
        <w:tabs>
          <w:tab w:val="right" w:leader="dot" w:pos="9025"/>
        </w:tabs>
        <w:spacing w:line="320" w:lineRule="exact"/>
        <w:rPr>
          <w:rFonts w:ascii="宋体" w:hAnsi="宋体" w:eastAsia="宋体"/>
        </w:rPr>
      </w:pPr>
      <w:r>
        <w:fldChar w:fldCharType="begin"/>
      </w:r>
      <w:r>
        <w:instrText xml:space="preserve"> HYPERLINK \l "_Toc30584" </w:instrText>
      </w:r>
      <w:r>
        <w:fldChar w:fldCharType="separate"/>
      </w:r>
      <w:r>
        <w:rPr>
          <w:rFonts w:hint="eastAsia" w:ascii="宋体" w:hAnsi="宋体" w:eastAsia="宋体" w:cs="宋体"/>
          <w:lang w:val="zh-CN"/>
        </w:rPr>
        <w:t>（五） 附表</w:t>
      </w:r>
      <w:r>
        <w:rPr>
          <w:rFonts w:ascii="宋体" w:hAnsi="宋体" w:eastAsia="宋体"/>
        </w:rPr>
        <w:tab/>
      </w:r>
      <w:r>
        <w:rPr>
          <w:rFonts w:ascii="宋体" w:hAnsi="宋体" w:eastAsia="宋体"/>
        </w:rPr>
        <w:fldChar w:fldCharType="begin"/>
      </w:r>
      <w:r>
        <w:rPr>
          <w:rFonts w:ascii="宋体" w:hAnsi="宋体" w:eastAsia="宋体"/>
        </w:rPr>
        <w:instrText xml:space="preserve"> PAGEREF _Toc30584 \h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fldChar w:fldCharType="end"/>
      </w:r>
    </w:p>
    <w:p w14:paraId="4E8ECE30">
      <w:pPr>
        <w:pStyle w:val="17"/>
        <w:tabs>
          <w:tab w:val="right" w:leader="dot" w:pos="9025"/>
        </w:tabs>
        <w:spacing w:line="320" w:lineRule="exact"/>
        <w:rPr>
          <w:rFonts w:ascii="宋体" w:hAnsi="宋体" w:eastAsia="宋体"/>
        </w:rPr>
      </w:pPr>
      <w:r>
        <w:fldChar w:fldCharType="begin"/>
      </w:r>
      <w:r>
        <w:instrText xml:space="preserve"> HYPERLINK \l "_Toc4008" </w:instrText>
      </w:r>
      <w:r>
        <w:fldChar w:fldCharType="separate"/>
      </w:r>
      <w:r>
        <w:rPr>
          <w:rFonts w:hint="eastAsia" w:ascii="宋体" w:hAnsi="宋体" w:eastAsia="宋体"/>
        </w:rPr>
        <w:t>第四章 用户需求书</w:t>
      </w:r>
      <w:r>
        <w:rPr>
          <w:rFonts w:ascii="宋体" w:hAnsi="宋体" w:eastAsia="宋体"/>
        </w:rPr>
        <w:tab/>
      </w:r>
      <w:r>
        <w:rPr>
          <w:rFonts w:ascii="宋体" w:hAnsi="宋体" w:eastAsia="宋体"/>
        </w:rPr>
        <w:fldChar w:fldCharType="begin"/>
      </w:r>
      <w:r>
        <w:rPr>
          <w:rFonts w:ascii="宋体" w:hAnsi="宋体" w:eastAsia="宋体"/>
        </w:rPr>
        <w:instrText xml:space="preserve"> PAGEREF _Toc4008 \h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fldChar w:fldCharType="end"/>
      </w:r>
    </w:p>
    <w:p w14:paraId="1F50042D">
      <w:pPr>
        <w:pStyle w:val="21"/>
        <w:tabs>
          <w:tab w:val="right" w:leader="dot" w:pos="9025"/>
        </w:tabs>
        <w:spacing w:line="320" w:lineRule="exact"/>
        <w:rPr>
          <w:rFonts w:ascii="宋体" w:hAnsi="宋体" w:eastAsia="宋体"/>
        </w:rPr>
      </w:pPr>
      <w:r>
        <w:fldChar w:fldCharType="begin"/>
      </w:r>
      <w:r>
        <w:instrText xml:space="preserve"> HYPERLINK \l "_Toc21825" </w:instrText>
      </w:r>
      <w:r>
        <w:fldChar w:fldCharType="separate"/>
      </w:r>
      <w:r>
        <w:rPr>
          <w:rFonts w:hint="eastAsia" w:ascii="宋体" w:hAnsi="宋体" w:eastAsia="宋体" w:cs="宋体"/>
          <w:bCs/>
        </w:rPr>
        <w:t>一、 项目概况</w:t>
      </w:r>
      <w:r>
        <w:rPr>
          <w:rFonts w:ascii="宋体" w:hAnsi="宋体" w:eastAsia="宋体"/>
        </w:rPr>
        <w:tab/>
      </w:r>
      <w:r>
        <w:rPr>
          <w:rFonts w:ascii="宋体" w:hAnsi="宋体" w:eastAsia="宋体"/>
        </w:rPr>
        <w:fldChar w:fldCharType="begin"/>
      </w:r>
      <w:r>
        <w:rPr>
          <w:rFonts w:ascii="宋体" w:hAnsi="宋体" w:eastAsia="宋体"/>
        </w:rPr>
        <w:instrText xml:space="preserve"> PAGEREF _Toc21825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14:paraId="6843B65B">
      <w:pPr>
        <w:pStyle w:val="21"/>
        <w:tabs>
          <w:tab w:val="right" w:leader="dot" w:pos="9025"/>
        </w:tabs>
        <w:spacing w:line="320" w:lineRule="exact"/>
        <w:rPr>
          <w:rFonts w:ascii="宋体" w:hAnsi="宋体" w:eastAsia="宋体"/>
        </w:rPr>
      </w:pPr>
      <w:r>
        <w:fldChar w:fldCharType="begin"/>
      </w:r>
      <w:r>
        <w:instrText xml:space="preserve"> HYPERLINK \l "_Toc9892" </w:instrText>
      </w:r>
      <w:r>
        <w:fldChar w:fldCharType="separate"/>
      </w:r>
      <w:r>
        <w:rPr>
          <w:rFonts w:hint="eastAsia" w:ascii="宋体" w:hAnsi="宋体" w:eastAsia="宋体" w:cs="宋体"/>
          <w:bCs/>
        </w:rPr>
        <w:t>二、 项目需求一览表</w:t>
      </w:r>
      <w:r>
        <w:rPr>
          <w:rFonts w:ascii="宋体" w:hAnsi="宋体" w:eastAsia="宋体"/>
        </w:rPr>
        <w:tab/>
      </w:r>
      <w:r>
        <w:rPr>
          <w:rFonts w:ascii="宋体" w:hAnsi="宋体" w:eastAsia="宋体"/>
        </w:rPr>
        <w:fldChar w:fldCharType="begin"/>
      </w:r>
      <w:r>
        <w:rPr>
          <w:rFonts w:ascii="宋体" w:hAnsi="宋体" w:eastAsia="宋体"/>
        </w:rPr>
        <w:instrText xml:space="preserve"> PAGEREF _Toc9892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14:paraId="0B094E69">
      <w:pPr>
        <w:pStyle w:val="21"/>
        <w:tabs>
          <w:tab w:val="right" w:leader="dot" w:pos="9025"/>
        </w:tabs>
        <w:spacing w:line="320" w:lineRule="exact"/>
        <w:rPr>
          <w:rFonts w:ascii="宋体" w:hAnsi="宋体" w:eastAsia="宋体"/>
        </w:rPr>
      </w:pPr>
      <w:r>
        <w:fldChar w:fldCharType="begin"/>
      </w:r>
      <w:r>
        <w:instrText xml:space="preserve"> HYPERLINK \l "_Toc9698" </w:instrText>
      </w:r>
      <w:r>
        <w:fldChar w:fldCharType="separate"/>
      </w:r>
      <w:r>
        <w:rPr>
          <w:rFonts w:hint="eastAsia" w:ascii="宋体" w:hAnsi="宋体" w:eastAsia="宋体" w:cs="宋体"/>
          <w:bCs/>
        </w:rPr>
        <w:t>三、 基本要求</w:t>
      </w:r>
      <w:r>
        <w:rPr>
          <w:rFonts w:ascii="宋体" w:hAnsi="宋体" w:eastAsia="宋体"/>
        </w:rPr>
        <w:tab/>
      </w:r>
      <w:r>
        <w:rPr>
          <w:rFonts w:ascii="宋体" w:hAnsi="宋体" w:eastAsia="宋体"/>
        </w:rPr>
        <w:fldChar w:fldCharType="begin"/>
      </w:r>
      <w:r>
        <w:rPr>
          <w:rFonts w:ascii="宋体" w:hAnsi="宋体" w:eastAsia="宋体"/>
        </w:rPr>
        <w:instrText xml:space="preserve"> PAGEREF _Toc9698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14:paraId="740A4108">
      <w:pPr>
        <w:pStyle w:val="21"/>
        <w:tabs>
          <w:tab w:val="right" w:leader="dot" w:pos="9025"/>
        </w:tabs>
        <w:spacing w:line="320" w:lineRule="exact"/>
        <w:rPr>
          <w:rFonts w:ascii="宋体" w:hAnsi="宋体" w:eastAsia="宋体"/>
        </w:rPr>
      </w:pPr>
      <w:r>
        <w:fldChar w:fldCharType="begin"/>
      </w:r>
      <w:r>
        <w:instrText xml:space="preserve"> HYPERLINK \l "_Toc38" </w:instrText>
      </w:r>
      <w:r>
        <w:fldChar w:fldCharType="separate"/>
      </w:r>
      <w:r>
        <w:rPr>
          <w:rFonts w:hint="eastAsia" w:ascii="宋体" w:hAnsi="宋体" w:eastAsia="宋体" w:cs="宋体"/>
          <w:bCs/>
        </w:rPr>
        <w:t>四、 验收要求</w:t>
      </w:r>
      <w:r>
        <w:rPr>
          <w:rFonts w:ascii="宋体" w:hAnsi="宋体" w:eastAsia="宋体"/>
        </w:rPr>
        <w:tab/>
      </w:r>
      <w:r>
        <w:rPr>
          <w:rFonts w:ascii="宋体" w:hAnsi="宋体" w:eastAsia="宋体"/>
        </w:rPr>
        <w:fldChar w:fldCharType="begin"/>
      </w:r>
      <w:r>
        <w:rPr>
          <w:rFonts w:ascii="宋体" w:hAnsi="宋体" w:eastAsia="宋体"/>
        </w:rPr>
        <w:instrText xml:space="preserve"> PAGEREF _Toc38 \h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14:paraId="274859A3">
      <w:pPr>
        <w:pStyle w:val="21"/>
        <w:tabs>
          <w:tab w:val="right" w:leader="dot" w:pos="9025"/>
        </w:tabs>
        <w:spacing w:line="320" w:lineRule="exact"/>
        <w:rPr>
          <w:rFonts w:ascii="宋体" w:hAnsi="宋体" w:eastAsia="宋体"/>
        </w:rPr>
      </w:pPr>
      <w:r>
        <w:fldChar w:fldCharType="begin"/>
      </w:r>
      <w:r>
        <w:instrText xml:space="preserve"> HYPERLINK \l "_Toc4823" </w:instrText>
      </w:r>
      <w:r>
        <w:fldChar w:fldCharType="separate"/>
      </w:r>
      <w:r>
        <w:rPr>
          <w:rFonts w:hint="eastAsia" w:ascii="宋体" w:hAnsi="宋体" w:eastAsia="宋体" w:cs="宋体"/>
          <w:bCs/>
        </w:rPr>
        <w:t>五、 配送要求</w:t>
      </w:r>
      <w:r>
        <w:rPr>
          <w:rFonts w:ascii="宋体" w:hAnsi="宋体" w:eastAsia="宋体"/>
        </w:rPr>
        <w:tab/>
      </w:r>
      <w:r>
        <w:rPr>
          <w:rFonts w:ascii="宋体" w:hAnsi="宋体" w:eastAsia="宋体"/>
        </w:rPr>
        <w:fldChar w:fldCharType="begin"/>
      </w:r>
      <w:r>
        <w:rPr>
          <w:rFonts w:ascii="宋体" w:hAnsi="宋体" w:eastAsia="宋体"/>
        </w:rPr>
        <w:instrText xml:space="preserve"> PAGEREF _Toc4823 \h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14:paraId="3BE16B7B">
      <w:pPr>
        <w:pStyle w:val="21"/>
        <w:tabs>
          <w:tab w:val="right" w:leader="dot" w:pos="9025"/>
        </w:tabs>
        <w:spacing w:line="320" w:lineRule="exact"/>
        <w:rPr>
          <w:rFonts w:ascii="宋体" w:hAnsi="宋体" w:eastAsia="宋体"/>
        </w:rPr>
      </w:pPr>
      <w:r>
        <w:fldChar w:fldCharType="begin"/>
      </w:r>
      <w:r>
        <w:instrText xml:space="preserve"> HYPERLINK \l "_Toc14844" </w:instrText>
      </w:r>
      <w:r>
        <w:fldChar w:fldCharType="separate"/>
      </w:r>
      <w:r>
        <w:rPr>
          <w:rFonts w:hint="eastAsia" w:ascii="宋体" w:hAnsi="宋体" w:eastAsia="宋体" w:cs="宋体"/>
          <w:bCs/>
        </w:rPr>
        <w:t>六、 设备维修服务要求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_Toc14844 \h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14:paraId="3B6C90E1">
      <w:pPr>
        <w:pStyle w:val="21"/>
        <w:tabs>
          <w:tab w:val="right" w:leader="dot" w:pos="9025"/>
        </w:tabs>
        <w:spacing w:line="320" w:lineRule="exact"/>
        <w:rPr>
          <w:rFonts w:ascii="宋体" w:hAnsi="宋体" w:eastAsia="宋体"/>
        </w:rPr>
      </w:pPr>
      <w:r>
        <w:fldChar w:fldCharType="begin"/>
      </w:r>
      <w:r>
        <w:instrText xml:space="preserve"> HYPERLINK \l "_Toc7123" </w:instrText>
      </w:r>
      <w:r>
        <w:fldChar w:fldCharType="separate"/>
      </w:r>
      <w:r>
        <w:rPr>
          <w:rFonts w:hint="eastAsia" w:ascii="宋体" w:hAnsi="宋体" w:eastAsia="宋体" w:cs="宋体"/>
          <w:bCs/>
        </w:rPr>
        <w:t>七、 合同签订</w:t>
      </w:r>
      <w:r>
        <w:rPr>
          <w:rFonts w:ascii="宋体" w:hAnsi="宋体" w:eastAsia="宋体"/>
        </w:rPr>
        <w:tab/>
      </w:r>
      <w:r>
        <w:rPr>
          <w:rFonts w:ascii="宋体" w:hAnsi="宋体" w:eastAsia="宋体"/>
        </w:rPr>
        <w:fldChar w:fldCharType="begin"/>
      </w:r>
      <w:r>
        <w:rPr>
          <w:rFonts w:ascii="宋体" w:hAnsi="宋体" w:eastAsia="宋体"/>
        </w:rPr>
        <w:instrText xml:space="preserve"> PAGEREF _Toc7123 \h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fldChar w:fldCharType="end"/>
      </w:r>
    </w:p>
    <w:p w14:paraId="2983BD99">
      <w:pPr>
        <w:pStyle w:val="21"/>
        <w:tabs>
          <w:tab w:val="right" w:leader="dot" w:pos="9025"/>
        </w:tabs>
        <w:spacing w:line="320" w:lineRule="exact"/>
        <w:rPr>
          <w:rFonts w:ascii="宋体" w:hAnsi="宋体" w:eastAsia="宋体"/>
        </w:rPr>
      </w:pPr>
      <w:r>
        <w:fldChar w:fldCharType="begin"/>
      </w:r>
      <w:r>
        <w:instrText xml:space="preserve"> HYPERLINK \l "_Toc20906" </w:instrText>
      </w:r>
      <w:r>
        <w:fldChar w:fldCharType="separate"/>
      </w:r>
      <w:r>
        <w:rPr>
          <w:rFonts w:hint="eastAsia" w:ascii="宋体" w:hAnsi="宋体" w:eastAsia="宋体" w:cs="宋体"/>
          <w:bCs/>
        </w:rPr>
        <w:t>八、 付款方式</w:t>
      </w:r>
      <w:r>
        <w:rPr>
          <w:rFonts w:ascii="宋体" w:hAnsi="宋体" w:eastAsia="宋体"/>
        </w:rPr>
        <w:tab/>
      </w:r>
      <w:r>
        <w:rPr>
          <w:rFonts w:ascii="宋体" w:hAnsi="宋体" w:eastAsia="宋体"/>
        </w:rPr>
        <w:fldChar w:fldCharType="begin"/>
      </w:r>
      <w:r>
        <w:rPr>
          <w:rFonts w:ascii="宋体" w:hAnsi="宋体" w:eastAsia="宋体"/>
        </w:rPr>
        <w:instrText xml:space="preserve"> PAGEREF _Toc20906 \h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fldChar w:fldCharType="end"/>
      </w:r>
    </w:p>
    <w:p w14:paraId="0441D9EB">
      <w:pPr>
        <w:pStyle w:val="21"/>
        <w:tabs>
          <w:tab w:val="right" w:leader="dot" w:pos="9025"/>
        </w:tabs>
        <w:spacing w:line="320" w:lineRule="exact"/>
        <w:rPr>
          <w:rFonts w:ascii="宋体" w:hAnsi="宋体" w:eastAsia="宋体"/>
        </w:rPr>
      </w:pPr>
      <w:r>
        <w:fldChar w:fldCharType="begin"/>
      </w:r>
      <w:r>
        <w:instrText xml:space="preserve"> HYPERLINK \l "_Toc14976" </w:instrText>
      </w:r>
      <w:r>
        <w:fldChar w:fldCharType="separate"/>
      </w:r>
      <w:r>
        <w:rPr>
          <w:rFonts w:hint="eastAsia" w:ascii="宋体" w:hAnsi="宋体" w:eastAsia="宋体" w:cs="宋体"/>
          <w:bCs/>
        </w:rPr>
        <w:t>九、 违约责任与赔偿损失</w:t>
      </w:r>
      <w:r>
        <w:rPr>
          <w:rFonts w:ascii="宋体" w:hAnsi="宋体" w:eastAsia="宋体"/>
        </w:rPr>
        <w:tab/>
      </w:r>
      <w:r>
        <w:rPr>
          <w:rFonts w:ascii="宋体" w:hAnsi="宋体" w:eastAsia="宋体"/>
        </w:rPr>
        <w:fldChar w:fldCharType="begin"/>
      </w:r>
      <w:r>
        <w:rPr>
          <w:rFonts w:ascii="宋体" w:hAnsi="宋体" w:eastAsia="宋体"/>
        </w:rPr>
        <w:instrText xml:space="preserve"> PAGEREF _Toc14976 \h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fldChar w:fldCharType="end"/>
      </w:r>
    </w:p>
    <w:p w14:paraId="7346B1F0">
      <w:pPr>
        <w:pStyle w:val="21"/>
        <w:tabs>
          <w:tab w:val="right" w:leader="dot" w:pos="9025"/>
        </w:tabs>
        <w:spacing w:line="320" w:lineRule="exact"/>
        <w:rPr>
          <w:rFonts w:ascii="宋体" w:hAnsi="宋体" w:eastAsia="宋体"/>
        </w:rPr>
      </w:pPr>
      <w:r>
        <w:fldChar w:fldCharType="begin"/>
      </w:r>
      <w:r>
        <w:instrText xml:space="preserve"> HYPERLINK \l "_Toc19358" </w:instrText>
      </w:r>
      <w:r>
        <w:fldChar w:fldCharType="separate"/>
      </w:r>
      <w:r>
        <w:rPr>
          <w:rFonts w:hint="eastAsia" w:ascii="宋体" w:hAnsi="宋体" w:eastAsia="宋体" w:cs="宋体"/>
          <w:bCs/>
        </w:rPr>
        <w:t>十、 项目报价要求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_Toc19358 \h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fldChar w:fldCharType="end"/>
      </w:r>
    </w:p>
    <w:p w14:paraId="321A43C3">
      <w:pPr>
        <w:pStyle w:val="21"/>
        <w:tabs>
          <w:tab w:val="right" w:leader="dot" w:pos="9025"/>
        </w:tabs>
        <w:spacing w:line="320" w:lineRule="exact"/>
        <w:rPr>
          <w:rFonts w:ascii="宋体" w:hAnsi="宋体" w:eastAsia="宋体"/>
        </w:rPr>
      </w:pPr>
      <w:r>
        <w:fldChar w:fldCharType="begin"/>
      </w:r>
      <w:r>
        <w:instrText xml:space="preserve"> HYPERLINK \l "_Toc13653" </w:instrText>
      </w:r>
      <w:r>
        <w:fldChar w:fldCharType="separate"/>
      </w:r>
      <w:r>
        <w:rPr>
          <w:rFonts w:hint="eastAsia" w:ascii="宋体" w:hAnsi="宋体" w:eastAsia="宋体" w:cs="宋体"/>
          <w:bCs/>
        </w:rPr>
        <w:t>十一、 采购零配件项目清单及最高限价</w:t>
      </w:r>
      <w:r>
        <w:rPr>
          <w:rFonts w:ascii="宋体" w:hAnsi="宋体" w:eastAsia="宋体"/>
        </w:rPr>
        <w:tab/>
      </w:r>
      <w:r>
        <w:rPr>
          <w:rFonts w:ascii="宋体" w:hAnsi="宋体" w:eastAsia="宋体"/>
        </w:rPr>
        <w:fldChar w:fldCharType="begin"/>
      </w:r>
      <w:r>
        <w:rPr>
          <w:rFonts w:ascii="宋体" w:hAnsi="宋体" w:eastAsia="宋体"/>
        </w:rPr>
        <w:instrText xml:space="preserve"> PAGEREF _Toc13653 \h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fldChar w:fldCharType="end"/>
      </w:r>
    </w:p>
    <w:p w14:paraId="3AAB9BBC">
      <w:pPr>
        <w:pStyle w:val="17"/>
        <w:tabs>
          <w:tab w:val="right" w:leader="dot" w:pos="9025"/>
        </w:tabs>
        <w:spacing w:line="320" w:lineRule="exact"/>
        <w:rPr>
          <w:rFonts w:ascii="宋体" w:hAnsi="宋体" w:eastAsia="宋体"/>
        </w:rPr>
      </w:pPr>
      <w:r>
        <w:fldChar w:fldCharType="begin"/>
      </w:r>
      <w:r>
        <w:instrText xml:space="preserve"> HYPERLINK \l "_Toc24875" </w:instrText>
      </w:r>
      <w:r>
        <w:fldChar w:fldCharType="separate"/>
      </w:r>
      <w:r>
        <w:rPr>
          <w:rFonts w:hint="eastAsia" w:ascii="宋体" w:hAnsi="宋体" w:eastAsia="宋体"/>
        </w:rPr>
        <w:t>第五章 合同格式</w:t>
      </w:r>
      <w:r>
        <w:rPr>
          <w:rFonts w:ascii="宋体" w:hAnsi="宋体" w:eastAsia="宋体"/>
        </w:rPr>
        <w:tab/>
      </w:r>
      <w:r>
        <w:rPr>
          <w:rFonts w:ascii="宋体" w:hAnsi="宋体" w:eastAsia="宋体"/>
        </w:rPr>
        <w:fldChar w:fldCharType="begin"/>
      </w:r>
      <w:r>
        <w:rPr>
          <w:rFonts w:ascii="宋体" w:hAnsi="宋体" w:eastAsia="宋体"/>
        </w:rPr>
        <w:instrText xml:space="preserve"> PAGEREF _Toc24875 \h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fldChar w:fldCharType="end"/>
      </w:r>
    </w:p>
    <w:p w14:paraId="2A1B30D9">
      <w:pPr>
        <w:pStyle w:val="17"/>
        <w:tabs>
          <w:tab w:val="right" w:leader="dot" w:pos="9025"/>
        </w:tabs>
        <w:spacing w:line="320" w:lineRule="exact"/>
        <w:rPr>
          <w:rFonts w:ascii="宋体" w:hAnsi="宋体" w:eastAsia="宋体"/>
        </w:rPr>
      </w:pPr>
      <w:r>
        <w:fldChar w:fldCharType="begin"/>
      </w:r>
      <w:r>
        <w:instrText xml:space="preserve"> HYPERLINK \l "_Toc8749" </w:instrText>
      </w:r>
      <w:r>
        <w:fldChar w:fldCharType="separate"/>
      </w:r>
      <w:r>
        <w:rPr>
          <w:rFonts w:hint="eastAsia" w:ascii="宋体" w:hAnsi="宋体" w:eastAsia="宋体"/>
        </w:rPr>
        <w:t>第六章 投标文件格式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_Toc8749 \h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fldChar w:fldCharType="end"/>
      </w:r>
    </w:p>
    <w:p w14:paraId="2DB6FA72">
      <w:pPr>
        <w:pStyle w:val="21"/>
        <w:tabs>
          <w:tab w:val="right" w:leader="dot" w:pos="9025"/>
        </w:tabs>
        <w:spacing w:line="320" w:lineRule="exact"/>
        <w:rPr>
          <w:rFonts w:ascii="宋体" w:hAnsi="宋体" w:eastAsia="宋体"/>
        </w:rPr>
      </w:pPr>
      <w:r>
        <w:fldChar w:fldCharType="begin"/>
      </w:r>
      <w:r>
        <w:instrText xml:space="preserve"> HYPERLINK \l "_Toc21320" </w:instrText>
      </w:r>
      <w:r>
        <w:fldChar w:fldCharType="separate"/>
      </w:r>
      <w:r>
        <w:rPr>
          <w:rFonts w:ascii="宋体" w:hAnsi="宋体" w:eastAsia="宋体"/>
          <w:szCs w:val="44"/>
        </w:rPr>
        <w:t>第</w:t>
      </w:r>
      <w:r>
        <w:rPr>
          <w:rFonts w:hint="eastAsia" w:ascii="宋体" w:hAnsi="宋体" w:eastAsia="宋体"/>
          <w:szCs w:val="44"/>
        </w:rPr>
        <w:t>一</w:t>
      </w:r>
      <w:r>
        <w:rPr>
          <w:rFonts w:ascii="宋体" w:hAnsi="宋体" w:eastAsia="宋体"/>
          <w:szCs w:val="44"/>
        </w:rPr>
        <w:t xml:space="preserve">部分 </w:t>
      </w:r>
      <w:r>
        <w:rPr>
          <w:rFonts w:hint="eastAsia" w:ascii="宋体" w:hAnsi="宋体" w:eastAsia="宋体"/>
          <w:szCs w:val="44"/>
        </w:rPr>
        <w:t>初审文件</w:t>
      </w:r>
      <w:r>
        <w:rPr>
          <w:rFonts w:ascii="宋体" w:hAnsi="宋体" w:eastAsia="宋体"/>
        </w:rPr>
        <w:tab/>
      </w:r>
      <w:r>
        <w:rPr>
          <w:rFonts w:ascii="宋体" w:hAnsi="宋体" w:eastAsia="宋体"/>
        </w:rPr>
        <w:fldChar w:fldCharType="begin"/>
      </w:r>
      <w:r>
        <w:rPr>
          <w:rFonts w:ascii="宋体" w:hAnsi="宋体" w:eastAsia="宋体"/>
        </w:rPr>
        <w:instrText xml:space="preserve"> PAGEREF _Toc21320 \h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fldChar w:fldCharType="end"/>
      </w:r>
    </w:p>
    <w:p w14:paraId="27A1F513">
      <w:pPr>
        <w:pStyle w:val="11"/>
        <w:tabs>
          <w:tab w:val="right" w:leader="dot" w:pos="9025"/>
        </w:tabs>
        <w:spacing w:line="320" w:lineRule="exact"/>
        <w:rPr>
          <w:rFonts w:ascii="宋体" w:hAnsi="宋体" w:eastAsia="宋体"/>
        </w:rPr>
      </w:pPr>
      <w:r>
        <w:fldChar w:fldCharType="begin"/>
      </w:r>
      <w:r>
        <w:instrText xml:space="preserve"> HYPERLINK \l "_Toc24193" </w:instrText>
      </w:r>
      <w:r>
        <w:fldChar w:fldCharType="separate"/>
      </w:r>
      <w:r>
        <w:rPr>
          <w:rFonts w:ascii="宋体" w:hAnsi="宋体" w:eastAsia="宋体"/>
        </w:rPr>
        <w:t xml:space="preserve">1、 </w:t>
      </w:r>
      <w:r>
        <w:rPr>
          <w:rFonts w:hint="eastAsia" w:ascii="宋体" w:hAnsi="宋体" w:eastAsia="宋体"/>
        </w:rPr>
        <w:t>投标函</w:t>
      </w:r>
      <w:r>
        <w:rPr>
          <w:rFonts w:ascii="宋体" w:hAnsi="宋体" w:eastAsia="宋体"/>
        </w:rPr>
        <w:tab/>
      </w:r>
      <w:r>
        <w:rPr>
          <w:rFonts w:ascii="宋体" w:hAnsi="宋体" w:eastAsia="宋体"/>
        </w:rPr>
        <w:fldChar w:fldCharType="begin"/>
      </w:r>
      <w:r>
        <w:rPr>
          <w:rFonts w:ascii="宋体" w:hAnsi="宋体" w:eastAsia="宋体"/>
        </w:rPr>
        <w:instrText xml:space="preserve"> PAGEREF _Toc24193 \h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fldChar w:fldCharType="end"/>
      </w:r>
    </w:p>
    <w:p w14:paraId="7469A90C">
      <w:pPr>
        <w:pStyle w:val="11"/>
        <w:tabs>
          <w:tab w:val="right" w:leader="dot" w:pos="9025"/>
        </w:tabs>
        <w:spacing w:line="320" w:lineRule="exact"/>
        <w:rPr>
          <w:rFonts w:ascii="宋体" w:hAnsi="宋体" w:eastAsia="宋体"/>
        </w:rPr>
      </w:pPr>
      <w:r>
        <w:fldChar w:fldCharType="begin"/>
      </w:r>
      <w:r>
        <w:instrText xml:space="preserve"> HYPERLINK \l "_Toc12393" </w:instrText>
      </w:r>
      <w:r>
        <w:fldChar w:fldCharType="separate"/>
      </w:r>
      <w:r>
        <w:rPr>
          <w:rFonts w:ascii="宋体" w:hAnsi="宋体" w:eastAsia="宋体"/>
        </w:rPr>
        <w:t xml:space="preserve">2、 </w:t>
      </w:r>
      <w:r>
        <w:rPr>
          <w:rFonts w:hint="eastAsia" w:ascii="宋体" w:hAnsi="宋体" w:eastAsia="宋体"/>
        </w:rPr>
        <w:t>关于资格的声明函</w:t>
      </w:r>
      <w:r>
        <w:rPr>
          <w:rFonts w:ascii="宋体" w:hAnsi="宋体" w:eastAsia="宋体"/>
        </w:rPr>
        <w:tab/>
      </w:r>
      <w:r>
        <w:rPr>
          <w:rFonts w:ascii="宋体" w:hAnsi="宋体" w:eastAsia="宋体"/>
        </w:rPr>
        <w:fldChar w:fldCharType="begin"/>
      </w:r>
      <w:r>
        <w:rPr>
          <w:rFonts w:ascii="宋体" w:hAnsi="宋体" w:eastAsia="宋体"/>
        </w:rPr>
        <w:instrText xml:space="preserve"> PAGEREF _Toc12393 \h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fldChar w:fldCharType="end"/>
      </w:r>
    </w:p>
    <w:p w14:paraId="5E3DE226">
      <w:pPr>
        <w:pStyle w:val="11"/>
        <w:tabs>
          <w:tab w:val="right" w:leader="dot" w:pos="9025"/>
        </w:tabs>
        <w:spacing w:line="320" w:lineRule="exact"/>
        <w:rPr>
          <w:rFonts w:ascii="宋体" w:hAnsi="宋体" w:eastAsia="宋体"/>
        </w:rPr>
      </w:pPr>
      <w:r>
        <w:fldChar w:fldCharType="begin"/>
      </w:r>
      <w:r>
        <w:instrText xml:space="preserve"> HYPERLINK \l "_Toc12907" </w:instrText>
      </w:r>
      <w:r>
        <w:fldChar w:fldCharType="separate"/>
      </w:r>
      <w:r>
        <w:rPr>
          <w:rFonts w:ascii="宋体" w:hAnsi="宋体" w:eastAsia="宋体"/>
        </w:rPr>
        <w:t xml:space="preserve">3、 </w:t>
      </w:r>
      <w:r>
        <w:rPr>
          <w:rFonts w:hint="eastAsia" w:ascii="宋体" w:hAnsi="宋体" w:eastAsia="宋体"/>
        </w:rPr>
        <w:t>法定代表人（负责人）证明书和法定代表人（负责人）授权委托书</w:t>
      </w:r>
      <w:r>
        <w:rPr>
          <w:rFonts w:ascii="宋体" w:hAnsi="宋体" w:eastAsia="宋体"/>
        </w:rPr>
        <w:tab/>
      </w:r>
      <w:r>
        <w:rPr>
          <w:rFonts w:ascii="宋体" w:hAnsi="宋体" w:eastAsia="宋体"/>
        </w:rPr>
        <w:fldChar w:fldCharType="begin"/>
      </w:r>
      <w:r>
        <w:rPr>
          <w:rFonts w:ascii="宋体" w:hAnsi="宋体" w:eastAsia="宋体"/>
        </w:rPr>
        <w:instrText xml:space="preserve"> PAGEREF _Toc12907 \h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fldChar w:fldCharType="end"/>
      </w:r>
    </w:p>
    <w:p w14:paraId="7264A480">
      <w:pPr>
        <w:pStyle w:val="11"/>
        <w:tabs>
          <w:tab w:val="right" w:leader="dot" w:pos="9025"/>
        </w:tabs>
        <w:spacing w:line="320" w:lineRule="exact"/>
        <w:rPr>
          <w:rFonts w:ascii="宋体" w:hAnsi="宋体" w:eastAsia="宋体"/>
        </w:rPr>
      </w:pPr>
      <w:r>
        <w:fldChar w:fldCharType="begin"/>
      </w:r>
      <w:r>
        <w:instrText xml:space="preserve"> HYPERLINK \l "_Toc3556" </w:instrText>
      </w:r>
      <w:r>
        <w:fldChar w:fldCharType="separate"/>
      </w:r>
      <w:r>
        <w:rPr>
          <w:rFonts w:ascii="宋体" w:hAnsi="宋体" w:eastAsia="宋体"/>
        </w:rPr>
        <w:t xml:space="preserve">4、 </w:t>
      </w:r>
      <w:r>
        <w:rPr>
          <w:rFonts w:hint="eastAsia" w:ascii="宋体" w:hAnsi="宋体" w:eastAsia="宋体"/>
        </w:rPr>
        <w:t>招标代理服务费支付承诺书</w:t>
      </w:r>
      <w:r>
        <w:rPr>
          <w:rFonts w:ascii="宋体" w:hAnsi="宋体" w:eastAsia="宋体"/>
        </w:rPr>
        <w:tab/>
      </w:r>
      <w:r>
        <w:rPr>
          <w:rFonts w:ascii="宋体" w:hAnsi="宋体" w:eastAsia="宋体"/>
        </w:rPr>
        <w:fldChar w:fldCharType="begin"/>
      </w:r>
      <w:r>
        <w:rPr>
          <w:rFonts w:ascii="宋体" w:hAnsi="宋体" w:eastAsia="宋体"/>
        </w:rPr>
        <w:instrText xml:space="preserve"> PAGEREF _Toc3556 \h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fldChar w:fldCharType="end"/>
      </w:r>
    </w:p>
    <w:p w14:paraId="48509161">
      <w:pPr>
        <w:pStyle w:val="21"/>
        <w:tabs>
          <w:tab w:val="right" w:leader="dot" w:pos="9025"/>
        </w:tabs>
        <w:spacing w:line="320" w:lineRule="exact"/>
        <w:rPr>
          <w:rFonts w:ascii="宋体" w:hAnsi="宋体" w:eastAsia="宋体"/>
        </w:rPr>
      </w:pPr>
      <w:r>
        <w:fldChar w:fldCharType="begin"/>
      </w:r>
      <w:r>
        <w:instrText xml:space="preserve"> HYPERLINK \l "_Toc15591" </w:instrText>
      </w:r>
      <w:r>
        <w:fldChar w:fldCharType="separate"/>
      </w:r>
      <w:r>
        <w:rPr>
          <w:rFonts w:ascii="宋体" w:hAnsi="宋体" w:eastAsia="宋体"/>
          <w:szCs w:val="44"/>
        </w:rPr>
        <w:t>第</w:t>
      </w:r>
      <w:r>
        <w:rPr>
          <w:rFonts w:hint="eastAsia" w:ascii="宋体" w:hAnsi="宋体" w:eastAsia="宋体"/>
          <w:szCs w:val="44"/>
        </w:rPr>
        <w:t>二</w:t>
      </w:r>
      <w:r>
        <w:rPr>
          <w:rFonts w:ascii="宋体" w:hAnsi="宋体" w:eastAsia="宋体"/>
          <w:szCs w:val="44"/>
        </w:rPr>
        <w:t xml:space="preserve">部分 </w:t>
      </w:r>
      <w:r>
        <w:rPr>
          <w:rFonts w:hint="eastAsia" w:ascii="宋体" w:hAnsi="宋体" w:eastAsia="宋体"/>
          <w:szCs w:val="44"/>
        </w:rPr>
        <w:t>商务</w:t>
      </w:r>
      <w:r>
        <w:rPr>
          <w:rFonts w:ascii="宋体" w:hAnsi="宋体" w:eastAsia="宋体"/>
          <w:szCs w:val="44"/>
        </w:rPr>
        <w:t>文件</w:t>
      </w:r>
      <w:r>
        <w:rPr>
          <w:rFonts w:ascii="宋体" w:hAnsi="宋体" w:eastAsia="宋体"/>
        </w:rPr>
        <w:tab/>
      </w:r>
      <w:r>
        <w:rPr>
          <w:rFonts w:ascii="宋体" w:hAnsi="宋体" w:eastAsia="宋体"/>
        </w:rPr>
        <w:fldChar w:fldCharType="begin"/>
      </w:r>
      <w:r>
        <w:rPr>
          <w:rFonts w:ascii="宋体" w:hAnsi="宋体" w:eastAsia="宋体"/>
        </w:rPr>
        <w:instrText xml:space="preserve"> PAGEREF _Toc15591 \h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fldChar w:fldCharType="end"/>
      </w:r>
    </w:p>
    <w:p w14:paraId="4AFBBA78">
      <w:pPr>
        <w:pStyle w:val="11"/>
        <w:tabs>
          <w:tab w:val="right" w:leader="dot" w:pos="9025"/>
        </w:tabs>
        <w:spacing w:line="320" w:lineRule="exact"/>
        <w:rPr>
          <w:rFonts w:ascii="宋体" w:hAnsi="宋体" w:eastAsia="宋体"/>
        </w:rPr>
      </w:pPr>
      <w:r>
        <w:fldChar w:fldCharType="begin"/>
      </w:r>
      <w:r>
        <w:instrText xml:space="preserve"> HYPERLINK \l "_Toc31174" </w:instrText>
      </w:r>
      <w:r>
        <w:fldChar w:fldCharType="separate"/>
      </w:r>
      <w:r>
        <w:rPr>
          <w:rFonts w:ascii="宋体" w:hAnsi="宋体" w:eastAsia="宋体"/>
        </w:rPr>
        <w:t xml:space="preserve">1、 </w:t>
      </w:r>
      <w:r>
        <w:rPr>
          <w:rFonts w:hint="eastAsia" w:ascii="宋体" w:hAnsi="宋体" w:eastAsia="宋体"/>
        </w:rPr>
        <w:t>投标人概况</w:t>
      </w:r>
      <w:r>
        <w:rPr>
          <w:rFonts w:ascii="宋体" w:hAnsi="宋体" w:eastAsia="宋体"/>
        </w:rPr>
        <w:tab/>
      </w:r>
      <w:r>
        <w:rPr>
          <w:rFonts w:ascii="宋体" w:hAnsi="宋体" w:eastAsia="宋体"/>
        </w:rPr>
        <w:fldChar w:fldCharType="begin"/>
      </w:r>
      <w:r>
        <w:rPr>
          <w:rFonts w:ascii="宋体" w:hAnsi="宋体" w:eastAsia="宋体"/>
        </w:rPr>
        <w:instrText xml:space="preserve"> PAGEREF _Toc31174 \h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fldChar w:fldCharType="end"/>
      </w:r>
    </w:p>
    <w:p w14:paraId="1069BFA2">
      <w:pPr>
        <w:pStyle w:val="11"/>
        <w:tabs>
          <w:tab w:val="right" w:leader="dot" w:pos="9025"/>
        </w:tabs>
        <w:spacing w:line="320" w:lineRule="exact"/>
        <w:rPr>
          <w:rFonts w:ascii="宋体" w:hAnsi="宋体" w:eastAsia="宋体"/>
        </w:rPr>
      </w:pPr>
      <w:r>
        <w:fldChar w:fldCharType="begin"/>
      </w:r>
      <w:r>
        <w:instrText xml:space="preserve"> HYPERLINK \l "_Toc31462" </w:instrText>
      </w:r>
      <w:r>
        <w:fldChar w:fldCharType="separate"/>
      </w:r>
      <w:r>
        <w:rPr>
          <w:rFonts w:ascii="宋体" w:hAnsi="宋体" w:eastAsia="宋体"/>
        </w:rPr>
        <w:t xml:space="preserve">2、 </w:t>
      </w:r>
      <w:r>
        <w:rPr>
          <w:rFonts w:hint="eastAsia" w:ascii="宋体" w:hAnsi="宋体" w:eastAsia="宋体"/>
        </w:rPr>
        <w:t>商务条款响应一览表</w:t>
      </w:r>
      <w:r>
        <w:rPr>
          <w:rFonts w:ascii="宋体" w:hAnsi="宋体" w:eastAsia="宋体"/>
        </w:rPr>
        <w:tab/>
      </w:r>
      <w:r>
        <w:rPr>
          <w:rFonts w:ascii="宋体" w:hAnsi="宋体" w:eastAsia="宋体"/>
        </w:rPr>
        <w:fldChar w:fldCharType="begin"/>
      </w:r>
      <w:r>
        <w:rPr>
          <w:rFonts w:ascii="宋体" w:hAnsi="宋体" w:eastAsia="宋体"/>
        </w:rPr>
        <w:instrText xml:space="preserve"> PAGEREF _Toc31462 \h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fldChar w:fldCharType="end"/>
      </w:r>
    </w:p>
    <w:p w14:paraId="78B19B5D">
      <w:pPr>
        <w:pStyle w:val="11"/>
        <w:tabs>
          <w:tab w:val="right" w:leader="dot" w:pos="9025"/>
        </w:tabs>
        <w:spacing w:line="320" w:lineRule="exact"/>
        <w:rPr>
          <w:rFonts w:ascii="宋体" w:hAnsi="宋体" w:eastAsia="宋体"/>
        </w:rPr>
      </w:pPr>
      <w:r>
        <w:fldChar w:fldCharType="begin"/>
      </w:r>
      <w:r>
        <w:instrText xml:space="preserve"> HYPERLINK \l "_Toc20480" </w:instrText>
      </w:r>
      <w:r>
        <w:fldChar w:fldCharType="separate"/>
      </w:r>
      <w:r>
        <w:rPr>
          <w:rFonts w:ascii="宋体" w:hAnsi="宋体" w:eastAsia="宋体"/>
        </w:rPr>
        <w:t xml:space="preserve">3、 </w:t>
      </w:r>
      <w:r>
        <w:rPr>
          <w:rFonts w:hint="eastAsia" w:ascii="宋体" w:hAnsi="宋体" w:eastAsia="宋体"/>
        </w:rPr>
        <w:t>售后服务方案</w:t>
      </w:r>
      <w:r>
        <w:rPr>
          <w:rFonts w:ascii="宋体" w:hAnsi="宋体" w:eastAsia="宋体"/>
        </w:rPr>
        <w:tab/>
      </w:r>
      <w:r>
        <w:rPr>
          <w:rFonts w:ascii="宋体" w:hAnsi="宋体" w:eastAsia="宋体"/>
        </w:rPr>
        <w:fldChar w:fldCharType="begin"/>
      </w:r>
      <w:r>
        <w:rPr>
          <w:rFonts w:ascii="宋体" w:hAnsi="宋体" w:eastAsia="宋体"/>
        </w:rPr>
        <w:instrText xml:space="preserve"> PAGEREF _Toc20480 \h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fldChar w:fldCharType="end"/>
      </w:r>
    </w:p>
    <w:p w14:paraId="7A83BCE1">
      <w:pPr>
        <w:pStyle w:val="21"/>
        <w:tabs>
          <w:tab w:val="right" w:leader="dot" w:pos="9025"/>
        </w:tabs>
        <w:spacing w:line="320" w:lineRule="exact"/>
        <w:rPr>
          <w:rFonts w:ascii="宋体" w:hAnsi="宋体" w:eastAsia="宋体"/>
        </w:rPr>
      </w:pPr>
      <w:r>
        <w:fldChar w:fldCharType="begin"/>
      </w:r>
      <w:r>
        <w:instrText xml:space="preserve"> HYPERLINK \l "_Toc2096" </w:instrText>
      </w:r>
      <w:r>
        <w:fldChar w:fldCharType="separate"/>
      </w:r>
      <w:r>
        <w:rPr>
          <w:rFonts w:ascii="宋体" w:hAnsi="宋体" w:eastAsia="宋体"/>
          <w:szCs w:val="44"/>
        </w:rPr>
        <w:t>第</w:t>
      </w:r>
      <w:r>
        <w:rPr>
          <w:rFonts w:hint="eastAsia" w:ascii="宋体" w:hAnsi="宋体" w:eastAsia="宋体"/>
          <w:szCs w:val="44"/>
        </w:rPr>
        <w:t>三</w:t>
      </w:r>
      <w:r>
        <w:rPr>
          <w:rFonts w:ascii="宋体" w:hAnsi="宋体" w:eastAsia="宋体"/>
          <w:szCs w:val="44"/>
        </w:rPr>
        <w:t xml:space="preserve">部分 </w:t>
      </w:r>
      <w:r>
        <w:rPr>
          <w:rFonts w:hint="eastAsia" w:ascii="宋体" w:hAnsi="宋体" w:eastAsia="宋体"/>
          <w:szCs w:val="44"/>
        </w:rPr>
        <w:t>技术</w:t>
      </w:r>
      <w:r>
        <w:rPr>
          <w:rFonts w:ascii="宋体" w:hAnsi="宋体" w:eastAsia="宋体"/>
          <w:szCs w:val="44"/>
        </w:rPr>
        <w:t>文件</w:t>
      </w:r>
      <w:r>
        <w:rPr>
          <w:rFonts w:ascii="宋体" w:hAnsi="宋体" w:eastAsia="宋体"/>
        </w:rPr>
        <w:tab/>
      </w:r>
      <w:r>
        <w:rPr>
          <w:rFonts w:ascii="宋体" w:hAnsi="宋体" w:eastAsia="宋体"/>
        </w:rPr>
        <w:fldChar w:fldCharType="begin"/>
      </w:r>
      <w:r>
        <w:rPr>
          <w:rFonts w:ascii="宋体" w:hAnsi="宋体" w:eastAsia="宋体"/>
        </w:rPr>
        <w:instrText xml:space="preserve"> PAGEREF _Toc2096 \h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fldChar w:fldCharType="end"/>
      </w:r>
    </w:p>
    <w:p w14:paraId="0D3D03A4">
      <w:pPr>
        <w:pStyle w:val="11"/>
        <w:tabs>
          <w:tab w:val="right" w:leader="dot" w:pos="9025"/>
        </w:tabs>
        <w:spacing w:line="320" w:lineRule="exact"/>
        <w:rPr>
          <w:rFonts w:ascii="宋体" w:hAnsi="宋体" w:eastAsia="宋体"/>
        </w:rPr>
      </w:pPr>
      <w:r>
        <w:fldChar w:fldCharType="begin"/>
      </w:r>
      <w:r>
        <w:instrText xml:space="preserve"> HYPERLINK \l "_Toc13911" </w:instrText>
      </w:r>
      <w:r>
        <w:fldChar w:fldCharType="separate"/>
      </w:r>
      <w:r>
        <w:rPr>
          <w:rFonts w:ascii="宋体" w:hAnsi="宋体" w:eastAsia="宋体"/>
        </w:rPr>
        <w:t xml:space="preserve">1、 </w:t>
      </w:r>
      <w:r>
        <w:rPr>
          <w:rFonts w:hint="eastAsia" w:ascii="宋体" w:hAnsi="宋体" w:eastAsia="宋体"/>
        </w:rPr>
        <w:t>技术条款响应表</w:t>
      </w:r>
      <w:r>
        <w:rPr>
          <w:rFonts w:ascii="宋体" w:hAnsi="宋体" w:eastAsia="宋体"/>
        </w:rPr>
        <w:tab/>
      </w:r>
      <w:r>
        <w:rPr>
          <w:rFonts w:ascii="宋体" w:hAnsi="宋体" w:eastAsia="宋体"/>
        </w:rPr>
        <w:fldChar w:fldCharType="begin"/>
      </w:r>
      <w:r>
        <w:rPr>
          <w:rFonts w:ascii="宋体" w:hAnsi="宋体" w:eastAsia="宋体"/>
        </w:rPr>
        <w:instrText xml:space="preserve"> PAGEREF _Toc13911 \h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fldChar w:fldCharType="end"/>
      </w:r>
    </w:p>
    <w:p w14:paraId="1BCD3EC9">
      <w:pPr>
        <w:pStyle w:val="11"/>
        <w:tabs>
          <w:tab w:val="right" w:leader="dot" w:pos="9025"/>
        </w:tabs>
        <w:spacing w:line="320" w:lineRule="exact"/>
        <w:rPr>
          <w:rFonts w:ascii="宋体" w:hAnsi="宋体" w:eastAsia="宋体"/>
        </w:rPr>
      </w:pPr>
      <w:r>
        <w:fldChar w:fldCharType="begin"/>
      </w:r>
      <w:r>
        <w:instrText xml:space="preserve"> HYPERLINK \l "_Toc28716" </w:instrText>
      </w:r>
      <w:r>
        <w:fldChar w:fldCharType="separate"/>
      </w:r>
      <w:r>
        <w:rPr>
          <w:rFonts w:ascii="宋体" w:hAnsi="宋体" w:eastAsia="宋体"/>
        </w:rPr>
        <w:t xml:space="preserve">2、 </w:t>
      </w:r>
      <w:r>
        <w:rPr>
          <w:rFonts w:hint="eastAsia" w:ascii="宋体" w:hAnsi="宋体" w:eastAsia="宋体"/>
        </w:rPr>
        <w:t>技术方案</w:t>
      </w:r>
      <w:r>
        <w:rPr>
          <w:rFonts w:ascii="宋体" w:hAnsi="宋体" w:eastAsia="宋体"/>
        </w:rPr>
        <w:tab/>
      </w:r>
      <w:r>
        <w:rPr>
          <w:rFonts w:ascii="宋体" w:hAnsi="宋体" w:eastAsia="宋体"/>
        </w:rPr>
        <w:fldChar w:fldCharType="begin"/>
      </w:r>
      <w:r>
        <w:rPr>
          <w:rFonts w:ascii="宋体" w:hAnsi="宋体" w:eastAsia="宋体"/>
        </w:rPr>
        <w:instrText xml:space="preserve"> PAGEREF _Toc28716 \h </w:instrText>
      </w:r>
      <w:r>
        <w:rPr>
          <w:rFonts w:ascii="宋体" w:hAnsi="宋体" w:eastAsia="宋体"/>
        </w:rPr>
        <w:fldChar w:fldCharType="separate"/>
      </w:r>
      <w:r>
        <w:rPr>
          <w:b/>
        </w:rPr>
        <w:t>错误！未定义书签。</w:t>
      </w:r>
      <w:r>
        <w:rPr>
          <w:rFonts w:ascii="宋体" w:hAnsi="宋体" w:eastAsia="宋体"/>
        </w:rPr>
        <w:fldChar w:fldCharType="end"/>
      </w:r>
      <w:r>
        <w:rPr>
          <w:rFonts w:ascii="宋体" w:hAnsi="宋体" w:eastAsia="宋体"/>
        </w:rPr>
        <w:fldChar w:fldCharType="end"/>
      </w:r>
    </w:p>
    <w:p w14:paraId="38E34F60">
      <w:pPr>
        <w:pStyle w:val="21"/>
        <w:tabs>
          <w:tab w:val="right" w:leader="dot" w:pos="9025"/>
        </w:tabs>
        <w:spacing w:line="320" w:lineRule="exact"/>
        <w:rPr>
          <w:rFonts w:ascii="宋体" w:hAnsi="宋体" w:eastAsia="宋体"/>
        </w:rPr>
      </w:pPr>
      <w:r>
        <w:fldChar w:fldCharType="begin"/>
      </w:r>
      <w:r>
        <w:instrText xml:space="preserve"> HYPERLINK \l "_Toc23678" </w:instrText>
      </w:r>
      <w:r>
        <w:fldChar w:fldCharType="separate"/>
      </w:r>
      <w:r>
        <w:rPr>
          <w:rFonts w:hint="eastAsia" w:ascii="宋体" w:hAnsi="宋体" w:eastAsia="宋体"/>
          <w:szCs w:val="44"/>
        </w:rPr>
        <w:t xml:space="preserve">第四部分 </w:t>
      </w:r>
      <w:r>
        <w:rPr>
          <w:rFonts w:ascii="宋体" w:hAnsi="宋体" w:eastAsia="宋体"/>
          <w:szCs w:val="44"/>
        </w:rPr>
        <w:t>报价文件</w:t>
      </w:r>
      <w:r>
        <w:rPr>
          <w:rFonts w:ascii="宋体" w:hAnsi="宋体" w:eastAsia="宋体"/>
        </w:rPr>
        <w:tab/>
      </w:r>
      <w:r>
        <w:rPr>
          <w:rFonts w:ascii="宋体" w:hAnsi="宋体" w:eastAsia="宋体"/>
        </w:rPr>
        <w:fldChar w:fldCharType="begin"/>
      </w:r>
      <w:r>
        <w:rPr>
          <w:rFonts w:ascii="宋体" w:hAnsi="宋体" w:eastAsia="宋体"/>
        </w:rPr>
        <w:instrText xml:space="preserve"> PAGEREF _Toc23678 \h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fldChar w:fldCharType="end"/>
      </w:r>
    </w:p>
    <w:p w14:paraId="1EED6405">
      <w:pPr>
        <w:pStyle w:val="11"/>
        <w:tabs>
          <w:tab w:val="right" w:leader="dot" w:pos="9025"/>
        </w:tabs>
        <w:spacing w:line="320" w:lineRule="exact"/>
        <w:rPr>
          <w:rFonts w:ascii="宋体" w:hAnsi="宋体" w:eastAsia="宋体"/>
        </w:rPr>
      </w:pPr>
      <w:r>
        <w:fldChar w:fldCharType="begin"/>
      </w:r>
      <w:r>
        <w:instrText xml:space="preserve"> HYPERLINK \l "_Toc22018" </w:instrText>
      </w:r>
      <w:r>
        <w:fldChar w:fldCharType="separate"/>
      </w:r>
      <w:r>
        <w:rPr>
          <w:rFonts w:ascii="宋体" w:hAnsi="宋体" w:eastAsia="宋体"/>
        </w:rPr>
        <w:t xml:space="preserve">1、 </w:t>
      </w:r>
      <w:r>
        <w:rPr>
          <w:rFonts w:hint="eastAsia" w:ascii="宋体" w:hAnsi="宋体" w:eastAsia="宋体"/>
        </w:rPr>
        <w:t>开标一览表</w:t>
      </w:r>
      <w:r>
        <w:rPr>
          <w:rFonts w:ascii="宋体" w:hAnsi="宋体" w:eastAsia="宋体"/>
        </w:rPr>
        <w:tab/>
      </w:r>
      <w:r>
        <w:rPr>
          <w:rFonts w:ascii="宋体" w:hAnsi="宋体" w:eastAsia="宋体"/>
        </w:rPr>
        <w:fldChar w:fldCharType="begin"/>
      </w:r>
      <w:r>
        <w:rPr>
          <w:rFonts w:ascii="宋体" w:hAnsi="宋体" w:eastAsia="宋体"/>
        </w:rPr>
        <w:instrText xml:space="preserve"> PAGEREF _Toc22018 \h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fldChar w:fldCharType="end"/>
      </w:r>
    </w:p>
    <w:p w14:paraId="17E2B6BB">
      <w:pPr>
        <w:adjustRightInd w:val="0"/>
        <w:snapToGrid w:val="0"/>
        <w:spacing w:line="340" w:lineRule="exact"/>
        <w:rPr>
          <w:sz w:val="24"/>
        </w:rPr>
      </w:pPr>
      <w:r>
        <w:rPr>
          <w:rFonts w:hint="eastAsia" w:asciiTheme="minorEastAsia" w:hAnsiTheme="minorEastAsia"/>
          <w:sz w:val="24"/>
        </w:rPr>
        <w:fldChar w:fldCharType="end"/>
      </w:r>
    </w:p>
    <w:p w14:paraId="5197B9E7"/>
    <w:p w14:paraId="037FB6A2"/>
    <w:p w14:paraId="59840FEB"/>
    <w:p w14:paraId="37C26A79">
      <w:bookmarkStart w:id="22" w:name="_Toc27984"/>
    </w:p>
    <w:p w14:paraId="0E3094F0"/>
    <w:p w14:paraId="625976B9"/>
    <w:p w14:paraId="514AA549"/>
    <w:p w14:paraId="3A7DC373"/>
    <w:p w14:paraId="181ECB60"/>
    <w:p w14:paraId="11C33DBD"/>
    <w:p w14:paraId="49BEAE5B"/>
    <w:p w14:paraId="06D32548"/>
    <w:p w14:paraId="6ED0A3E2"/>
    <w:p w14:paraId="2B9EE5F9"/>
    <w:p w14:paraId="56FD8B35"/>
    <w:p w14:paraId="7CA6776F"/>
    <w:p w14:paraId="74471374"/>
    <w:p w14:paraId="5C4E8D8E"/>
    <w:p w14:paraId="34812A4B"/>
    <w:p w14:paraId="1F7AEC73"/>
    <w:p w14:paraId="60706988"/>
    <w:p w14:paraId="4E41AF0C"/>
    <w:p w14:paraId="66FB4968"/>
    <w:p w14:paraId="3ADCF0AD"/>
    <w:p w14:paraId="19FB42F4"/>
    <w:p w14:paraId="5E38587F"/>
    <w:p w14:paraId="738393BA"/>
    <w:p w14:paraId="40977014"/>
    <w:p w14:paraId="6D4EC254"/>
    <w:p w14:paraId="01ACB67A"/>
    <w:p w14:paraId="3F1EF273"/>
    <w:p w14:paraId="35FD45E8"/>
    <w:p w14:paraId="00EA37C8"/>
    <w:p w14:paraId="449487A6"/>
    <w:p w14:paraId="6E26E16C">
      <w:pPr>
        <w:pStyle w:val="2"/>
        <w:jc w:val="center"/>
      </w:pPr>
      <w:bookmarkStart w:id="23" w:name="_Toc10450"/>
      <w:bookmarkStart w:id="24" w:name="_Toc15337"/>
      <w:r>
        <w:rPr>
          <w:rFonts w:hint="eastAsia"/>
        </w:rPr>
        <w:t xml:space="preserve">第一章 </w:t>
      </w:r>
      <w:bookmarkEnd w:id="0"/>
      <w:bookmarkEnd w:id="1"/>
      <w:bookmarkEnd w:id="2"/>
      <w:bookmarkEnd w:id="3"/>
      <w:bookmarkEnd w:id="4"/>
      <w:bookmarkEnd w:id="5"/>
      <w:bookmarkEnd w:id="6"/>
      <w:bookmarkEnd w:id="7"/>
      <w:r>
        <w:rPr>
          <w:rFonts w:hint="eastAsia"/>
        </w:rPr>
        <w:t>投标邀请函</w:t>
      </w:r>
      <w:bookmarkEnd w:id="8"/>
      <w:bookmarkEnd w:id="22"/>
      <w:bookmarkEnd w:id="23"/>
      <w:bookmarkEnd w:id="24"/>
    </w:p>
    <w:p w14:paraId="51084CCC"/>
    <w:p w14:paraId="30BF3D31"/>
    <w:p w14:paraId="438097A3"/>
    <w:p w14:paraId="2AC3713E"/>
    <w:p w14:paraId="28F198A7"/>
    <w:p w14:paraId="6AEB451B"/>
    <w:p w14:paraId="7DA0BA8B"/>
    <w:p w14:paraId="752EA63F"/>
    <w:p w14:paraId="5D8C9A8A"/>
    <w:p w14:paraId="1B3605E0"/>
    <w:p w14:paraId="531DBFEE"/>
    <w:p w14:paraId="5965F6E0"/>
    <w:p w14:paraId="3CB93AA8"/>
    <w:p w14:paraId="42A87256"/>
    <w:p w14:paraId="54591316"/>
    <w:p w14:paraId="2DB993AD"/>
    <w:p w14:paraId="4F1481BF"/>
    <w:p w14:paraId="7F37E342"/>
    <w:p w14:paraId="1B49DA8A"/>
    <w:p w14:paraId="22186B1F"/>
    <w:p w14:paraId="5DE1F42E"/>
    <w:p w14:paraId="326EFE9A"/>
    <w:p w14:paraId="2965FE75"/>
    <w:p w14:paraId="601553C0">
      <w:pPr>
        <w:jc w:val="center"/>
        <w:rPr>
          <w:rFonts w:ascii="黑体" w:eastAsia="黑体"/>
          <w:b/>
          <w:bCs/>
          <w:sz w:val="32"/>
          <w:szCs w:val="32"/>
        </w:rPr>
      </w:pPr>
      <w:r>
        <w:rPr>
          <w:rFonts w:hint="eastAsia" w:ascii="黑体" w:eastAsia="黑体"/>
          <w:b/>
          <w:bCs/>
          <w:sz w:val="32"/>
          <w:szCs w:val="32"/>
        </w:rPr>
        <w:t>投标邀请函</w:t>
      </w:r>
    </w:p>
    <w:p w14:paraId="2B1E01D7">
      <w:pPr>
        <w:spacing w:line="360" w:lineRule="auto"/>
        <w:ind w:firstLine="480" w:firstLineChars="200"/>
        <w:rPr>
          <w:rFonts w:ascii="宋体" w:hAnsi="宋体" w:eastAsia="宋体" w:cs="宋体"/>
          <w:sz w:val="24"/>
        </w:rPr>
      </w:pPr>
    </w:p>
    <w:p w14:paraId="4BA45F43">
      <w:pPr>
        <w:spacing w:line="360" w:lineRule="auto"/>
        <w:ind w:firstLine="480" w:firstLineChars="200"/>
        <w:rPr>
          <w:rFonts w:ascii="宋体" w:hAnsi="宋体" w:eastAsia="宋体" w:cs="宋体"/>
          <w:sz w:val="24"/>
        </w:rPr>
      </w:pPr>
      <w:r>
        <w:rPr>
          <w:rFonts w:hint="eastAsia" w:ascii="宋体" w:hAnsi="宋体" w:eastAsia="宋体" w:cs="宋体"/>
          <w:sz w:val="24"/>
        </w:rPr>
        <w:t>广东有德招标采购有限公司受广东省广裕集团英德工贸实业有限公司的委托，就广东省广裕集团英德工贸实业有限公司2024-2026年生产零配件、耗材定点采购项目进行公开招标采购，</w:t>
      </w:r>
      <w:r>
        <w:rPr>
          <w:rFonts w:hint="eastAsia" w:ascii="宋体" w:hAnsi="宋体" w:eastAsia="宋体" w:cs="宋体"/>
          <w:sz w:val="24"/>
          <w:lang w:val="zh-CN"/>
        </w:rPr>
        <w:t>欢迎符合条件的供应商前来参与</w:t>
      </w:r>
      <w:r>
        <w:rPr>
          <w:rFonts w:hint="eastAsia" w:ascii="宋体" w:hAnsi="宋体" w:eastAsia="宋体" w:cs="宋体"/>
          <w:sz w:val="24"/>
        </w:rPr>
        <w:t>。</w:t>
      </w:r>
    </w:p>
    <w:p w14:paraId="7914E1C4">
      <w:pPr>
        <w:numPr>
          <w:ilvl w:val="0"/>
          <w:numId w:val="3"/>
        </w:numPr>
        <w:spacing w:line="360" w:lineRule="auto"/>
        <w:rPr>
          <w:rFonts w:ascii="宋体" w:hAnsi="宋体" w:eastAsia="宋体" w:cs="宋体"/>
          <w:sz w:val="24"/>
        </w:rPr>
      </w:pPr>
      <w:r>
        <w:rPr>
          <w:rFonts w:hint="eastAsia" w:ascii="宋体" w:hAnsi="宋体" w:eastAsia="宋体" w:cs="宋体"/>
          <w:sz w:val="24"/>
        </w:rPr>
        <w:t>项目编号：1210-2440YDZB7768</w:t>
      </w:r>
    </w:p>
    <w:p w14:paraId="2134597C">
      <w:pPr>
        <w:numPr>
          <w:ilvl w:val="0"/>
          <w:numId w:val="3"/>
        </w:numPr>
        <w:spacing w:line="360" w:lineRule="auto"/>
        <w:rPr>
          <w:rFonts w:ascii="宋体" w:hAnsi="宋体" w:eastAsia="宋体" w:cs="宋体"/>
          <w:sz w:val="24"/>
        </w:rPr>
      </w:pPr>
      <w:r>
        <w:rPr>
          <w:rFonts w:hint="eastAsia" w:ascii="宋体" w:hAnsi="宋体" w:eastAsia="宋体" w:cs="宋体"/>
          <w:sz w:val="24"/>
        </w:rPr>
        <w:t>项目名称：广东省广裕集团英德工贸实业有限公司2024-2026年生产零配件、耗材定点采购项目</w:t>
      </w:r>
    </w:p>
    <w:p w14:paraId="65746C09">
      <w:pPr>
        <w:numPr>
          <w:ilvl w:val="0"/>
          <w:numId w:val="3"/>
        </w:numPr>
        <w:spacing w:line="360" w:lineRule="auto"/>
        <w:rPr>
          <w:rFonts w:ascii="宋体" w:hAnsi="宋体" w:eastAsia="宋体" w:cs="宋体"/>
          <w:sz w:val="24"/>
        </w:rPr>
      </w:pPr>
      <w:r>
        <w:rPr>
          <w:rFonts w:hint="eastAsia" w:ascii="宋体" w:hAnsi="宋体" w:eastAsia="宋体" w:cs="Times New Roman"/>
          <w:sz w:val="24"/>
        </w:rPr>
        <w:t>招标预算</w:t>
      </w:r>
      <w:r>
        <w:rPr>
          <w:rFonts w:hint="eastAsia" w:ascii="宋体" w:hAnsi="宋体" w:eastAsia="宋体" w:cs="宋体"/>
          <w:sz w:val="24"/>
        </w:rPr>
        <w:t>：人民币399.6万元</w:t>
      </w:r>
    </w:p>
    <w:p w14:paraId="42AE046C">
      <w:pPr>
        <w:numPr>
          <w:ilvl w:val="0"/>
          <w:numId w:val="3"/>
        </w:numPr>
        <w:spacing w:line="360" w:lineRule="auto"/>
        <w:rPr>
          <w:rFonts w:ascii="宋体" w:hAnsi="宋体" w:eastAsia="宋体" w:cs="宋体"/>
          <w:sz w:val="24"/>
        </w:rPr>
      </w:pPr>
      <w:r>
        <w:rPr>
          <w:rFonts w:hint="eastAsia" w:ascii="宋体" w:hAnsi="宋体" w:eastAsia="宋体" w:cs="宋体"/>
          <w:sz w:val="24"/>
        </w:rPr>
        <w:t>招标内容及要求：</w:t>
      </w:r>
    </w:p>
    <w:p w14:paraId="494B99F5">
      <w:pPr>
        <w:numPr>
          <w:ilvl w:val="0"/>
          <w:numId w:val="4"/>
        </w:numPr>
        <w:tabs>
          <w:tab w:val="left" w:pos="840"/>
          <w:tab w:val="left" w:pos="1080"/>
        </w:tabs>
        <w:spacing w:line="360" w:lineRule="auto"/>
        <w:rPr>
          <w:rFonts w:ascii="宋体" w:hAnsi="宋体" w:eastAsia="宋体" w:cs="Times New Roman"/>
          <w:sz w:val="24"/>
        </w:rPr>
      </w:pPr>
      <w:r>
        <w:rPr>
          <w:rFonts w:hint="eastAsia" w:ascii="宋体" w:hAnsi="宋体" w:eastAsia="宋体" w:cs="宋体"/>
          <w:sz w:val="24"/>
        </w:rPr>
        <w:t>招标</w:t>
      </w:r>
      <w:r>
        <w:rPr>
          <w:rFonts w:hint="eastAsia" w:ascii="宋体" w:hAnsi="宋体" w:eastAsia="宋体" w:cs="Times New Roman"/>
          <w:sz w:val="24"/>
        </w:rPr>
        <w:t>内容：</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1409"/>
        <w:gridCol w:w="2414"/>
        <w:gridCol w:w="2151"/>
      </w:tblGrid>
      <w:tr w14:paraId="1F3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14:paraId="385115F1">
            <w:pPr>
              <w:widowControl/>
              <w:spacing w:line="440" w:lineRule="exact"/>
              <w:jc w:val="center"/>
              <w:rPr>
                <w:rFonts w:ascii="宋体" w:hAnsi="宋体" w:cs="宋体"/>
                <w:b/>
                <w:kern w:val="0"/>
                <w:sz w:val="24"/>
              </w:rPr>
            </w:pPr>
            <w:r>
              <w:rPr>
                <w:rFonts w:hint="eastAsia" w:ascii="宋体" w:hAnsi="宋体" w:cs="宋体"/>
                <w:b/>
                <w:kern w:val="0"/>
                <w:sz w:val="24"/>
              </w:rPr>
              <w:t>招标内容</w:t>
            </w:r>
          </w:p>
        </w:tc>
        <w:tc>
          <w:tcPr>
            <w:tcW w:w="1409" w:type="dxa"/>
            <w:tcBorders>
              <w:top w:val="single" w:color="auto" w:sz="4" w:space="0"/>
              <w:left w:val="single" w:color="auto" w:sz="4" w:space="0"/>
              <w:bottom w:val="single" w:color="auto" w:sz="4" w:space="0"/>
              <w:right w:val="single" w:color="auto" w:sz="4" w:space="0"/>
            </w:tcBorders>
            <w:vAlign w:val="center"/>
          </w:tcPr>
          <w:p w14:paraId="361BBF6C">
            <w:pPr>
              <w:widowControl/>
              <w:spacing w:line="440" w:lineRule="exact"/>
              <w:jc w:val="center"/>
              <w:rPr>
                <w:rFonts w:ascii="宋体" w:hAnsi="宋体" w:cs="宋体"/>
                <w:b/>
                <w:kern w:val="0"/>
                <w:sz w:val="24"/>
              </w:rPr>
            </w:pPr>
            <w:r>
              <w:rPr>
                <w:rFonts w:hint="eastAsia" w:ascii="宋体" w:hAnsi="宋体" w:cs="宋体"/>
                <w:b/>
                <w:kern w:val="0"/>
                <w:sz w:val="24"/>
              </w:rPr>
              <w:t>采购数量</w:t>
            </w:r>
          </w:p>
        </w:tc>
        <w:tc>
          <w:tcPr>
            <w:tcW w:w="2414" w:type="dxa"/>
            <w:tcBorders>
              <w:top w:val="single" w:color="auto" w:sz="4" w:space="0"/>
              <w:left w:val="single" w:color="auto" w:sz="4" w:space="0"/>
              <w:bottom w:val="single" w:color="auto" w:sz="4" w:space="0"/>
              <w:right w:val="single" w:color="auto" w:sz="4" w:space="0"/>
            </w:tcBorders>
            <w:vAlign w:val="center"/>
          </w:tcPr>
          <w:p w14:paraId="525320B1">
            <w:pPr>
              <w:widowControl/>
              <w:spacing w:line="440" w:lineRule="exact"/>
              <w:jc w:val="center"/>
              <w:rPr>
                <w:rFonts w:ascii="宋体" w:hAnsi="宋体" w:cs="宋体"/>
                <w:b/>
                <w:kern w:val="0"/>
                <w:sz w:val="24"/>
              </w:rPr>
            </w:pPr>
            <w:r>
              <w:rPr>
                <w:rFonts w:hint="eastAsia" w:ascii="宋体" w:hAnsi="宋体" w:cs="宋体"/>
                <w:b/>
                <w:kern w:val="0"/>
                <w:sz w:val="24"/>
              </w:rPr>
              <w:t>采购预算</w:t>
            </w:r>
          </w:p>
        </w:tc>
        <w:tc>
          <w:tcPr>
            <w:tcW w:w="2151" w:type="dxa"/>
            <w:tcBorders>
              <w:top w:val="single" w:color="auto" w:sz="4" w:space="0"/>
              <w:left w:val="single" w:color="auto" w:sz="4" w:space="0"/>
              <w:bottom w:val="single" w:color="auto" w:sz="4" w:space="0"/>
              <w:right w:val="single" w:color="auto" w:sz="4" w:space="0"/>
            </w:tcBorders>
            <w:vAlign w:val="center"/>
          </w:tcPr>
          <w:p w14:paraId="0E47C340">
            <w:pPr>
              <w:widowControl/>
              <w:spacing w:line="440" w:lineRule="exact"/>
              <w:jc w:val="center"/>
              <w:rPr>
                <w:rFonts w:ascii="宋体" w:hAnsi="宋体" w:cs="宋体"/>
                <w:b/>
                <w:kern w:val="0"/>
                <w:sz w:val="24"/>
              </w:rPr>
            </w:pPr>
            <w:r>
              <w:rPr>
                <w:rFonts w:hint="eastAsia" w:ascii="宋体" w:hAnsi="宋体" w:cs="宋体"/>
                <w:b/>
                <w:kern w:val="0"/>
                <w:sz w:val="24"/>
              </w:rPr>
              <w:t>服务期限</w:t>
            </w:r>
          </w:p>
        </w:tc>
      </w:tr>
      <w:tr w14:paraId="4E4B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530" w:type="dxa"/>
            <w:tcBorders>
              <w:top w:val="single" w:color="auto" w:sz="4" w:space="0"/>
              <w:left w:val="single" w:color="auto" w:sz="4" w:space="0"/>
              <w:bottom w:val="single" w:color="auto" w:sz="4" w:space="0"/>
              <w:right w:val="single" w:color="auto" w:sz="4" w:space="0"/>
            </w:tcBorders>
            <w:vAlign w:val="center"/>
          </w:tcPr>
          <w:p w14:paraId="3EDB0228">
            <w:pPr>
              <w:spacing w:line="440" w:lineRule="exact"/>
              <w:jc w:val="center"/>
              <w:rPr>
                <w:rFonts w:ascii="宋体" w:hAnsi="宋体" w:eastAsia="宋体" w:cs="Times New Roman"/>
                <w:sz w:val="24"/>
              </w:rPr>
            </w:pPr>
            <w:r>
              <w:rPr>
                <w:rFonts w:hint="eastAsia" w:ascii="宋体" w:hAnsi="宋体" w:eastAsia="宋体" w:cs="Times New Roman"/>
                <w:sz w:val="24"/>
              </w:rPr>
              <w:t>2024-2026年生产零配件、耗材和设备维修服务定点采购</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1E07F4E">
            <w:pPr>
              <w:widowControl/>
              <w:spacing w:line="440" w:lineRule="exact"/>
              <w:jc w:val="center"/>
              <w:rPr>
                <w:rFonts w:ascii="宋体" w:hAnsi="宋体" w:eastAsia="宋体" w:cs="Times New Roman"/>
                <w:sz w:val="24"/>
              </w:rPr>
            </w:pPr>
            <w:r>
              <w:rPr>
                <w:rFonts w:hint="eastAsia" w:ascii="宋体" w:hAnsi="宋体" w:eastAsia="宋体" w:cs="Times New Roman"/>
                <w:sz w:val="24"/>
              </w:rPr>
              <w:t>1项</w:t>
            </w:r>
          </w:p>
        </w:tc>
        <w:tc>
          <w:tcPr>
            <w:tcW w:w="2414" w:type="dxa"/>
            <w:tcBorders>
              <w:top w:val="single" w:color="auto" w:sz="4" w:space="0"/>
              <w:left w:val="single" w:color="auto" w:sz="4" w:space="0"/>
              <w:bottom w:val="single" w:color="auto" w:sz="4" w:space="0"/>
              <w:right w:val="single" w:color="auto" w:sz="4" w:space="0"/>
            </w:tcBorders>
            <w:vAlign w:val="center"/>
          </w:tcPr>
          <w:p w14:paraId="1EDFAB26">
            <w:pPr>
              <w:widowControl/>
              <w:spacing w:before="72" w:after="72" w:line="440" w:lineRule="exact"/>
              <w:jc w:val="center"/>
              <w:rPr>
                <w:rFonts w:ascii="宋体" w:hAnsi="宋体" w:eastAsia="宋体" w:cs="Times New Roman"/>
                <w:sz w:val="24"/>
              </w:rPr>
            </w:pPr>
            <w:r>
              <w:rPr>
                <w:rFonts w:hint="eastAsia" w:ascii="宋体" w:hAnsi="宋体" w:eastAsia="宋体" w:cs="Times New Roman"/>
                <w:sz w:val="24"/>
              </w:rPr>
              <w:t>人民币399.6万元</w:t>
            </w:r>
          </w:p>
        </w:tc>
        <w:tc>
          <w:tcPr>
            <w:tcW w:w="2151" w:type="dxa"/>
            <w:tcBorders>
              <w:top w:val="single" w:color="auto" w:sz="4" w:space="0"/>
              <w:left w:val="single" w:color="auto" w:sz="4" w:space="0"/>
              <w:bottom w:val="single" w:color="auto" w:sz="4" w:space="0"/>
              <w:right w:val="single" w:color="auto" w:sz="4" w:space="0"/>
            </w:tcBorders>
            <w:vAlign w:val="center"/>
          </w:tcPr>
          <w:p w14:paraId="603BBA48">
            <w:pPr>
              <w:widowControl/>
              <w:spacing w:line="440" w:lineRule="exact"/>
              <w:jc w:val="center"/>
              <w:rPr>
                <w:rFonts w:ascii="宋体" w:hAnsi="宋体" w:eastAsia="宋体" w:cs="Times New Roman"/>
                <w:sz w:val="24"/>
              </w:rPr>
            </w:pPr>
            <w:r>
              <w:rPr>
                <w:rFonts w:hint="eastAsia" w:ascii="宋体" w:hAnsi="宋体" w:eastAsia="宋体" w:cs="Times New Roman"/>
                <w:sz w:val="24"/>
              </w:rPr>
              <w:t>自合同签订之日起2年</w:t>
            </w:r>
          </w:p>
        </w:tc>
      </w:tr>
    </w:tbl>
    <w:p w14:paraId="3B5B1213">
      <w:pPr>
        <w:numPr>
          <w:ilvl w:val="0"/>
          <w:numId w:val="4"/>
        </w:numPr>
        <w:tabs>
          <w:tab w:val="left" w:pos="840"/>
          <w:tab w:val="left" w:pos="1080"/>
        </w:tabs>
        <w:spacing w:line="360" w:lineRule="auto"/>
        <w:rPr>
          <w:rFonts w:ascii="宋体" w:hAnsi="宋体" w:eastAsia="宋体" w:cs="宋体"/>
          <w:sz w:val="24"/>
        </w:rPr>
      </w:pPr>
      <w:r>
        <w:rPr>
          <w:rFonts w:hint="eastAsia" w:ascii="宋体" w:hAnsi="宋体" w:eastAsia="宋体" w:cs="宋体"/>
          <w:sz w:val="24"/>
        </w:rPr>
        <w:t>招标项目技术要求：详见本招标文件第四章《用户需求书》。</w:t>
      </w:r>
    </w:p>
    <w:p w14:paraId="397BEEEF">
      <w:pPr>
        <w:numPr>
          <w:ilvl w:val="0"/>
          <w:numId w:val="4"/>
        </w:numPr>
        <w:tabs>
          <w:tab w:val="left" w:pos="840"/>
          <w:tab w:val="left" w:pos="1080"/>
        </w:tabs>
        <w:spacing w:line="360" w:lineRule="auto"/>
        <w:rPr>
          <w:rFonts w:ascii="宋体" w:hAnsi="宋体" w:eastAsia="宋体" w:cs="宋体"/>
          <w:sz w:val="24"/>
        </w:rPr>
      </w:pPr>
      <w:r>
        <w:rPr>
          <w:rFonts w:hint="eastAsia" w:ascii="宋体" w:hAnsi="宋体" w:eastAsia="宋体" w:cs="宋体"/>
          <w:sz w:val="24"/>
        </w:rPr>
        <w:t>本项目为一个整体，投标人须对全部内容进行投标，不得分拆、分包。</w:t>
      </w:r>
    </w:p>
    <w:p w14:paraId="6D04415C">
      <w:pPr>
        <w:numPr>
          <w:ilvl w:val="0"/>
          <w:numId w:val="3"/>
        </w:numPr>
        <w:spacing w:line="360" w:lineRule="auto"/>
        <w:rPr>
          <w:rFonts w:ascii="宋体" w:hAnsi="宋体" w:eastAsia="宋体" w:cs="宋体"/>
          <w:sz w:val="24"/>
        </w:rPr>
      </w:pPr>
      <w:r>
        <w:rPr>
          <w:rFonts w:hint="eastAsia" w:ascii="宋体" w:hAnsi="宋体" w:eastAsia="宋体" w:cs="宋体"/>
          <w:sz w:val="24"/>
        </w:rPr>
        <w:t>供应商资格：</w:t>
      </w:r>
    </w:p>
    <w:p w14:paraId="0255C8B6">
      <w:pPr>
        <w:numPr>
          <w:ilvl w:val="0"/>
          <w:numId w:val="5"/>
        </w:numPr>
        <w:adjustRightInd w:val="0"/>
        <w:snapToGrid w:val="0"/>
        <w:spacing w:line="360" w:lineRule="auto"/>
        <w:rPr>
          <w:rFonts w:ascii="宋体" w:hAnsi="宋体"/>
          <w:sz w:val="24"/>
        </w:rPr>
      </w:pPr>
      <w:r>
        <w:rPr>
          <w:rFonts w:hint="eastAsia" w:ascii="宋体" w:hAnsi="宋体"/>
          <w:sz w:val="24"/>
        </w:rPr>
        <w:t>供应商具有独立承担民事责任能力的在中华人民共和国境内注册的法人或其他组织（提供企业法人或者其他组织营业执照（或事业法人登记证或身份证等相关证明）副本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0CCF984">
      <w:pPr>
        <w:numPr>
          <w:ilvl w:val="0"/>
          <w:numId w:val="5"/>
        </w:numPr>
        <w:adjustRightInd w:val="0"/>
        <w:snapToGrid w:val="0"/>
        <w:spacing w:line="360" w:lineRule="auto"/>
        <w:rPr>
          <w:rFonts w:ascii="宋体" w:hAnsi="宋体"/>
          <w:sz w:val="24"/>
        </w:rPr>
      </w:pPr>
      <w:r>
        <w:rPr>
          <w:rFonts w:hint="eastAsia" w:ascii="宋体" w:hAnsi="宋体"/>
          <w:sz w:val="24"/>
        </w:rPr>
        <w:t>供应商必须具有良好的商业信誉和健全的财务会计制度（提供书面声明函）；</w:t>
      </w:r>
    </w:p>
    <w:p w14:paraId="26AA4482">
      <w:pPr>
        <w:numPr>
          <w:ilvl w:val="0"/>
          <w:numId w:val="5"/>
        </w:numPr>
        <w:adjustRightInd w:val="0"/>
        <w:snapToGrid w:val="0"/>
        <w:spacing w:line="360" w:lineRule="auto"/>
        <w:rPr>
          <w:rFonts w:ascii="宋体" w:hAnsi="宋体"/>
          <w:sz w:val="24"/>
        </w:rPr>
      </w:pPr>
      <w:r>
        <w:rPr>
          <w:rFonts w:hint="eastAsia" w:ascii="宋体" w:hAnsi="宋体"/>
          <w:sz w:val="24"/>
        </w:rPr>
        <w:t>供应商有依法缴纳税收和社会保障资金的良好记录（提供书面声明函）；</w:t>
      </w:r>
    </w:p>
    <w:p w14:paraId="3C5F8408">
      <w:pPr>
        <w:numPr>
          <w:ilvl w:val="0"/>
          <w:numId w:val="5"/>
        </w:numPr>
        <w:adjustRightInd w:val="0"/>
        <w:snapToGrid w:val="0"/>
        <w:spacing w:line="360" w:lineRule="auto"/>
        <w:rPr>
          <w:rFonts w:ascii="宋体" w:hAnsi="宋体"/>
          <w:sz w:val="24"/>
        </w:rPr>
      </w:pPr>
      <w:r>
        <w:rPr>
          <w:rFonts w:hint="eastAsia" w:ascii="宋体" w:hAnsi="宋体"/>
          <w:sz w:val="24"/>
        </w:rPr>
        <w:t>供应商具备履行合同所必需的设备和专业技术能力（提供书面声明函）；</w:t>
      </w:r>
    </w:p>
    <w:p w14:paraId="2D44D5ED">
      <w:pPr>
        <w:numPr>
          <w:ilvl w:val="0"/>
          <w:numId w:val="5"/>
        </w:numPr>
        <w:adjustRightInd w:val="0"/>
        <w:snapToGrid w:val="0"/>
        <w:spacing w:line="360" w:lineRule="auto"/>
        <w:rPr>
          <w:rFonts w:ascii="宋体" w:hAnsi="宋体"/>
          <w:sz w:val="24"/>
        </w:rPr>
      </w:pPr>
      <w:r>
        <w:rPr>
          <w:rFonts w:hint="eastAsia" w:ascii="宋体" w:hAnsi="宋体"/>
          <w:sz w:val="24"/>
        </w:rPr>
        <w:t>供应商参加招标活动前三年内，在经营活动中没有重大违法记录（提供书面声明函）【重大违法记录是指供应商因违法经营受到刑事处罚或者责令停产停业、吊销许可证或者执照、较大数额罚款等行政处罚。（</w:t>
      </w:r>
      <w:r>
        <w:rPr>
          <w:rFonts w:ascii="宋体" w:hAnsi="宋体" w:cs="宋体"/>
          <w:sz w:val="24"/>
        </w:rPr>
        <w:t>根据财库〔2022〕3号文，较大数额罚款认定为200万元以上的罚款，法律、行政法规以及国务院有关部门明确规定相关领域“较大数额罚款”标准高于200万元的，从其规定</w:t>
      </w:r>
      <w:r>
        <w:rPr>
          <w:rFonts w:hint="eastAsia" w:ascii="宋体" w:hAnsi="宋体"/>
          <w:sz w:val="24"/>
        </w:rPr>
        <w:t>）】；</w:t>
      </w:r>
    </w:p>
    <w:p w14:paraId="059E0392">
      <w:pPr>
        <w:numPr>
          <w:ilvl w:val="0"/>
          <w:numId w:val="5"/>
        </w:numPr>
        <w:adjustRightInd w:val="0"/>
        <w:snapToGrid w:val="0"/>
        <w:spacing w:line="360" w:lineRule="auto"/>
        <w:rPr>
          <w:rFonts w:ascii="宋体" w:hAnsi="宋体"/>
          <w:sz w:val="24"/>
        </w:rPr>
      </w:pPr>
      <w:r>
        <w:rPr>
          <w:rFonts w:hint="eastAsia" w:ascii="宋体" w:hAnsi="宋体"/>
          <w:sz w:val="24"/>
        </w:rPr>
        <w:t>供应商必须符合法律、行政法规规定的其他条件（提供书面声明函）；</w:t>
      </w:r>
    </w:p>
    <w:p w14:paraId="2C0505BC">
      <w:pPr>
        <w:numPr>
          <w:ilvl w:val="0"/>
          <w:numId w:val="5"/>
        </w:numPr>
        <w:adjustRightInd w:val="0"/>
        <w:snapToGrid w:val="0"/>
        <w:spacing w:line="360" w:lineRule="auto"/>
        <w:rPr>
          <w:rFonts w:ascii="宋体" w:hAnsi="宋体"/>
          <w:sz w:val="24"/>
        </w:rPr>
      </w:pPr>
      <w:r>
        <w:rPr>
          <w:rFonts w:ascii="宋体" w:hAnsi="宋体" w:cs="宋体"/>
          <w:sz w:val="24"/>
        </w:rPr>
        <w:t>供应商未被列入“中国执行信息公开网”（zxgk.court.gov.cn）“记录失信被执行人”</w:t>
      </w:r>
      <w:r>
        <w:rPr>
          <w:rFonts w:hint="eastAsia" w:ascii="宋体" w:hAnsi="宋体" w:cs="宋体"/>
          <w:sz w:val="24"/>
        </w:rPr>
        <w:t>名单</w:t>
      </w:r>
      <w:r>
        <w:rPr>
          <w:rFonts w:ascii="宋体" w:hAnsi="宋体" w:cs="宋体"/>
          <w:sz w:val="24"/>
        </w:rPr>
        <w:t>；</w:t>
      </w:r>
      <w:r>
        <w:rPr>
          <w:rFonts w:hint="eastAsia" w:ascii="宋体" w:hAnsi="宋体" w:cs="宋体"/>
          <w:sz w:val="24"/>
        </w:rPr>
        <w:t>未被列入</w:t>
      </w:r>
      <w:r>
        <w:rPr>
          <w:rFonts w:ascii="宋体" w:hAnsi="宋体" w:cs="宋体"/>
          <w:sz w:val="24"/>
        </w:rPr>
        <w:t>“信用中国”网站(www.creditchina.gov.cn)“重大税收违法失信主体</w:t>
      </w:r>
      <w:r>
        <w:rPr>
          <w:rFonts w:hint="eastAsia" w:ascii="宋体" w:hAnsi="宋体" w:cs="宋体"/>
          <w:sz w:val="24"/>
        </w:rPr>
        <w:t>、</w:t>
      </w:r>
      <w:r>
        <w:rPr>
          <w:rFonts w:ascii="宋体" w:hAnsi="宋体" w:cs="宋体"/>
          <w:sz w:val="24"/>
        </w:rPr>
        <w:t>政府采购严重违法失信行为”记录名单；不处于中国政府采购网(www.ccgp.gov.cn)“政府采购严重违法失信行为信息记录”中的禁止参加政府采购活动期间。（以</w:t>
      </w:r>
      <w:r>
        <w:rPr>
          <w:rFonts w:hint="eastAsia" w:ascii="宋体" w:hAnsi="宋体" w:cs="宋体"/>
          <w:sz w:val="24"/>
        </w:rPr>
        <w:t>招标</w:t>
      </w:r>
      <w:r>
        <w:rPr>
          <w:rFonts w:ascii="宋体" w:hAnsi="宋体" w:cs="宋体"/>
          <w:sz w:val="24"/>
        </w:rPr>
        <w:t>代理机构于投标截止日当天在</w:t>
      </w:r>
      <w:r>
        <w:rPr>
          <w:rFonts w:hint="eastAsia" w:ascii="宋体" w:hAnsi="宋体" w:cs="宋体"/>
          <w:sz w:val="24"/>
        </w:rPr>
        <w:t>上述网站</w:t>
      </w:r>
      <w:r>
        <w:rPr>
          <w:rFonts w:ascii="宋体" w:hAnsi="宋体" w:cs="宋体"/>
          <w:sz w:val="24"/>
        </w:rPr>
        <w:t>查询结果为准，如相关失信记录已失效，供应商需提供相关证明资料）</w:t>
      </w:r>
      <w:r>
        <w:rPr>
          <w:rFonts w:hint="eastAsia" w:ascii="宋体" w:hAnsi="宋体"/>
          <w:sz w:val="24"/>
        </w:rPr>
        <w:t>；</w:t>
      </w:r>
    </w:p>
    <w:p w14:paraId="6444AEA8">
      <w:pPr>
        <w:numPr>
          <w:ilvl w:val="0"/>
          <w:numId w:val="5"/>
        </w:numPr>
        <w:adjustRightInd w:val="0"/>
        <w:snapToGrid w:val="0"/>
        <w:spacing w:line="360" w:lineRule="auto"/>
        <w:rPr>
          <w:rFonts w:ascii="宋体" w:hAnsi="宋体"/>
          <w:sz w:val="24"/>
        </w:rPr>
      </w:pPr>
      <w:r>
        <w:rPr>
          <w:rFonts w:hint="eastAsia" w:ascii="宋体" w:hAnsi="宋体"/>
          <w:sz w:val="24"/>
        </w:rPr>
        <w:t>单位负责人为同一人或者存在直接控股、管理关系的不同供应商，不得同时参加本采购项目投标（提供书面声明函）；</w:t>
      </w:r>
    </w:p>
    <w:p w14:paraId="2F6B6143">
      <w:pPr>
        <w:numPr>
          <w:ilvl w:val="0"/>
          <w:numId w:val="5"/>
        </w:numPr>
        <w:adjustRightInd w:val="0"/>
        <w:snapToGrid w:val="0"/>
        <w:spacing w:line="360" w:lineRule="auto"/>
        <w:rPr>
          <w:rFonts w:ascii="宋体" w:hAnsi="宋体"/>
          <w:sz w:val="24"/>
        </w:rPr>
      </w:pPr>
      <w:r>
        <w:rPr>
          <w:rFonts w:hint="eastAsia" w:ascii="宋体" w:hAnsi="宋体"/>
          <w:sz w:val="24"/>
        </w:rPr>
        <w:t>为本项目提供整体设计、规范编制或者项目管理、监理、检测等服务的供应商，不得再参与本项目投标（提供书面声明函）。</w:t>
      </w:r>
    </w:p>
    <w:p w14:paraId="0E3269D7">
      <w:pPr>
        <w:numPr>
          <w:ilvl w:val="0"/>
          <w:numId w:val="5"/>
        </w:numPr>
        <w:adjustRightInd w:val="0"/>
        <w:snapToGrid w:val="0"/>
        <w:spacing w:line="360" w:lineRule="auto"/>
        <w:rPr>
          <w:rFonts w:ascii="宋体" w:hAnsi="宋体"/>
          <w:sz w:val="24"/>
        </w:rPr>
      </w:pPr>
      <w:r>
        <w:rPr>
          <w:rFonts w:hint="eastAsia" w:ascii="宋体" w:hAnsi="宋体"/>
          <w:sz w:val="24"/>
        </w:rPr>
        <w:t>本项目不接受联合体投标。</w:t>
      </w:r>
    </w:p>
    <w:p w14:paraId="26555876">
      <w:pPr>
        <w:numPr>
          <w:ilvl w:val="0"/>
          <w:numId w:val="5"/>
        </w:numPr>
        <w:adjustRightInd w:val="0"/>
        <w:snapToGrid w:val="0"/>
        <w:spacing w:line="360" w:lineRule="auto"/>
        <w:rPr>
          <w:rFonts w:ascii="宋体" w:hAnsi="宋体"/>
          <w:sz w:val="24"/>
        </w:rPr>
      </w:pPr>
      <w:r>
        <w:rPr>
          <w:rFonts w:hint="eastAsia" w:ascii="宋体" w:hAnsi="宋体"/>
          <w:sz w:val="24"/>
        </w:rPr>
        <w:t>供应商已领购本项目招标文件。</w:t>
      </w:r>
    </w:p>
    <w:p w14:paraId="355B8BE6">
      <w:pPr>
        <w:numPr>
          <w:ilvl w:val="0"/>
          <w:numId w:val="3"/>
        </w:numPr>
        <w:spacing w:line="360" w:lineRule="auto"/>
        <w:rPr>
          <w:rFonts w:ascii="宋体" w:hAnsi="宋体" w:eastAsia="宋体" w:cs="宋体"/>
          <w:sz w:val="24"/>
        </w:rPr>
      </w:pPr>
      <w:r>
        <w:rPr>
          <w:rFonts w:hint="eastAsia" w:ascii="宋体" w:hAnsi="宋体" w:eastAsia="宋体" w:cs="宋体"/>
          <w:sz w:val="24"/>
        </w:rPr>
        <w:t>符合资格的供应商应当在2024年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12</w:t>
      </w:r>
      <w:r>
        <w:rPr>
          <w:rFonts w:hint="eastAsia" w:ascii="宋体" w:hAnsi="宋体" w:eastAsia="宋体" w:cs="宋体"/>
          <w:sz w:val="24"/>
        </w:rPr>
        <w:t>日至2024年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19</w:t>
      </w:r>
      <w:r>
        <w:rPr>
          <w:rFonts w:hint="eastAsia" w:ascii="宋体" w:hAnsi="宋体" w:eastAsia="宋体" w:cs="宋体"/>
          <w:sz w:val="24"/>
        </w:rPr>
        <w:t>日期间（上午09:00至12:00,下午14:30至17:30，法定节假日除外）到广东有德招标采购有限公司（详细地址：</w:t>
      </w:r>
      <w:r>
        <w:rPr>
          <w:rFonts w:hint="eastAsia" w:ascii="宋体" w:hAnsi="宋体" w:eastAsia="宋体" w:cs="Times New Roman"/>
          <w:sz w:val="24"/>
        </w:rPr>
        <w:t>广州市天河北路626号保利中宇广场A座25楼</w:t>
      </w:r>
      <w:r>
        <w:rPr>
          <w:rFonts w:hint="eastAsia" w:ascii="宋体" w:hAnsi="宋体" w:eastAsia="宋体" w:cs="宋体"/>
          <w:sz w:val="24"/>
        </w:rPr>
        <w:t>）获取招标文件，招标文件每套售价0元（人民币），售后不退。</w:t>
      </w:r>
    </w:p>
    <w:p w14:paraId="5D4A16C3">
      <w:pPr>
        <w:numPr>
          <w:ilvl w:val="0"/>
          <w:numId w:val="3"/>
        </w:numPr>
        <w:spacing w:line="360" w:lineRule="auto"/>
        <w:rPr>
          <w:rFonts w:ascii="宋体" w:hAnsi="宋体" w:eastAsia="宋体" w:cs="宋体"/>
          <w:sz w:val="24"/>
        </w:rPr>
      </w:pPr>
      <w:r>
        <w:rPr>
          <w:rFonts w:hint="eastAsia" w:ascii="宋体" w:hAnsi="宋体" w:eastAsia="宋体" w:cs="宋体"/>
          <w:sz w:val="24"/>
        </w:rPr>
        <w:t>投标截止时间：2024年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9</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时</w:t>
      </w:r>
      <w:r>
        <w:rPr>
          <w:rFonts w:hint="eastAsia" w:ascii="宋体" w:hAnsi="宋体" w:eastAsia="宋体" w:cs="宋体"/>
          <w:sz w:val="24"/>
          <w:lang w:val="en-US" w:eastAsia="zh-CN"/>
        </w:rPr>
        <w:t>30</w:t>
      </w:r>
      <w:r>
        <w:rPr>
          <w:rFonts w:hint="eastAsia" w:ascii="宋体" w:hAnsi="宋体" w:eastAsia="宋体" w:cs="宋体"/>
          <w:sz w:val="24"/>
        </w:rPr>
        <w:t>分</w:t>
      </w:r>
      <w:r>
        <w:rPr>
          <w:rFonts w:hint="eastAsia" w:ascii="宋体" w:cs="宋体"/>
          <w:sz w:val="24"/>
        </w:rPr>
        <w:t>（投标文件递交开始时间：</w:t>
      </w:r>
      <w:r>
        <w:rPr>
          <w:rFonts w:hint="eastAsia" w:ascii="宋体" w:hAnsi="宋体" w:eastAsia="宋体" w:cs="宋体"/>
          <w:sz w:val="24"/>
        </w:rPr>
        <w:t>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9</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w:t>
      </w:r>
      <w:r>
        <w:rPr>
          <w:rFonts w:hint="eastAsia" w:ascii="宋体" w:cs="宋体"/>
          <w:sz w:val="24"/>
        </w:rPr>
        <w:t>）</w:t>
      </w:r>
    </w:p>
    <w:p w14:paraId="77637D05">
      <w:pPr>
        <w:numPr>
          <w:ilvl w:val="0"/>
          <w:numId w:val="3"/>
        </w:numPr>
        <w:spacing w:line="360" w:lineRule="auto"/>
        <w:rPr>
          <w:rFonts w:ascii="宋体" w:hAnsi="宋体" w:eastAsia="宋体" w:cs="宋体"/>
          <w:sz w:val="24"/>
        </w:rPr>
      </w:pPr>
      <w:r>
        <w:rPr>
          <w:rFonts w:hint="eastAsia" w:ascii="宋体" w:hAnsi="宋体" w:eastAsia="宋体" w:cs="宋体"/>
          <w:sz w:val="24"/>
        </w:rPr>
        <w:t>提交投标文件地点：</w:t>
      </w:r>
      <w:r>
        <w:rPr>
          <w:rFonts w:hint="eastAsia" w:ascii="宋体" w:hAnsi="宋体" w:eastAsia="宋体" w:cs="Times New Roman"/>
          <w:sz w:val="24"/>
        </w:rPr>
        <w:t>广州市天河北路626号保利中宇广场A座25楼</w:t>
      </w:r>
    </w:p>
    <w:p w14:paraId="6004E66F">
      <w:pPr>
        <w:numPr>
          <w:ilvl w:val="0"/>
          <w:numId w:val="3"/>
        </w:numPr>
        <w:spacing w:line="360" w:lineRule="auto"/>
        <w:rPr>
          <w:rFonts w:ascii="宋体" w:hAnsi="宋体" w:eastAsia="宋体" w:cs="宋体"/>
          <w:sz w:val="24"/>
        </w:rPr>
      </w:pPr>
      <w:r>
        <w:rPr>
          <w:rFonts w:hint="eastAsia" w:ascii="宋体" w:hAnsi="宋体" w:eastAsia="宋体" w:cs="宋体"/>
          <w:sz w:val="24"/>
        </w:rPr>
        <w:t>开标时间：2024年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9</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时</w:t>
      </w:r>
      <w:r>
        <w:rPr>
          <w:rFonts w:hint="eastAsia" w:ascii="宋体" w:hAnsi="宋体" w:eastAsia="宋体" w:cs="宋体"/>
          <w:sz w:val="24"/>
          <w:lang w:val="en-US" w:eastAsia="zh-CN"/>
        </w:rPr>
        <w:t>30</w:t>
      </w:r>
      <w:r>
        <w:rPr>
          <w:rFonts w:hint="eastAsia" w:ascii="宋体" w:hAnsi="宋体" w:eastAsia="宋体" w:cs="宋体"/>
          <w:sz w:val="24"/>
        </w:rPr>
        <w:t>分</w:t>
      </w:r>
    </w:p>
    <w:p w14:paraId="7007AB9B">
      <w:pPr>
        <w:numPr>
          <w:ilvl w:val="0"/>
          <w:numId w:val="3"/>
        </w:numPr>
        <w:spacing w:line="360" w:lineRule="auto"/>
        <w:rPr>
          <w:rFonts w:ascii="宋体" w:hAnsi="宋体" w:eastAsia="宋体" w:cs="宋体"/>
          <w:sz w:val="24"/>
        </w:rPr>
      </w:pPr>
      <w:r>
        <w:rPr>
          <w:rFonts w:hint="eastAsia" w:ascii="宋体" w:hAnsi="宋体" w:eastAsia="宋体" w:cs="宋体"/>
          <w:sz w:val="24"/>
        </w:rPr>
        <w:t>开标地点：</w:t>
      </w:r>
      <w:r>
        <w:rPr>
          <w:rFonts w:hint="eastAsia" w:ascii="宋体" w:hAnsi="宋体" w:eastAsia="宋体" w:cs="Times New Roman"/>
          <w:sz w:val="24"/>
        </w:rPr>
        <w:t>广州市天河北路626号保利中宇广场A座25楼</w:t>
      </w:r>
    </w:p>
    <w:p w14:paraId="35D7E1D6">
      <w:pPr>
        <w:numPr>
          <w:ilvl w:val="0"/>
          <w:numId w:val="3"/>
        </w:numPr>
        <w:spacing w:line="360" w:lineRule="auto"/>
        <w:rPr>
          <w:rFonts w:ascii="宋体" w:hAnsi="宋体" w:eastAsia="宋体" w:cs="宋体"/>
          <w:sz w:val="24"/>
        </w:rPr>
      </w:pPr>
      <w:bookmarkStart w:id="25" w:name="_Toc35393626"/>
      <w:bookmarkStart w:id="26" w:name="_Toc21346"/>
      <w:bookmarkStart w:id="27" w:name="_Toc25036"/>
      <w:bookmarkStart w:id="28" w:name="_Toc35393795"/>
      <w:bookmarkStart w:id="29" w:name="_Toc1375"/>
      <w:r>
        <w:rPr>
          <w:rFonts w:hint="eastAsia" w:ascii="宋体" w:hAnsi="宋体" w:eastAsia="宋体" w:cs="宋体"/>
          <w:sz w:val="24"/>
        </w:rPr>
        <w:t>其他补充事宜</w:t>
      </w:r>
      <w:bookmarkEnd w:id="25"/>
      <w:bookmarkEnd w:id="26"/>
      <w:bookmarkEnd w:id="27"/>
      <w:bookmarkEnd w:id="28"/>
      <w:bookmarkEnd w:id="29"/>
    </w:p>
    <w:p w14:paraId="5B5FEB5B">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80" w:firstLineChars="200"/>
        <w:rPr>
          <w:rFonts w:cs="宋体"/>
        </w:rPr>
      </w:pPr>
      <w:r>
        <w:rPr>
          <w:rFonts w:hint="eastAsia" w:cs="宋体"/>
        </w:rPr>
        <w:t>1、现场获取招标文件者，供应商登陆广东有德招标采购有限公司网站（http://www.youde.net）下载《投标登记表》，填写相关信息并加盖供应商公章到招标代理机构处办理获取招标文件。</w:t>
      </w:r>
    </w:p>
    <w:p w14:paraId="1F9C683A">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80" w:firstLineChars="200"/>
        <w:rPr>
          <w:rFonts w:cs="宋体"/>
        </w:rPr>
      </w:pPr>
      <w:r>
        <w:rPr>
          <w:rFonts w:hint="eastAsia" w:cs="宋体"/>
        </w:rPr>
        <w:t>2、线上获取招标文件者，供应商登陆广东有德招标采购有限公司网站（http://www.youde.net）下载《投标登记表》，填写相关信息并加盖供应商公章后扫描发至招标代理机构邮箱（E－mail：</w:t>
      </w:r>
      <w:r>
        <w:fldChar w:fldCharType="begin"/>
      </w:r>
      <w:r>
        <w:instrText xml:space="preserve"> HYPERLINK "mailto:youde@163.com），经采购代理机构工作人员确认后办理相关手续。" </w:instrText>
      </w:r>
      <w:r>
        <w:fldChar w:fldCharType="separate"/>
      </w:r>
      <w:r>
        <w:rPr>
          <w:rFonts w:hint="eastAsia" w:cs="宋体"/>
        </w:rPr>
        <w:t>youde_zb@163.com），经招标代理机构工作人员（联系人：邓小姐，联系电话：020-88260060）确认后办理相关手续。</w:t>
      </w:r>
      <w:r>
        <w:rPr>
          <w:rFonts w:hint="eastAsia" w:cs="宋体"/>
        </w:rPr>
        <w:fldChar w:fldCharType="end"/>
      </w:r>
    </w:p>
    <w:p w14:paraId="71D31C7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20"/>
        <w:rPr>
          <w:rFonts w:cs="宋体"/>
        </w:rPr>
      </w:pPr>
      <w:r>
        <w:rPr>
          <w:rFonts w:hint="eastAsia" w:cs="宋体"/>
        </w:rPr>
        <w:t>3、领购招标文件账户信息（招标代理机构只接受以投标人名义的汇款，不接受个人的汇款及其它款项）：</w:t>
      </w:r>
    </w:p>
    <w:p w14:paraId="3F56A12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20"/>
        <w:rPr>
          <w:rFonts w:cs="宋体"/>
        </w:rPr>
      </w:pPr>
      <w:r>
        <w:rPr>
          <w:rFonts w:hint="eastAsia" w:cs="宋体"/>
        </w:rPr>
        <w:t>（1）开户银行名称：中国光大银行广州分行</w:t>
      </w:r>
    </w:p>
    <w:p w14:paraId="1B46D74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20"/>
        <w:rPr>
          <w:rFonts w:cs="宋体"/>
        </w:rPr>
      </w:pPr>
      <w:r>
        <w:rPr>
          <w:rFonts w:hint="eastAsia" w:cs="宋体"/>
        </w:rPr>
        <w:t>（2）单位名称：广东有德招标采购有限公司</w:t>
      </w:r>
    </w:p>
    <w:p w14:paraId="0DACEFFC">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60" w:lineRule="auto"/>
        <w:ind w:firstLine="420"/>
        <w:rPr>
          <w:rFonts w:cs="宋体"/>
        </w:rPr>
      </w:pPr>
      <w:r>
        <w:rPr>
          <w:rFonts w:hint="eastAsia" w:cs="宋体"/>
        </w:rPr>
        <w:t>（3）账号：38610188000123567</w:t>
      </w:r>
    </w:p>
    <w:p w14:paraId="35F2CCD6">
      <w:pPr>
        <w:numPr>
          <w:ilvl w:val="0"/>
          <w:numId w:val="3"/>
        </w:numPr>
        <w:spacing w:line="360" w:lineRule="auto"/>
        <w:rPr>
          <w:rFonts w:ascii="宋体" w:hAnsi="宋体" w:eastAsia="宋体" w:cs="宋体"/>
          <w:sz w:val="24"/>
        </w:rPr>
      </w:pPr>
      <w:r>
        <w:rPr>
          <w:rFonts w:hint="eastAsia" w:ascii="宋体" w:hAnsi="宋体" w:eastAsia="宋体" w:cs="宋体"/>
          <w:sz w:val="24"/>
        </w:rPr>
        <w:t>联系事项</w:t>
      </w:r>
    </w:p>
    <w:p w14:paraId="5886E8CE">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招标人：广东省广裕集团英德工贸实业有限公司</w:t>
      </w:r>
    </w:p>
    <w:p w14:paraId="6CD8176A">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地址：</w:t>
      </w:r>
      <w:r>
        <w:rPr>
          <w:rFonts w:hint="eastAsia" w:ascii="宋体" w:hAnsi="宋体" w:cs="宋体"/>
          <w:sz w:val="24"/>
        </w:rPr>
        <w:t>广东省英德市金子山大道四号路1号</w:t>
      </w:r>
    </w:p>
    <w:p w14:paraId="0219C56A">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联系人：胡先生</w:t>
      </w:r>
    </w:p>
    <w:p w14:paraId="002BE91E">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联系电话：0763-3165091、0763-3165092</w:t>
      </w:r>
    </w:p>
    <w:p w14:paraId="181AD16D">
      <w:pPr>
        <w:spacing w:line="360" w:lineRule="auto"/>
        <w:ind w:firstLine="1159" w:firstLineChars="483"/>
        <w:rPr>
          <w:rFonts w:ascii="宋体" w:hAnsi="宋体" w:eastAsia="宋体" w:cs="Times New Roman"/>
          <w:sz w:val="24"/>
        </w:rPr>
      </w:pPr>
    </w:p>
    <w:p w14:paraId="00DE0876">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招标代理机构：广东有德招标采购有限公司</w:t>
      </w:r>
    </w:p>
    <w:p w14:paraId="48CA067C">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地址：广州市天河北路626号保利中宇广场A座25楼</w:t>
      </w:r>
    </w:p>
    <w:p w14:paraId="7E0D5DEA">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联系人：周小姐</w:t>
      </w:r>
    </w:p>
    <w:p w14:paraId="5DBB9860">
      <w:pPr>
        <w:spacing w:line="360" w:lineRule="auto"/>
        <w:ind w:firstLine="1159" w:firstLineChars="483"/>
        <w:rPr>
          <w:rFonts w:ascii="宋体" w:hAnsi="宋体" w:eastAsia="宋体" w:cs="Times New Roman"/>
          <w:sz w:val="24"/>
        </w:rPr>
      </w:pPr>
      <w:r>
        <w:rPr>
          <w:rFonts w:hint="eastAsia" w:ascii="宋体" w:hAnsi="宋体" w:eastAsia="宋体" w:cs="Times New Roman"/>
          <w:sz w:val="24"/>
        </w:rPr>
        <w:t>联系电话：020-83625527</w:t>
      </w:r>
    </w:p>
    <w:p w14:paraId="3C664B00">
      <w:pPr>
        <w:spacing w:line="360" w:lineRule="auto"/>
        <w:ind w:firstLine="1159" w:firstLineChars="483"/>
        <w:rPr>
          <w:rFonts w:ascii="宋体" w:hAnsi="宋体" w:eastAsia="宋体" w:cs="Times New Roman"/>
          <w:sz w:val="24"/>
          <w:highlight w:val="yellow"/>
        </w:rPr>
      </w:pPr>
    </w:p>
    <w:p w14:paraId="17B59D49">
      <w:pPr>
        <w:spacing w:line="360" w:lineRule="auto"/>
        <w:ind w:firstLine="1159" w:firstLineChars="483"/>
        <w:rPr>
          <w:rStyle w:val="28"/>
        </w:rPr>
      </w:pPr>
      <w:r>
        <w:rPr>
          <w:rFonts w:hint="eastAsia" w:ascii="宋体" w:hAnsi="宋体" w:eastAsia="宋体" w:cs="Times New Roman"/>
          <w:sz w:val="24"/>
        </w:rPr>
        <w:t>监督部门：广东省英德监狱纪委</w:t>
      </w:r>
    </w:p>
    <w:p w14:paraId="0CC2C82D">
      <w:pPr>
        <w:spacing w:line="360" w:lineRule="auto"/>
        <w:ind w:firstLine="1014" w:firstLineChars="483"/>
        <w:rPr>
          <w:rFonts w:ascii="宋体" w:hAnsi="宋体" w:eastAsia="宋体" w:cs="Times New Roman"/>
          <w:sz w:val="24"/>
        </w:rPr>
      </w:pPr>
      <w:r>
        <w:rPr>
          <w:rFonts w:hint="eastAsia"/>
        </w:rPr>
        <w:t xml:space="preserve"> </w:t>
      </w:r>
      <w:r>
        <w:rPr>
          <w:rFonts w:hint="eastAsia" w:ascii="宋体" w:hAnsi="宋体" w:eastAsia="宋体" w:cs="Times New Roman"/>
          <w:sz w:val="24"/>
        </w:rPr>
        <w:t>联系电话：0763-3165066、0763-3165065</w:t>
      </w:r>
    </w:p>
    <w:p w14:paraId="5C8BF678">
      <w:pPr>
        <w:spacing w:line="360" w:lineRule="auto"/>
        <w:ind w:firstLine="1159" w:firstLineChars="483"/>
        <w:rPr>
          <w:rFonts w:ascii="宋体" w:hAnsi="宋体" w:eastAsia="宋体" w:cs="Times New Roman"/>
          <w:sz w:val="24"/>
          <w:highlight w:val="yellow"/>
        </w:rPr>
      </w:pPr>
    </w:p>
    <w:p w14:paraId="379B16CA">
      <w:pPr>
        <w:spacing w:line="360" w:lineRule="auto"/>
        <w:jc w:val="right"/>
        <w:rPr>
          <w:rFonts w:ascii="宋体" w:hAnsi="宋体" w:eastAsia="宋体" w:cs="Times New Roman"/>
          <w:sz w:val="24"/>
        </w:rPr>
      </w:pPr>
    </w:p>
    <w:p w14:paraId="65BD013A">
      <w:pPr>
        <w:spacing w:line="360" w:lineRule="auto"/>
        <w:jc w:val="right"/>
        <w:rPr>
          <w:rFonts w:ascii="宋体" w:hAnsi="宋体" w:eastAsia="宋体" w:cs="Times New Roman"/>
          <w:sz w:val="24"/>
        </w:rPr>
      </w:pPr>
      <w:r>
        <w:rPr>
          <w:rFonts w:hint="eastAsia" w:ascii="宋体" w:hAnsi="宋体" w:eastAsia="宋体" w:cs="Times New Roman"/>
          <w:sz w:val="24"/>
        </w:rPr>
        <w:t>广东有德招标采购有限公司</w:t>
      </w:r>
    </w:p>
    <w:p w14:paraId="5452BC04">
      <w:pPr>
        <w:spacing w:line="360" w:lineRule="auto"/>
        <w:ind w:firstLine="1159" w:firstLineChars="483"/>
        <w:jc w:val="right"/>
        <w:rPr>
          <w:rFonts w:ascii="宋体" w:hAnsi="宋体"/>
          <w:sz w:val="24"/>
        </w:rPr>
      </w:pPr>
      <w:r>
        <w:rPr>
          <w:rFonts w:hint="eastAsia" w:ascii="宋体" w:hAnsi="宋体" w:eastAsia="宋体" w:cs="Times New Roman"/>
          <w:sz w:val="24"/>
        </w:rPr>
        <w:t>2024年</w:t>
      </w: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eastAsia="宋体" w:cs="Times New Roman"/>
          <w:sz w:val="24"/>
          <w:lang w:val="en-US" w:eastAsia="zh-CN"/>
        </w:rPr>
        <w:t>11</w:t>
      </w:r>
      <w:r>
        <w:rPr>
          <w:rFonts w:hint="eastAsia" w:ascii="宋体" w:hAnsi="宋体" w:eastAsia="宋体" w:cs="Times New Roman"/>
          <w:sz w:val="24"/>
        </w:rPr>
        <w:t>日</w:t>
      </w:r>
    </w:p>
    <w:p w14:paraId="3005A05C">
      <w:pPr>
        <w:spacing w:line="360" w:lineRule="auto"/>
        <w:rPr>
          <w:rFonts w:ascii="宋体" w:hAnsi="宋体" w:eastAsia="宋体" w:cs="宋体"/>
          <w:sz w:val="24"/>
        </w:rPr>
      </w:pPr>
    </w:p>
    <w:p w14:paraId="3D8753A7"/>
    <w:p w14:paraId="6CF66CD7"/>
    <w:p w14:paraId="6DCF82EC"/>
    <w:p w14:paraId="6EA20E6C"/>
    <w:p w14:paraId="1AC551C8"/>
    <w:p w14:paraId="0D245303"/>
    <w:p w14:paraId="46A58AEF"/>
    <w:p w14:paraId="04919653"/>
    <w:p w14:paraId="76812D67"/>
    <w:p w14:paraId="5B2905D1"/>
    <w:p w14:paraId="08802990"/>
    <w:p w14:paraId="39204942"/>
    <w:p w14:paraId="03B29066"/>
    <w:p w14:paraId="24FC7082"/>
    <w:p w14:paraId="097E1199"/>
    <w:p w14:paraId="2777092F"/>
    <w:p w14:paraId="33F25927"/>
    <w:p w14:paraId="16577873"/>
    <w:p w14:paraId="287C15AC">
      <w:bookmarkStart w:id="30" w:name="_Toc423021939"/>
      <w:bookmarkStart w:id="31" w:name="_Toc23439"/>
    </w:p>
    <w:p w14:paraId="0E552A26"/>
    <w:p w14:paraId="46F91B93"/>
    <w:p w14:paraId="18A874D5"/>
    <w:p w14:paraId="48D573C9"/>
    <w:p w14:paraId="2B2DE6D8"/>
    <w:p w14:paraId="5C924156"/>
    <w:p w14:paraId="6C627949"/>
    <w:p w14:paraId="3507E90D"/>
    <w:p w14:paraId="432A1EBF"/>
    <w:p w14:paraId="073B1DE2"/>
    <w:p w14:paraId="31CD35F7"/>
    <w:p w14:paraId="15693BBA"/>
    <w:p w14:paraId="2C7ED376"/>
    <w:p w14:paraId="3474BACB"/>
    <w:p w14:paraId="0CBD0F78"/>
    <w:p w14:paraId="7144CEA5">
      <w:pPr>
        <w:pStyle w:val="2"/>
        <w:jc w:val="center"/>
      </w:pPr>
      <w:bookmarkStart w:id="32" w:name="_Toc13206"/>
      <w:bookmarkStart w:id="33" w:name="_Toc12968"/>
      <w:r>
        <w:rPr>
          <w:rFonts w:hint="eastAsia"/>
        </w:rPr>
        <w:t>第二章 投标人须知</w:t>
      </w:r>
      <w:bookmarkEnd w:id="30"/>
      <w:bookmarkEnd w:id="31"/>
      <w:bookmarkEnd w:id="32"/>
      <w:bookmarkEnd w:id="33"/>
    </w:p>
    <w:p w14:paraId="3C1AD79D"/>
    <w:p w14:paraId="042A9179"/>
    <w:p w14:paraId="6ED0DF75"/>
    <w:p w14:paraId="372F8FAA"/>
    <w:p w14:paraId="1BB772E0"/>
    <w:p w14:paraId="35CE4B12"/>
    <w:p w14:paraId="61B4AA7A"/>
    <w:p w14:paraId="3514F27A"/>
    <w:p w14:paraId="52A33FE6"/>
    <w:p w14:paraId="1BC40061"/>
    <w:p w14:paraId="0CEB2CB2"/>
    <w:p w14:paraId="0E86BD72"/>
    <w:p w14:paraId="36567FA1"/>
    <w:p w14:paraId="77955EC4"/>
    <w:p w14:paraId="2E8D7CEA"/>
    <w:p w14:paraId="3763C1E5"/>
    <w:p w14:paraId="3C5E3C99"/>
    <w:p w14:paraId="28B07B4D"/>
    <w:p w14:paraId="7BF463E6">
      <w:pPr>
        <w:pStyle w:val="3"/>
        <w:jc w:val="center"/>
      </w:pPr>
      <w:bookmarkStart w:id="34" w:name="_Toc22617"/>
      <w:bookmarkStart w:id="35" w:name="_Toc3357"/>
      <w:bookmarkStart w:id="36" w:name="_Toc1395"/>
      <w:r>
        <w:rPr>
          <w:rFonts w:hint="eastAsia"/>
        </w:rPr>
        <w:t>投标人须知前附表</w:t>
      </w:r>
      <w:bookmarkEnd w:id="34"/>
      <w:bookmarkEnd w:id="35"/>
      <w:bookmarkEnd w:id="36"/>
    </w:p>
    <w:p w14:paraId="050124B5">
      <w:pPr>
        <w:spacing w:before="240" w:beforeLines="100" w:line="360" w:lineRule="auto"/>
        <w:ind w:right="-174" w:rightChars="-83" w:firstLine="480" w:firstLineChars="200"/>
        <w:rPr>
          <w:rFonts w:ascii="宋体" w:hAnsi="宋体" w:eastAsia="宋体" w:cs="宋体"/>
          <w:sz w:val="24"/>
        </w:rPr>
      </w:pPr>
      <w:r>
        <w:rPr>
          <w:rFonts w:hint="eastAsia" w:ascii="宋体" w:hAnsi="宋体" w:eastAsia="宋体" w:cs="宋体"/>
          <w:sz w:val="24"/>
        </w:rPr>
        <w:t>本表的条款项号是与本章《投标人须知》条款项号对应的，或增加的条款，是对本章的补充、修改和完善，如果有矛盾的话，应以本表为准。</w:t>
      </w:r>
    </w:p>
    <w:tbl>
      <w:tblPr>
        <w:tblStyle w:val="24"/>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1"/>
        <w:gridCol w:w="7879"/>
      </w:tblGrid>
      <w:tr w14:paraId="7E73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60" w:type="dxa"/>
            <w:gridSpan w:val="2"/>
            <w:shd w:val="clear" w:color="auto" w:fill="D7D7D7" w:themeFill="background1" w:themeFillShade="D8"/>
            <w:vAlign w:val="center"/>
          </w:tcPr>
          <w:p w14:paraId="1122280D">
            <w:pPr>
              <w:adjustRightInd w:val="0"/>
              <w:snapToGrid w:val="0"/>
              <w:spacing w:line="440" w:lineRule="exact"/>
              <w:jc w:val="center"/>
              <w:rPr>
                <w:rFonts w:ascii="宋体" w:hAnsi="宋体" w:eastAsia="宋体" w:cs="宋体"/>
                <w:b/>
                <w:bCs/>
                <w:sz w:val="24"/>
              </w:rPr>
            </w:pPr>
            <w:r>
              <w:rPr>
                <w:rFonts w:hint="eastAsia" w:ascii="宋体" w:hAnsi="宋体" w:eastAsia="宋体" w:cs="宋体"/>
                <w:b/>
                <w:bCs/>
                <w:sz w:val="24"/>
              </w:rPr>
              <w:t>条款项号</w:t>
            </w:r>
          </w:p>
        </w:tc>
        <w:tc>
          <w:tcPr>
            <w:tcW w:w="7879" w:type="dxa"/>
            <w:shd w:val="clear" w:color="auto" w:fill="D7D7D7" w:themeFill="background1" w:themeFillShade="D8"/>
            <w:vAlign w:val="center"/>
          </w:tcPr>
          <w:p w14:paraId="07406A78">
            <w:pPr>
              <w:adjustRightInd w:val="0"/>
              <w:snapToGrid w:val="0"/>
              <w:spacing w:line="440" w:lineRule="exact"/>
              <w:jc w:val="center"/>
              <w:rPr>
                <w:rFonts w:ascii="宋体" w:hAnsi="宋体" w:eastAsia="宋体" w:cs="宋体"/>
                <w:b/>
                <w:bCs/>
                <w:sz w:val="24"/>
              </w:rPr>
            </w:pPr>
            <w:r>
              <w:rPr>
                <w:rFonts w:hint="eastAsia" w:ascii="宋体" w:hAnsi="宋体" w:eastAsia="宋体" w:cs="宋体"/>
                <w:b/>
                <w:bCs/>
                <w:sz w:val="24"/>
              </w:rPr>
              <w:t>内     容</w:t>
            </w:r>
          </w:p>
        </w:tc>
      </w:tr>
      <w:tr w14:paraId="3A3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3"/>
            <w:vAlign w:val="center"/>
          </w:tcPr>
          <w:p w14:paraId="71C579C4">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（一）总则</w:t>
            </w:r>
          </w:p>
        </w:tc>
      </w:tr>
      <w:tr w14:paraId="40FC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9" w:type="dxa"/>
            <w:vAlign w:val="center"/>
          </w:tcPr>
          <w:p w14:paraId="32D64C6A">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1.1</w:t>
            </w:r>
          </w:p>
        </w:tc>
        <w:tc>
          <w:tcPr>
            <w:tcW w:w="7910" w:type="dxa"/>
            <w:gridSpan w:val="2"/>
            <w:vAlign w:val="center"/>
          </w:tcPr>
          <w:p w14:paraId="10EEE60C">
            <w:pPr>
              <w:adjustRightInd w:val="0"/>
              <w:snapToGrid w:val="0"/>
              <w:spacing w:line="440" w:lineRule="exact"/>
              <w:rPr>
                <w:rFonts w:ascii="宋体" w:hAnsi="宋体" w:eastAsia="宋体" w:cs="宋体"/>
                <w:sz w:val="24"/>
                <w:lang w:val="zh-CN"/>
              </w:rPr>
            </w:pPr>
            <w:r>
              <w:rPr>
                <w:rFonts w:hint="eastAsia" w:ascii="宋体" w:hAnsi="宋体" w:eastAsia="宋体" w:cs="宋体"/>
                <w:sz w:val="24"/>
                <w:lang w:val="zh-CN"/>
              </w:rPr>
              <w:t>资金性质：企业自筹</w:t>
            </w:r>
          </w:p>
        </w:tc>
      </w:tr>
      <w:tr w14:paraId="416D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9" w:type="dxa"/>
            <w:vAlign w:val="center"/>
          </w:tcPr>
          <w:p w14:paraId="1734BA89">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1.2</w:t>
            </w:r>
          </w:p>
        </w:tc>
        <w:tc>
          <w:tcPr>
            <w:tcW w:w="7910" w:type="dxa"/>
            <w:gridSpan w:val="2"/>
            <w:vAlign w:val="center"/>
          </w:tcPr>
          <w:p w14:paraId="5A261908">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招标人：广东省广裕集团英德工贸实业有限公司</w:t>
            </w:r>
          </w:p>
          <w:p w14:paraId="291A4DA2">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地址：</w:t>
            </w:r>
            <w:r>
              <w:rPr>
                <w:rFonts w:hint="eastAsia" w:ascii="宋体" w:hAnsi="宋体" w:cs="宋体"/>
                <w:sz w:val="24"/>
              </w:rPr>
              <w:t>广东省英德市金子山大道四号路1号</w:t>
            </w:r>
          </w:p>
          <w:p w14:paraId="32D9B851">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联系人：胡先生</w:t>
            </w:r>
          </w:p>
          <w:p w14:paraId="2A1D40F2">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联系电话：0763-3165091、0763-3165092</w:t>
            </w:r>
          </w:p>
          <w:p w14:paraId="0B116B09">
            <w:pPr>
              <w:adjustRightInd w:val="0"/>
              <w:snapToGrid w:val="0"/>
              <w:spacing w:line="440" w:lineRule="exact"/>
              <w:rPr>
                <w:rFonts w:ascii="宋体" w:hAnsi="宋体" w:eastAsia="宋体" w:cs="Times New Roman"/>
                <w:sz w:val="24"/>
              </w:rPr>
            </w:pPr>
          </w:p>
          <w:p w14:paraId="4DB381F8">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招标代理机构：广东有德招标采购有限公司</w:t>
            </w:r>
          </w:p>
          <w:p w14:paraId="48B8BDF9">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地址：广州市天河北路626号保利中宇广场A座25楼</w:t>
            </w:r>
          </w:p>
          <w:p w14:paraId="689E6AD8">
            <w:pPr>
              <w:adjustRightInd w:val="0"/>
              <w:snapToGrid w:val="0"/>
              <w:spacing w:line="440" w:lineRule="exact"/>
              <w:rPr>
                <w:rFonts w:ascii="宋体" w:hAnsi="宋体" w:eastAsia="宋体" w:cs="Times New Roman"/>
                <w:sz w:val="24"/>
              </w:rPr>
            </w:pPr>
            <w:r>
              <w:rPr>
                <w:rFonts w:hint="eastAsia" w:ascii="宋体" w:hAnsi="宋体" w:eastAsia="宋体" w:cs="Times New Roman"/>
                <w:sz w:val="24"/>
              </w:rPr>
              <w:t>联系人：周小姐</w:t>
            </w:r>
          </w:p>
          <w:p w14:paraId="3B47117C">
            <w:pPr>
              <w:adjustRightInd w:val="0"/>
              <w:snapToGrid w:val="0"/>
              <w:spacing w:line="440" w:lineRule="exact"/>
              <w:rPr>
                <w:rFonts w:ascii="宋体" w:hAnsi="宋体"/>
                <w:sz w:val="24"/>
                <w:lang w:val="zh-CN"/>
              </w:rPr>
            </w:pPr>
            <w:r>
              <w:rPr>
                <w:rFonts w:hint="eastAsia" w:ascii="宋体" w:hAnsi="宋体" w:eastAsia="宋体" w:cs="Times New Roman"/>
                <w:sz w:val="24"/>
              </w:rPr>
              <w:t>联系电话：020-83625527</w:t>
            </w:r>
          </w:p>
        </w:tc>
      </w:tr>
      <w:tr w14:paraId="6D00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39" w:type="dxa"/>
            <w:gridSpan w:val="3"/>
            <w:vAlign w:val="center"/>
          </w:tcPr>
          <w:p w14:paraId="1B6C5BFE">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（二）招标文件</w:t>
            </w:r>
          </w:p>
        </w:tc>
      </w:tr>
      <w:tr w14:paraId="366D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60" w:type="dxa"/>
            <w:gridSpan w:val="2"/>
            <w:vAlign w:val="center"/>
          </w:tcPr>
          <w:p w14:paraId="615C667A">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7.1</w:t>
            </w:r>
          </w:p>
        </w:tc>
        <w:tc>
          <w:tcPr>
            <w:tcW w:w="7879" w:type="dxa"/>
            <w:vAlign w:val="center"/>
          </w:tcPr>
          <w:p w14:paraId="15A412A9">
            <w:pPr>
              <w:adjustRightInd w:val="0"/>
              <w:snapToGrid w:val="0"/>
              <w:spacing w:line="440" w:lineRule="exact"/>
              <w:rPr>
                <w:rFonts w:ascii="宋体" w:hAnsi="宋体" w:eastAsia="宋体" w:cs="宋体"/>
                <w:sz w:val="24"/>
              </w:rPr>
            </w:pPr>
            <w:r>
              <w:rPr>
                <w:rFonts w:hint="eastAsia" w:ascii="宋体" w:hAnsi="宋体" w:eastAsia="宋体" w:cs="宋体"/>
                <w:sz w:val="24"/>
              </w:rPr>
              <w:t>答疑会或踏勘现场：本项目不集中举行答疑会或踏勘现场。</w:t>
            </w:r>
          </w:p>
        </w:tc>
      </w:tr>
      <w:tr w14:paraId="68A0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39" w:type="dxa"/>
            <w:gridSpan w:val="3"/>
            <w:vAlign w:val="center"/>
          </w:tcPr>
          <w:p w14:paraId="592933EE">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（三）投标文件的编制</w:t>
            </w:r>
          </w:p>
        </w:tc>
      </w:tr>
      <w:tr w14:paraId="05E3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gridSpan w:val="2"/>
            <w:vAlign w:val="center"/>
          </w:tcPr>
          <w:p w14:paraId="48CDEE3A">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11.1</w:t>
            </w:r>
          </w:p>
        </w:tc>
        <w:tc>
          <w:tcPr>
            <w:tcW w:w="7879" w:type="dxa"/>
            <w:vAlign w:val="center"/>
          </w:tcPr>
          <w:p w14:paraId="48175722">
            <w:pPr>
              <w:adjustRightInd w:val="0"/>
              <w:snapToGrid w:val="0"/>
              <w:spacing w:line="440" w:lineRule="exact"/>
              <w:rPr>
                <w:rFonts w:ascii="宋体" w:hAnsi="宋体" w:cs="宋体"/>
                <w:sz w:val="24"/>
              </w:rPr>
            </w:pPr>
            <w:r>
              <w:rPr>
                <w:rFonts w:hint="eastAsia" w:ascii="宋体" w:hAnsi="宋体" w:cs="宋体"/>
                <w:sz w:val="24"/>
              </w:rPr>
              <w:t>投标文件正本</w:t>
            </w:r>
            <w:r>
              <w:rPr>
                <w:rFonts w:hint="eastAsia" w:ascii="宋体" w:hAnsi="宋体" w:cs="宋体"/>
                <w:b/>
                <w:bCs/>
                <w:sz w:val="24"/>
                <w:u w:val="single"/>
              </w:rPr>
              <w:t xml:space="preserve"> 1</w:t>
            </w:r>
            <w:r>
              <w:rPr>
                <w:rFonts w:hint="eastAsia" w:ascii="宋体" w:hAnsi="宋体" w:cs="宋体"/>
                <w:sz w:val="24"/>
                <w:u w:val="single"/>
              </w:rPr>
              <w:t xml:space="preserve"> </w:t>
            </w:r>
            <w:r>
              <w:rPr>
                <w:rFonts w:hint="eastAsia" w:ascii="宋体" w:hAnsi="宋体" w:cs="宋体"/>
                <w:sz w:val="24"/>
              </w:rPr>
              <w:t>套，副本</w:t>
            </w:r>
            <w:r>
              <w:rPr>
                <w:rFonts w:hint="eastAsia" w:ascii="宋体" w:hAnsi="宋体" w:cs="宋体"/>
                <w:sz w:val="24"/>
                <w:u w:val="single"/>
              </w:rPr>
              <w:t xml:space="preserve"> </w:t>
            </w:r>
            <w:r>
              <w:rPr>
                <w:rFonts w:hint="eastAsia" w:ascii="宋体" w:hAnsi="宋体" w:cs="宋体"/>
                <w:b/>
                <w:bCs/>
                <w:sz w:val="24"/>
                <w:u w:val="single"/>
              </w:rPr>
              <w:t>5</w:t>
            </w:r>
            <w:r>
              <w:rPr>
                <w:rFonts w:hint="eastAsia" w:ascii="宋体" w:hAnsi="宋体" w:cs="宋体"/>
                <w:sz w:val="24"/>
                <w:u w:val="single"/>
              </w:rPr>
              <w:t xml:space="preserve"> </w:t>
            </w:r>
            <w:r>
              <w:rPr>
                <w:rFonts w:hint="eastAsia" w:ascii="宋体" w:hAnsi="宋体" w:cs="宋体"/>
                <w:sz w:val="24"/>
              </w:rPr>
              <w:t>套；</w:t>
            </w:r>
          </w:p>
          <w:p w14:paraId="74EAC059">
            <w:pPr>
              <w:adjustRightInd w:val="0"/>
              <w:snapToGrid w:val="0"/>
              <w:spacing w:line="440" w:lineRule="exact"/>
              <w:rPr>
                <w:rFonts w:ascii="宋体" w:hAnsi="宋体" w:cs="宋体"/>
                <w:sz w:val="24"/>
              </w:rPr>
            </w:pPr>
            <w:r>
              <w:rPr>
                <w:rFonts w:hint="eastAsia" w:ascii="宋体" w:hAnsi="宋体" w:cs="宋体"/>
                <w:sz w:val="24"/>
              </w:rPr>
              <w:t>唱标信封</w:t>
            </w:r>
            <w:r>
              <w:rPr>
                <w:rFonts w:hint="eastAsia" w:ascii="宋体" w:hAnsi="宋体" w:cs="宋体"/>
                <w:b/>
                <w:bCs/>
                <w:sz w:val="24"/>
                <w:u w:val="single"/>
              </w:rPr>
              <w:t>1</w:t>
            </w:r>
            <w:r>
              <w:rPr>
                <w:rFonts w:hint="eastAsia" w:ascii="宋体" w:hAnsi="宋体" w:cs="宋体"/>
                <w:sz w:val="24"/>
              </w:rPr>
              <w:t>份（</w:t>
            </w:r>
            <w:r>
              <w:rPr>
                <w:rFonts w:hint="eastAsia" w:ascii="宋体" w:hAnsi="宋体" w:cs="宋体"/>
                <w:sz w:val="24"/>
                <w:lang w:val="zh-CN"/>
              </w:rPr>
              <w:t>含签字盖章的</w:t>
            </w:r>
            <w:r>
              <w:rPr>
                <w:rFonts w:hint="eastAsia" w:ascii="宋体" w:hAnsi="宋体" w:cs="宋体"/>
                <w:bCs/>
                <w:sz w:val="24"/>
                <w:lang w:val="zh-CN"/>
              </w:rPr>
              <w:t>投标函</w:t>
            </w:r>
            <w:r>
              <w:rPr>
                <w:rFonts w:hint="eastAsia" w:ascii="宋体" w:hAnsi="宋体" w:cs="宋体"/>
                <w:bCs/>
                <w:sz w:val="24"/>
                <w:lang w:val="zh-CN" w:eastAsia="zh-TW"/>
              </w:rPr>
              <w:t>、</w:t>
            </w:r>
            <w:r>
              <w:rPr>
                <w:rFonts w:hint="eastAsia" w:ascii="宋体" w:hAnsi="宋体" w:cs="宋体"/>
                <w:bCs/>
                <w:sz w:val="24"/>
                <w:lang w:val="zh-CN"/>
              </w:rPr>
              <w:t>开标</w:t>
            </w:r>
            <w:r>
              <w:rPr>
                <w:rFonts w:hint="eastAsia" w:ascii="宋体" w:hAnsi="宋体" w:cs="宋体"/>
                <w:bCs/>
                <w:sz w:val="24"/>
                <w:lang w:val="zh-CN" w:eastAsia="zh-TW"/>
              </w:rPr>
              <w:t>一览表</w:t>
            </w:r>
            <w:r>
              <w:rPr>
                <w:rFonts w:hint="eastAsia" w:ascii="宋体" w:hAnsi="宋体" w:cs="宋体"/>
                <w:sz w:val="24"/>
              </w:rPr>
              <w:t>）；</w:t>
            </w:r>
          </w:p>
          <w:p w14:paraId="2C19C94B">
            <w:pPr>
              <w:adjustRightInd w:val="0"/>
              <w:snapToGrid w:val="0"/>
              <w:spacing w:line="440" w:lineRule="exact"/>
              <w:rPr>
                <w:rFonts w:ascii="宋体" w:hAnsi="宋体" w:cs="宋体"/>
                <w:sz w:val="24"/>
                <w:lang w:val="zh-CN"/>
              </w:rPr>
            </w:pPr>
            <w:r>
              <w:rPr>
                <w:rFonts w:hint="eastAsia" w:ascii="宋体" w:hAnsi="宋体" w:cs="宋体"/>
                <w:sz w:val="24"/>
              </w:rPr>
              <w:t>电子文件</w:t>
            </w:r>
            <w:r>
              <w:rPr>
                <w:rFonts w:hint="eastAsia" w:ascii="宋体" w:hAnsi="宋体" w:cs="宋体"/>
                <w:b/>
                <w:bCs/>
                <w:sz w:val="24"/>
                <w:u w:val="single"/>
              </w:rPr>
              <w:t>1</w:t>
            </w:r>
            <w:r>
              <w:rPr>
                <w:rFonts w:hint="eastAsia" w:ascii="宋体" w:hAnsi="宋体" w:cs="宋体"/>
                <w:sz w:val="24"/>
              </w:rPr>
              <w:t>份</w:t>
            </w:r>
            <w:r>
              <w:rPr>
                <w:rFonts w:hint="eastAsia" w:ascii="宋体" w:hAnsi="宋体" w:cs="宋体"/>
                <w:sz w:val="24"/>
                <w:lang w:val="zh-CN"/>
              </w:rPr>
              <w:t>（电子文件为U盘介质，</w:t>
            </w:r>
            <w:r>
              <w:rPr>
                <w:rFonts w:hint="eastAsia" w:ascii="宋体" w:hAnsi="宋体" w:cs="宋体"/>
                <w:bCs/>
                <w:sz w:val="24"/>
                <w:lang w:val="zh-CN"/>
              </w:rPr>
              <w:t>内含Word和PDF格式，Word内容应与</w:t>
            </w:r>
            <w:r>
              <w:rPr>
                <w:rFonts w:hint="eastAsia" w:ascii="宋体" w:hAnsi="宋体" w:cs="宋体"/>
                <w:bCs/>
                <w:sz w:val="24"/>
              </w:rPr>
              <w:t>投标</w:t>
            </w:r>
            <w:r>
              <w:rPr>
                <w:rFonts w:hint="eastAsia" w:ascii="宋体" w:hAnsi="宋体" w:cs="宋体"/>
                <w:bCs/>
                <w:sz w:val="24"/>
                <w:lang w:val="zh-CN"/>
              </w:rPr>
              <w:t>供应商打印产生的纸质投标文件内容一致，PDF内容必须是纸质投标文件正本扫描件（含盖章、签署）</w:t>
            </w:r>
            <w:r>
              <w:rPr>
                <w:rFonts w:hint="eastAsia" w:ascii="宋体" w:hAnsi="宋体" w:cs="宋体"/>
                <w:sz w:val="24"/>
                <w:lang w:val="zh-CN"/>
              </w:rPr>
              <w:t>，不留密码，无病毒，不压缩。）</w:t>
            </w:r>
            <w:r>
              <w:rPr>
                <w:rFonts w:hint="eastAsia" w:ascii="宋体" w:hAnsi="宋体" w:cs="宋体"/>
                <w:sz w:val="24"/>
              </w:rPr>
              <w:t>。</w:t>
            </w:r>
          </w:p>
        </w:tc>
      </w:tr>
      <w:tr w14:paraId="6A28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60" w:type="dxa"/>
            <w:gridSpan w:val="2"/>
            <w:vAlign w:val="center"/>
          </w:tcPr>
          <w:p w14:paraId="699E2343">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12.8</w:t>
            </w:r>
          </w:p>
        </w:tc>
        <w:tc>
          <w:tcPr>
            <w:tcW w:w="7879" w:type="dxa"/>
            <w:vAlign w:val="center"/>
          </w:tcPr>
          <w:p w14:paraId="69144DA9">
            <w:pPr>
              <w:adjustRightInd w:val="0"/>
              <w:snapToGrid w:val="0"/>
              <w:spacing w:line="440" w:lineRule="exact"/>
              <w:rPr>
                <w:rFonts w:ascii="宋体" w:hAnsi="宋体" w:eastAsia="宋体" w:cs="宋体"/>
                <w:sz w:val="24"/>
              </w:rPr>
            </w:pPr>
            <w:r>
              <w:rPr>
                <w:rFonts w:hint="eastAsia" w:ascii="宋体" w:hAnsi="宋体" w:eastAsia="宋体" w:cs="宋体"/>
                <w:sz w:val="24"/>
              </w:rPr>
              <w:t>本项目不接受备选方案。</w:t>
            </w:r>
          </w:p>
        </w:tc>
      </w:tr>
      <w:tr w14:paraId="04F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gridSpan w:val="2"/>
            <w:vAlign w:val="center"/>
          </w:tcPr>
          <w:p w14:paraId="4680BEBB">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12.9</w:t>
            </w:r>
          </w:p>
        </w:tc>
        <w:tc>
          <w:tcPr>
            <w:tcW w:w="7879" w:type="dxa"/>
            <w:vAlign w:val="center"/>
          </w:tcPr>
          <w:p w14:paraId="0C333421">
            <w:pPr>
              <w:adjustRightInd w:val="0"/>
              <w:snapToGrid w:val="0"/>
              <w:spacing w:line="440" w:lineRule="exact"/>
              <w:rPr>
                <w:rFonts w:ascii="宋体" w:hAnsi="宋体" w:eastAsia="宋体" w:cs="宋体"/>
                <w:sz w:val="24"/>
              </w:rPr>
            </w:pPr>
            <w:r>
              <w:rPr>
                <w:rFonts w:hint="eastAsia" w:ascii="宋体" w:hAnsi="宋体" w:eastAsia="宋体" w:cs="宋体"/>
                <w:sz w:val="24"/>
              </w:rPr>
              <w:t>本项目不接受具有附加条件的报价。</w:t>
            </w:r>
          </w:p>
        </w:tc>
      </w:tr>
      <w:tr w14:paraId="4FF8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gridSpan w:val="2"/>
            <w:vAlign w:val="center"/>
          </w:tcPr>
          <w:p w14:paraId="0BB8B67A">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13.1</w:t>
            </w:r>
          </w:p>
        </w:tc>
        <w:tc>
          <w:tcPr>
            <w:tcW w:w="7879" w:type="dxa"/>
            <w:vAlign w:val="center"/>
          </w:tcPr>
          <w:p w14:paraId="73C77D78">
            <w:pPr>
              <w:adjustRightInd w:val="0"/>
              <w:snapToGrid w:val="0"/>
              <w:spacing w:line="440" w:lineRule="exact"/>
              <w:rPr>
                <w:rFonts w:ascii="宋体" w:hAnsi="宋体" w:eastAsia="宋体" w:cs="宋体"/>
                <w:sz w:val="24"/>
              </w:rPr>
            </w:pPr>
            <w:r>
              <w:rPr>
                <w:rFonts w:hint="eastAsia" w:ascii="宋体" w:hAnsi="宋体" w:eastAsia="宋体" w:cs="宋体"/>
                <w:sz w:val="24"/>
              </w:rPr>
              <w:t>投标有效期：从</w:t>
            </w:r>
            <w:r>
              <w:rPr>
                <w:rFonts w:hint="eastAsia" w:asciiTheme="majorEastAsia" w:hAnsiTheme="majorEastAsia" w:eastAsiaTheme="majorEastAsia" w:cstheme="majorEastAsia"/>
                <w:sz w:val="24"/>
              </w:rPr>
              <w:t>递交</w:t>
            </w:r>
            <w:r>
              <w:rPr>
                <w:rFonts w:hint="eastAsia" w:ascii="宋体" w:hAnsi="宋体" w:eastAsia="宋体" w:cs="宋体"/>
                <w:sz w:val="24"/>
              </w:rPr>
              <w:t>投标文件截止日起计算90天</w:t>
            </w:r>
          </w:p>
        </w:tc>
      </w:tr>
      <w:tr w14:paraId="27C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39" w:type="dxa"/>
            <w:gridSpan w:val="3"/>
            <w:vAlign w:val="center"/>
          </w:tcPr>
          <w:p w14:paraId="4B928DC1">
            <w:pPr>
              <w:adjustRightInd w:val="0"/>
              <w:snapToGrid w:val="0"/>
              <w:spacing w:line="440" w:lineRule="exact"/>
              <w:jc w:val="center"/>
              <w:rPr>
                <w:rFonts w:ascii="宋体" w:hAnsi="宋体" w:eastAsia="宋体" w:cs="宋体"/>
                <w:sz w:val="24"/>
              </w:rPr>
            </w:pPr>
            <w:r>
              <w:rPr>
                <w:rFonts w:hint="eastAsia" w:ascii="宋体" w:hAnsi="宋体" w:eastAsia="宋体" w:cs="宋体"/>
                <w:b/>
                <w:sz w:val="24"/>
              </w:rPr>
              <w:t>（五）开标与评标</w:t>
            </w:r>
          </w:p>
        </w:tc>
      </w:tr>
      <w:tr w14:paraId="6D6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60" w:type="dxa"/>
            <w:gridSpan w:val="2"/>
            <w:vAlign w:val="center"/>
          </w:tcPr>
          <w:p w14:paraId="7DC746F4">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22.1</w:t>
            </w:r>
          </w:p>
        </w:tc>
        <w:tc>
          <w:tcPr>
            <w:tcW w:w="7879" w:type="dxa"/>
            <w:vAlign w:val="center"/>
          </w:tcPr>
          <w:p w14:paraId="58965065">
            <w:pPr>
              <w:adjustRightInd w:val="0"/>
              <w:snapToGrid w:val="0"/>
              <w:spacing w:line="440" w:lineRule="exact"/>
              <w:rPr>
                <w:rFonts w:ascii="宋体" w:hAnsi="宋体" w:eastAsia="宋体" w:cs="宋体"/>
                <w:sz w:val="24"/>
              </w:rPr>
            </w:pPr>
            <w:r>
              <w:rPr>
                <w:rFonts w:hint="eastAsia" w:ascii="宋体" w:hAnsi="宋体" w:eastAsia="宋体" w:cs="宋体"/>
                <w:bCs/>
                <w:sz w:val="24"/>
              </w:rPr>
              <w:t>评标委员会由</w:t>
            </w:r>
            <w:r>
              <w:rPr>
                <w:rFonts w:hint="eastAsia" w:ascii="宋体" w:hAnsi="宋体" w:eastAsia="宋体" w:cs="宋体"/>
                <w:b/>
                <w:sz w:val="24"/>
                <w:u w:val="single"/>
              </w:rPr>
              <w:t>5</w:t>
            </w:r>
            <w:r>
              <w:rPr>
                <w:rFonts w:hint="eastAsia" w:ascii="宋体" w:hAnsi="宋体" w:eastAsia="宋体" w:cs="宋体"/>
                <w:bCs/>
                <w:sz w:val="24"/>
              </w:rPr>
              <w:t>人单数组成。</w:t>
            </w:r>
          </w:p>
        </w:tc>
      </w:tr>
      <w:tr w14:paraId="497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60" w:type="dxa"/>
            <w:gridSpan w:val="2"/>
            <w:vAlign w:val="center"/>
          </w:tcPr>
          <w:p w14:paraId="67819E11">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22.2</w:t>
            </w:r>
          </w:p>
        </w:tc>
        <w:tc>
          <w:tcPr>
            <w:tcW w:w="7879" w:type="dxa"/>
            <w:vAlign w:val="center"/>
          </w:tcPr>
          <w:p w14:paraId="7DFB0E2A">
            <w:pPr>
              <w:adjustRightInd w:val="0"/>
              <w:snapToGrid w:val="0"/>
              <w:spacing w:line="440" w:lineRule="exact"/>
              <w:rPr>
                <w:rFonts w:ascii="宋体" w:hAnsi="宋体" w:eastAsia="宋体" w:cs="宋体"/>
                <w:bCs/>
                <w:sz w:val="24"/>
              </w:rPr>
            </w:pPr>
            <w:r>
              <w:rPr>
                <w:rFonts w:hint="eastAsia" w:ascii="宋体" w:hAnsi="宋体" w:eastAsia="宋体" w:cs="宋体"/>
                <w:bCs/>
                <w:sz w:val="24"/>
              </w:rPr>
              <w:t>评标方法：经评审的最低投标价法</w:t>
            </w:r>
          </w:p>
        </w:tc>
      </w:tr>
      <w:tr w14:paraId="34B6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gridSpan w:val="2"/>
            <w:vAlign w:val="center"/>
          </w:tcPr>
          <w:p w14:paraId="6D2C4E65">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23.2</w:t>
            </w:r>
          </w:p>
        </w:tc>
        <w:tc>
          <w:tcPr>
            <w:tcW w:w="7879" w:type="dxa"/>
            <w:vAlign w:val="center"/>
          </w:tcPr>
          <w:p w14:paraId="1EA4CC34">
            <w:pPr>
              <w:adjustRightInd w:val="0"/>
              <w:snapToGrid w:val="0"/>
              <w:spacing w:line="440" w:lineRule="exact"/>
              <w:rPr>
                <w:rFonts w:ascii="宋体" w:hAnsi="宋体" w:eastAsia="宋体" w:cs="宋体"/>
                <w:bCs/>
                <w:sz w:val="24"/>
              </w:rPr>
            </w:pPr>
            <w:r>
              <w:rPr>
                <w:rFonts w:hint="eastAsia" w:ascii="宋体" w:hAnsi="宋体" w:eastAsia="宋体" w:cs="宋体"/>
                <w:bCs/>
                <w:sz w:val="24"/>
              </w:rPr>
              <w:t>定标原则：能够满足招标文件的实质性要求的供应商中，按评审价由低到高的顺序推荐3名中标候选人。</w:t>
            </w:r>
          </w:p>
        </w:tc>
      </w:tr>
      <w:tr w14:paraId="1B11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39" w:type="dxa"/>
            <w:gridSpan w:val="3"/>
            <w:vAlign w:val="center"/>
          </w:tcPr>
          <w:p w14:paraId="583F889D">
            <w:pPr>
              <w:adjustRightInd w:val="0"/>
              <w:snapToGrid w:val="0"/>
              <w:spacing w:line="440" w:lineRule="exact"/>
              <w:jc w:val="center"/>
              <w:rPr>
                <w:rFonts w:ascii="宋体" w:hAnsi="宋体" w:eastAsia="宋体" w:cs="宋体"/>
                <w:sz w:val="24"/>
              </w:rPr>
            </w:pPr>
            <w:r>
              <w:rPr>
                <w:rFonts w:hint="eastAsia" w:ascii="宋体" w:hAnsi="宋体" w:eastAsia="宋体" w:cs="宋体"/>
                <w:b/>
                <w:sz w:val="24"/>
              </w:rPr>
              <w:t>（七）授予合同</w:t>
            </w:r>
          </w:p>
        </w:tc>
      </w:tr>
      <w:tr w14:paraId="104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29" w:type="dxa"/>
            <w:vAlign w:val="center"/>
          </w:tcPr>
          <w:p w14:paraId="38132EBF">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29.1</w:t>
            </w:r>
          </w:p>
        </w:tc>
        <w:tc>
          <w:tcPr>
            <w:tcW w:w="7910" w:type="dxa"/>
            <w:gridSpan w:val="2"/>
            <w:vAlign w:val="center"/>
          </w:tcPr>
          <w:p w14:paraId="6F943F29">
            <w:pPr>
              <w:adjustRightInd w:val="0"/>
              <w:snapToGrid w:val="0"/>
              <w:spacing w:line="440" w:lineRule="exact"/>
              <w:rPr>
                <w:rFonts w:ascii="宋体" w:hAnsi="宋体" w:eastAsia="宋体" w:cs="宋体"/>
                <w:sz w:val="24"/>
              </w:rPr>
            </w:pPr>
            <w:r>
              <w:rPr>
                <w:rFonts w:hint="eastAsia" w:ascii="宋体" w:hAnsi="宋体" w:eastAsia="宋体" w:cs="宋体"/>
                <w:sz w:val="24"/>
              </w:rPr>
              <w:t>履约保证金：按用户需求书要求。</w:t>
            </w:r>
          </w:p>
        </w:tc>
      </w:tr>
      <w:tr w14:paraId="612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9" w:type="dxa"/>
            <w:vAlign w:val="center"/>
          </w:tcPr>
          <w:p w14:paraId="547845C3">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30.1</w:t>
            </w:r>
          </w:p>
        </w:tc>
        <w:tc>
          <w:tcPr>
            <w:tcW w:w="7910" w:type="dxa"/>
            <w:gridSpan w:val="2"/>
            <w:vAlign w:val="center"/>
          </w:tcPr>
          <w:p w14:paraId="2E865DCC">
            <w:pPr>
              <w:numPr>
                <w:ilvl w:val="0"/>
                <w:numId w:val="6"/>
              </w:numPr>
              <w:tabs>
                <w:tab w:val="left" w:pos="420"/>
              </w:tabs>
              <w:adjustRightInd w:val="0"/>
              <w:snapToGrid w:val="0"/>
              <w:spacing w:line="440" w:lineRule="exact"/>
              <w:rPr>
                <w:rFonts w:ascii="宋体" w:hAnsi="宋体" w:eastAsia="宋体" w:cs="宋体"/>
                <w:sz w:val="24"/>
              </w:rPr>
            </w:pPr>
            <w:r>
              <w:rPr>
                <w:rFonts w:hint="eastAsia" w:ascii="宋体" w:hAnsi="宋体" w:eastAsia="宋体" w:cs="宋体"/>
                <w:sz w:val="24"/>
              </w:rPr>
              <w:t>本项目由中标人按以下规定须向招标代理机构缴纳招标代理服务费：</w:t>
            </w:r>
          </w:p>
          <w:p w14:paraId="53FAA91C">
            <w:pPr>
              <w:numPr>
                <w:ilvl w:val="0"/>
                <w:numId w:val="7"/>
              </w:numPr>
              <w:tabs>
                <w:tab w:val="left" w:pos="709"/>
              </w:tabs>
              <w:wordWrap w:val="0"/>
              <w:adjustRightInd w:val="0"/>
              <w:snapToGrid w:val="0"/>
              <w:spacing w:line="440" w:lineRule="exact"/>
              <w:rPr>
                <w:rFonts w:ascii="宋体" w:hAnsi="宋体" w:eastAsia="宋体" w:cs="宋体"/>
                <w:sz w:val="24"/>
              </w:rPr>
            </w:pPr>
            <w:r>
              <w:rPr>
                <w:rFonts w:hint="eastAsia" w:ascii="宋体" w:hAnsi="宋体" w:eastAsia="宋体" w:cs="宋体"/>
                <w:sz w:val="24"/>
              </w:rPr>
              <w:t>招标代理服务费以本项目的预算金额作为计算基数，按“30.2”规定的“货物类”收费标准差额累进计算。</w:t>
            </w:r>
            <w:r>
              <w:rPr>
                <w:rFonts w:ascii="宋体" w:hAnsi="宋体" w:eastAsia="宋体" w:cs="宋体"/>
                <w:sz w:val="24"/>
              </w:rPr>
              <w:t xml:space="preserve"> </w:t>
            </w:r>
          </w:p>
          <w:p w14:paraId="3E36B8AC">
            <w:pPr>
              <w:numPr>
                <w:ilvl w:val="0"/>
                <w:numId w:val="7"/>
              </w:numPr>
              <w:adjustRightInd w:val="0"/>
              <w:snapToGrid w:val="0"/>
              <w:spacing w:line="440" w:lineRule="exact"/>
              <w:ind w:left="680" w:hanging="680"/>
              <w:rPr>
                <w:rFonts w:ascii="宋体" w:hAnsi="宋体" w:eastAsia="宋体" w:cs="宋体"/>
                <w:sz w:val="24"/>
              </w:rPr>
            </w:pPr>
            <w:r>
              <w:rPr>
                <w:rFonts w:hint="eastAsia" w:ascii="宋体" w:hAnsi="宋体" w:eastAsia="宋体" w:cs="宋体"/>
                <w:sz w:val="24"/>
              </w:rPr>
              <w:t>招标代理服务费的交纳形式：采用现金或转账付款方式。</w:t>
            </w:r>
          </w:p>
          <w:p w14:paraId="2A98DD55">
            <w:pPr>
              <w:numPr>
                <w:ilvl w:val="0"/>
                <w:numId w:val="7"/>
              </w:numPr>
              <w:adjustRightInd w:val="0"/>
              <w:snapToGrid w:val="0"/>
              <w:spacing w:line="440" w:lineRule="exact"/>
              <w:ind w:left="680" w:hanging="680"/>
              <w:rPr>
                <w:rFonts w:ascii="宋体" w:hAnsi="宋体" w:eastAsia="宋体" w:cs="宋体"/>
                <w:sz w:val="24"/>
              </w:rPr>
            </w:pPr>
            <w:r>
              <w:rPr>
                <w:rFonts w:hint="eastAsia" w:ascii="宋体" w:hAnsi="宋体" w:eastAsia="宋体" w:cs="宋体"/>
                <w:sz w:val="24"/>
              </w:rPr>
              <w:t>招标代理服务费付至：</w:t>
            </w:r>
          </w:p>
          <w:p w14:paraId="669DDCD0">
            <w:pPr>
              <w:adjustRightInd w:val="0"/>
              <w:snapToGrid w:val="0"/>
              <w:spacing w:line="440" w:lineRule="exact"/>
              <w:ind w:firstLine="698" w:firstLineChars="291"/>
              <w:rPr>
                <w:rFonts w:ascii="宋体" w:hAnsi="宋体" w:eastAsia="宋体" w:cs="宋体"/>
                <w:sz w:val="24"/>
              </w:rPr>
            </w:pPr>
            <w:r>
              <w:rPr>
                <w:rFonts w:hint="eastAsia" w:ascii="宋体" w:hAnsi="宋体" w:eastAsia="宋体" w:cs="宋体"/>
                <w:sz w:val="24"/>
              </w:rPr>
              <w:t>收款人名称：广东有德招标采购有限公司</w:t>
            </w:r>
          </w:p>
          <w:p w14:paraId="7761C2D5">
            <w:pPr>
              <w:adjustRightInd w:val="0"/>
              <w:snapToGrid w:val="0"/>
              <w:spacing w:line="440" w:lineRule="exact"/>
              <w:ind w:firstLine="698" w:firstLineChars="291"/>
              <w:rPr>
                <w:rFonts w:ascii="宋体" w:hAnsi="宋体" w:eastAsia="宋体" w:cs="宋体"/>
                <w:sz w:val="24"/>
              </w:rPr>
            </w:pPr>
            <w:r>
              <w:rPr>
                <w:rFonts w:hint="eastAsia" w:ascii="宋体" w:hAnsi="宋体" w:eastAsia="宋体" w:cs="宋体"/>
                <w:sz w:val="24"/>
              </w:rPr>
              <w:t>开户银行：中国光大银行广州分行</w:t>
            </w:r>
          </w:p>
          <w:p w14:paraId="798CD74F">
            <w:pPr>
              <w:adjustRightInd w:val="0"/>
              <w:snapToGrid w:val="0"/>
              <w:spacing w:line="440" w:lineRule="exact"/>
              <w:ind w:firstLine="698" w:firstLineChars="291"/>
              <w:rPr>
                <w:rFonts w:ascii="宋体" w:hAnsi="宋体" w:eastAsia="宋体" w:cs="宋体"/>
                <w:sz w:val="24"/>
              </w:rPr>
            </w:pPr>
            <w:r>
              <w:rPr>
                <w:rFonts w:hint="eastAsia" w:ascii="宋体" w:hAnsi="宋体" w:eastAsia="宋体" w:cs="宋体"/>
                <w:sz w:val="24"/>
              </w:rPr>
              <w:t>账    号：38610188000123567</w:t>
            </w:r>
          </w:p>
          <w:p w14:paraId="1E1FE8FE">
            <w:pPr>
              <w:numPr>
                <w:ilvl w:val="0"/>
                <w:numId w:val="8"/>
              </w:numPr>
              <w:adjustRightInd w:val="0"/>
              <w:snapToGrid w:val="0"/>
              <w:spacing w:line="440" w:lineRule="exact"/>
              <w:rPr>
                <w:rFonts w:ascii="宋体" w:hAnsi="宋体" w:eastAsia="宋体" w:cs="宋体"/>
                <w:sz w:val="24"/>
              </w:rPr>
            </w:pPr>
            <w:r>
              <w:rPr>
                <w:rFonts w:hint="eastAsia" w:ascii="宋体" w:hAnsi="宋体" w:eastAsia="宋体" w:cs="宋体"/>
                <w:sz w:val="24"/>
              </w:rPr>
              <w:t>中标人向招标代理机构交纳招标代理服务费后，凭授权委托书和领取人身份证复印件并加盖公司公章领取《中标通知书》。如采用电汇或银行转账的，须同时递交招标代理服务费缴费凭证复印件并加盖公章。</w:t>
            </w:r>
          </w:p>
        </w:tc>
      </w:tr>
      <w:tr w14:paraId="418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3"/>
            <w:vAlign w:val="center"/>
          </w:tcPr>
          <w:p w14:paraId="0937D653">
            <w:pPr>
              <w:adjustRightInd w:val="0"/>
              <w:snapToGrid w:val="0"/>
              <w:spacing w:line="440" w:lineRule="exact"/>
              <w:jc w:val="center"/>
              <w:rPr>
                <w:rFonts w:ascii="宋体" w:hAnsi="宋体" w:eastAsia="宋体" w:cs="宋体"/>
                <w:b/>
                <w:bCs/>
                <w:sz w:val="24"/>
              </w:rPr>
            </w:pPr>
            <w:r>
              <w:rPr>
                <w:rFonts w:hint="eastAsia" w:ascii="宋体" w:hAnsi="宋体" w:eastAsia="宋体" w:cs="宋体"/>
                <w:b/>
                <w:bCs/>
                <w:sz w:val="24"/>
              </w:rPr>
              <w:t>补充条款</w:t>
            </w:r>
          </w:p>
        </w:tc>
      </w:tr>
      <w:tr w14:paraId="30B3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360" w:type="dxa"/>
            <w:gridSpan w:val="2"/>
            <w:vAlign w:val="center"/>
          </w:tcPr>
          <w:p w14:paraId="7E4C8161">
            <w:pPr>
              <w:adjustRightInd w:val="0"/>
              <w:snapToGrid w:val="0"/>
              <w:spacing w:line="440" w:lineRule="exact"/>
              <w:jc w:val="center"/>
              <w:rPr>
                <w:rFonts w:ascii="宋体" w:hAnsi="宋体" w:eastAsia="宋体" w:cs="宋体"/>
                <w:sz w:val="24"/>
                <w:highlight w:val="none"/>
              </w:rPr>
            </w:pPr>
            <w:r>
              <w:rPr>
                <w:rFonts w:hint="eastAsia" w:ascii="宋体" w:hAnsi="宋体" w:eastAsia="宋体" w:cs="宋体"/>
                <w:bCs/>
                <w:sz w:val="24"/>
                <w:highlight w:val="none"/>
              </w:rPr>
              <w:t>信息发布媒体</w:t>
            </w:r>
          </w:p>
        </w:tc>
        <w:tc>
          <w:tcPr>
            <w:tcW w:w="7879" w:type="dxa"/>
            <w:vAlign w:val="center"/>
          </w:tcPr>
          <w:p w14:paraId="5E2681FD">
            <w:pPr>
              <w:tabs>
                <w:tab w:val="left" w:pos="249"/>
              </w:tabs>
              <w:adjustRightInd w:val="0"/>
              <w:snapToGrid w:val="0"/>
              <w:spacing w:line="440" w:lineRule="exact"/>
              <w:rPr>
                <w:rFonts w:ascii="宋体" w:hAnsi="宋体" w:cs="宋体"/>
                <w:sz w:val="24"/>
                <w:highlight w:val="none"/>
              </w:rPr>
            </w:pPr>
            <w:r>
              <w:rPr>
                <w:rFonts w:hint="eastAsia" w:ascii="宋体" w:hAnsi="宋体" w:cs="宋体"/>
                <w:bCs/>
                <w:sz w:val="24"/>
                <w:highlight w:val="none"/>
              </w:rPr>
              <w:t>中国招标投标公共服务平台（http://www.cebpubservice.com/）</w:t>
            </w:r>
          </w:p>
          <w:p w14:paraId="777B7881">
            <w:pPr>
              <w:adjustRightInd w:val="0"/>
              <w:snapToGrid w:val="0"/>
              <w:spacing w:line="440" w:lineRule="exact"/>
              <w:rPr>
                <w:highlight w:val="none"/>
              </w:rPr>
            </w:pPr>
            <w:r>
              <w:rPr>
                <w:rFonts w:hint="eastAsia" w:ascii="宋体" w:hAnsi="宋体" w:eastAsia="宋体" w:cs="宋体"/>
                <w:bCs/>
                <w:sz w:val="24"/>
                <w:highlight w:val="none"/>
              </w:rPr>
              <w:t>广东有德招标采购有限公司网站（www.youde.net）</w:t>
            </w:r>
          </w:p>
          <w:p w14:paraId="5179FE3A">
            <w:pPr>
              <w:adjustRightInd w:val="0"/>
              <w:snapToGrid w:val="0"/>
              <w:spacing w:line="440" w:lineRule="exact"/>
              <w:rPr>
                <w:rFonts w:ascii="宋体" w:hAnsi="宋体" w:eastAsia="宋体" w:cs="宋体"/>
                <w:bCs/>
                <w:sz w:val="24"/>
                <w:highlight w:val="none"/>
              </w:rPr>
            </w:pPr>
            <w:r>
              <w:rPr>
                <w:rFonts w:hint="eastAsia" w:ascii="宋体" w:hAnsi="宋体" w:eastAsia="宋体" w:cs="宋体"/>
                <w:bCs/>
                <w:sz w:val="24"/>
                <w:highlight w:val="none"/>
              </w:rPr>
              <w:t>广东省英德监狱门户网站（http://ydjy.gd.gov.cn/）</w:t>
            </w:r>
          </w:p>
          <w:p w14:paraId="14DE8AF4">
            <w:pPr>
              <w:adjustRightInd w:val="0"/>
              <w:snapToGrid w:val="0"/>
              <w:spacing w:line="440" w:lineRule="exact"/>
              <w:rPr>
                <w:highlight w:val="none"/>
              </w:rPr>
            </w:pPr>
            <w:r>
              <w:rPr>
                <w:rFonts w:hint="eastAsia" w:ascii="宋体" w:hAnsi="宋体" w:eastAsia="宋体" w:cs="宋体"/>
                <w:bCs/>
                <w:sz w:val="24"/>
                <w:highlight w:val="none"/>
              </w:rPr>
              <w:t>广东省英德监狱内网信息平台</w:t>
            </w:r>
            <w:bookmarkStart w:id="373" w:name="_GoBack"/>
            <w:bookmarkEnd w:id="373"/>
          </w:p>
        </w:tc>
      </w:tr>
    </w:tbl>
    <w:p w14:paraId="01E18313"/>
    <w:p w14:paraId="54EC3E94"/>
    <w:p w14:paraId="1E366771"/>
    <w:p w14:paraId="0A57BAB4"/>
    <w:p w14:paraId="2359A4E2"/>
    <w:p w14:paraId="7A06FE42"/>
    <w:p w14:paraId="4B968B28"/>
    <w:p w14:paraId="31F2C688">
      <w:pPr>
        <w:sectPr>
          <w:pgSz w:w="11905" w:h="16838"/>
          <w:pgMar w:top="1440" w:right="1440" w:bottom="1440" w:left="1440" w:header="850" w:footer="822" w:gutter="0"/>
          <w:cols w:space="0" w:num="1"/>
          <w:docGrid w:linePitch="312" w:charSpace="0"/>
        </w:sectPr>
      </w:pPr>
    </w:p>
    <w:p w14:paraId="0EEDB9F6">
      <w:pPr>
        <w:pStyle w:val="3"/>
        <w:numPr>
          <w:ilvl w:val="0"/>
          <w:numId w:val="9"/>
        </w:numPr>
        <w:jc w:val="center"/>
      </w:pPr>
      <w:bookmarkStart w:id="37" w:name="_Toc12612"/>
      <w:bookmarkStart w:id="38" w:name="_Toc19435"/>
      <w:bookmarkStart w:id="39" w:name="_Toc7064"/>
      <w:bookmarkStart w:id="40" w:name="_Toc423021940"/>
      <w:r>
        <w:t>总则</w:t>
      </w:r>
      <w:bookmarkEnd w:id="37"/>
      <w:bookmarkEnd w:id="38"/>
      <w:bookmarkEnd w:id="39"/>
      <w:bookmarkEnd w:id="40"/>
    </w:p>
    <w:p w14:paraId="492F32D7">
      <w:pPr>
        <w:pStyle w:val="4"/>
        <w:numPr>
          <w:ilvl w:val="0"/>
          <w:numId w:val="10"/>
        </w:numPr>
        <w:ind w:hanging="5"/>
        <w:rPr>
          <w:sz w:val="28"/>
          <w:szCs w:val="28"/>
          <w:lang w:val="zh-CN"/>
        </w:rPr>
      </w:pPr>
      <w:bookmarkStart w:id="41" w:name="_Toc13429"/>
      <w:bookmarkStart w:id="42" w:name="_Toc6158"/>
      <w:bookmarkStart w:id="43" w:name="_Toc20524"/>
      <w:r>
        <w:rPr>
          <w:rFonts w:hint="eastAsia"/>
          <w:sz w:val="28"/>
          <w:szCs w:val="28"/>
          <w:lang w:val="zh-CN"/>
        </w:rPr>
        <w:t>招标项目与采购当事人</w:t>
      </w:r>
      <w:bookmarkEnd w:id="41"/>
      <w:bookmarkEnd w:id="42"/>
      <w:bookmarkEnd w:id="43"/>
    </w:p>
    <w:p w14:paraId="1A2709F8">
      <w:pPr>
        <w:numPr>
          <w:ilvl w:val="1"/>
          <w:numId w:val="11"/>
        </w:numPr>
        <w:tabs>
          <w:tab w:val="left" w:pos="1020"/>
          <w:tab w:val="left" w:pos="1260"/>
          <w:tab w:val="clear" w:pos="907"/>
        </w:tabs>
        <w:spacing w:line="360" w:lineRule="auto"/>
        <w:ind w:left="1007" w:hanging="587"/>
        <w:rPr>
          <w:rFonts w:ascii="宋体" w:hAnsi="宋体" w:eastAsia="宋体" w:cs="宋体"/>
          <w:sz w:val="24"/>
          <w:lang w:val="zh-CN"/>
        </w:rPr>
      </w:pPr>
      <w:r>
        <w:rPr>
          <w:rFonts w:hint="eastAsia" w:ascii="宋体" w:hAnsi="宋体" w:eastAsia="宋体" w:cs="宋体"/>
          <w:sz w:val="24"/>
          <w:lang w:val="zh-CN"/>
        </w:rPr>
        <w:t>本招标文件</w:t>
      </w:r>
      <w:r>
        <w:rPr>
          <w:rFonts w:hint="eastAsia" w:ascii="黑体" w:hAnsi="黑体" w:eastAsia="黑体" w:cs="黑体"/>
          <w:b/>
          <w:bCs/>
          <w:sz w:val="24"/>
          <w:lang w:val="zh-CN"/>
        </w:rPr>
        <w:t>投标人须知前附表</w:t>
      </w:r>
      <w:r>
        <w:rPr>
          <w:rFonts w:hint="eastAsia" w:ascii="宋体" w:hAnsi="宋体" w:eastAsia="宋体" w:cs="宋体"/>
          <w:sz w:val="24"/>
          <w:lang w:val="zh-CN"/>
        </w:rPr>
        <w:t>中所述的招标人已经获得足以支付本次采购后所签订的合同项下的款项。</w:t>
      </w:r>
    </w:p>
    <w:p w14:paraId="4C6D0FCE">
      <w:pPr>
        <w:numPr>
          <w:ilvl w:val="1"/>
          <w:numId w:val="11"/>
        </w:numPr>
        <w:tabs>
          <w:tab w:val="left" w:pos="1020"/>
          <w:tab w:val="left" w:pos="1260"/>
          <w:tab w:val="clear" w:pos="907"/>
        </w:tabs>
        <w:spacing w:line="360" w:lineRule="auto"/>
        <w:ind w:left="1007" w:hanging="587"/>
        <w:rPr>
          <w:rFonts w:ascii="宋体" w:hAnsi="宋体" w:eastAsia="宋体" w:cs="宋体"/>
          <w:sz w:val="24"/>
          <w:lang w:val="zh-CN"/>
        </w:rPr>
      </w:pPr>
      <w:r>
        <w:rPr>
          <w:rFonts w:hint="eastAsia" w:ascii="宋体" w:hAnsi="宋体" w:eastAsia="宋体" w:cs="宋体"/>
          <w:sz w:val="24"/>
          <w:lang w:val="zh-CN"/>
        </w:rPr>
        <w:t>本次招标的招标人和招标代理机构（以下简称招标代理机构）的名称、地址、联系人、电话见</w:t>
      </w:r>
      <w:r>
        <w:rPr>
          <w:rFonts w:hint="eastAsia" w:ascii="黑体" w:hAnsi="黑体" w:eastAsia="黑体" w:cs="黑体"/>
          <w:b/>
          <w:bCs/>
          <w:sz w:val="24"/>
          <w:lang w:val="zh-CN"/>
        </w:rPr>
        <w:t>投标人须知前附表</w:t>
      </w:r>
      <w:r>
        <w:rPr>
          <w:rFonts w:hint="eastAsia" w:ascii="宋体" w:hAnsi="宋体" w:eastAsia="宋体" w:cs="宋体"/>
          <w:sz w:val="24"/>
          <w:lang w:val="zh-CN"/>
        </w:rPr>
        <w:t>。</w:t>
      </w:r>
    </w:p>
    <w:p w14:paraId="43489168">
      <w:pPr>
        <w:pStyle w:val="4"/>
        <w:numPr>
          <w:ilvl w:val="0"/>
          <w:numId w:val="10"/>
        </w:numPr>
        <w:ind w:hanging="5"/>
        <w:rPr>
          <w:sz w:val="28"/>
          <w:szCs w:val="28"/>
          <w:lang w:val="zh-CN"/>
        </w:rPr>
      </w:pPr>
      <w:bookmarkStart w:id="44" w:name="_Toc16346"/>
      <w:bookmarkStart w:id="45" w:name="_Toc31137"/>
      <w:bookmarkStart w:id="46" w:name="_Toc21444"/>
      <w:r>
        <w:rPr>
          <w:rFonts w:hint="eastAsia"/>
          <w:sz w:val="28"/>
          <w:szCs w:val="28"/>
          <w:lang w:val="zh-CN"/>
        </w:rPr>
        <w:t>合格的投标人</w:t>
      </w:r>
      <w:bookmarkEnd w:id="44"/>
      <w:bookmarkEnd w:id="45"/>
      <w:bookmarkEnd w:id="46"/>
    </w:p>
    <w:p w14:paraId="64BAFA8D">
      <w:pPr>
        <w:numPr>
          <w:ilvl w:val="1"/>
          <w:numId w:val="12"/>
        </w:numPr>
        <w:tabs>
          <w:tab w:val="left" w:pos="1040"/>
          <w:tab w:val="left" w:pos="1260"/>
          <w:tab w:val="clear" w:pos="907"/>
        </w:tabs>
        <w:spacing w:line="360" w:lineRule="auto"/>
        <w:ind w:left="1007" w:hanging="587"/>
        <w:rPr>
          <w:rFonts w:ascii="宋体" w:hAnsi="宋体" w:cs="宋体"/>
          <w:sz w:val="24"/>
          <w:lang w:val="zh-CN"/>
        </w:rPr>
      </w:pPr>
      <w:r>
        <w:rPr>
          <w:rFonts w:hint="eastAsia" w:ascii="宋体" w:hAnsi="宋体"/>
          <w:sz w:val="24"/>
          <w:lang w:val="zh-CN"/>
        </w:rPr>
        <w:t>详见第一章《投标邀请函》“供应商资格”</w:t>
      </w:r>
      <w:r>
        <w:rPr>
          <w:rFonts w:hint="eastAsia" w:ascii="宋体" w:hAnsi="宋体" w:cs="宋体"/>
          <w:sz w:val="24"/>
          <w:lang w:val="zh-CN"/>
        </w:rPr>
        <w:t>。</w:t>
      </w:r>
    </w:p>
    <w:p w14:paraId="4740C1E9">
      <w:pPr>
        <w:pStyle w:val="4"/>
        <w:numPr>
          <w:ilvl w:val="0"/>
          <w:numId w:val="10"/>
        </w:numPr>
        <w:ind w:hanging="5"/>
        <w:rPr>
          <w:sz w:val="28"/>
          <w:szCs w:val="28"/>
          <w:lang w:val="zh-CN"/>
        </w:rPr>
      </w:pPr>
      <w:bookmarkStart w:id="47" w:name="_Toc9224"/>
      <w:bookmarkStart w:id="48" w:name="_Toc12587"/>
      <w:bookmarkStart w:id="49" w:name="_Toc17172"/>
      <w:r>
        <w:rPr>
          <w:rFonts w:hint="eastAsia"/>
          <w:sz w:val="28"/>
          <w:szCs w:val="28"/>
          <w:lang w:val="zh-CN"/>
        </w:rPr>
        <w:t>合格的货物和服务</w:t>
      </w:r>
      <w:bookmarkEnd w:id="47"/>
      <w:bookmarkEnd w:id="48"/>
      <w:bookmarkEnd w:id="49"/>
    </w:p>
    <w:p w14:paraId="035C8DB3">
      <w:pPr>
        <w:numPr>
          <w:ilvl w:val="1"/>
          <w:numId w:val="13"/>
        </w:numPr>
        <w:tabs>
          <w:tab w:val="left" w:pos="1040"/>
          <w:tab w:val="left" w:pos="1260"/>
          <w:tab w:val="clear" w:pos="907"/>
        </w:tabs>
        <w:spacing w:line="360" w:lineRule="auto"/>
        <w:ind w:left="1027" w:hanging="607"/>
        <w:rPr>
          <w:rFonts w:ascii="宋体" w:hAnsi="宋体" w:cs="宋体"/>
          <w:sz w:val="24"/>
          <w:lang w:val="zh-CN"/>
        </w:rPr>
      </w:pPr>
      <w:bookmarkStart w:id="50" w:name="_Toc11417"/>
      <w:r>
        <w:rPr>
          <w:rFonts w:hint="eastAsia" w:ascii="宋体" w:hAnsi="宋体" w:cs="宋体"/>
          <w:sz w:val="24"/>
          <w:lang w:val="zh-CN"/>
        </w:rPr>
        <w:t>合格的货物是指投标人生产或销售的，符合国家有关标准要求的产品，并满足招标文件规定的规格、参数、质量、价格、有效期、售后服务等要求。</w:t>
      </w:r>
    </w:p>
    <w:p w14:paraId="7A273EDC">
      <w:pPr>
        <w:numPr>
          <w:ilvl w:val="1"/>
          <w:numId w:val="13"/>
        </w:numPr>
        <w:tabs>
          <w:tab w:val="left" w:pos="1040"/>
          <w:tab w:val="left" w:pos="1260"/>
          <w:tab w:val="clear" w:pos="907"/>
        </w:tabs>
        <w:spacing w:line="360" w:lineRule="auto"/>
        <w:ind w:left="1027" w:hanging="607"/>
        <w:rPr>
          <w:rFonts w:ascii="宋体" w:hAnsi="宋体" w:cs="宋体"/>
          <w:sz w:val="24"/>
          <w:lang w:val="zh-CN"/>
        </w:rPr>
      </w:pPr>
      <w:r>
        <w:rPr>
          <w:rFonts w:hint="eastAsia" w:ascii="宋体" w:hAnsi="宋体" w:cs="宋体"/>
          <w:sz w:val="24"/>
          <w:lang w:val="zh-CN"/>
        </w:rPr>
        <w:t>投标货物必须是全新的，如安装或配置软件的，须为正版软件。</w:t>
      </w:r>
    </w:p>
    <w:p w14:paraId="0BE269C8">
      <w:pPr>
        <w:numPr>
          <w:ilvl w:val="1"/>
          <w:numId w:val="13"/>
        </w:numPr>
        <w:tabs>
          <w:tab w:val="left" w:pos="1040"/>
          <w:tab w:val="left" w:pos="1260"/>
          <w:tab w:val="clear" w:pos="907"/>
        </w:tabs>
        <w:spacing w:line="360" w:lineRule="auto"/>
        <w:ind w:left="1027" w:hanging="607"/>
        <w:rPr>
          <w:rFonts w:ascii="宋体" w:hAnsi="宋体" w:cs="宋体"/>
          <w:sz w:val="24"/>
          <w:lang w:val="zh-CN"/>
        </w:rPr>
      </w:pPr>
      <w:r>
        <w:rPr>
          <w:rFonts w:hint="eastAsia" w:ascii="宋体" w:hAnsi="宋体" w:cs="宋体"/>
          <w:sz w:val="24"/>
          <w:lang w:val="zh-CN"/>
        </w:rPr>
        <w:t>招标文件中没有提及招标货物来源地的，应符合国家法律及相关规定。</w:t>
      </w:r>
    </w:p>
    <w:p w14:paraId="498FC230">
      <w:pPr>
        <w:numPr>
          <w:ilvl w:val="1"/>
          <w:numId w:val="13"/>
        </w:numPr>
        <w:tabs>
          <w:tab w:val="left" w:pos="1040"/>
          <w:tab w:val="left" w:pos="1260"/>
          <w:tab w:val="clear" w:pos="907"/>
        </w:tabs>
        <w:spacing w:line="360" w:lineRule="auto"/>
        <w:ind w:left="1027" w:hanging="607"/>
        <w:rPr>
          <w:rFonts w:ascii="宋体" w:hAnsi="宋体" w:cs="宋体"/>
          <w:sz w:val="24"/>
          <w:lang w:val="zh-CN"/>
        </w:rPr>
      </w:pPr>
      <w:r>
        <w:rPr>
          <w:rFonts w:hint="eastAsia" w:ascii="宋体" w:hAnsi="宋体" w:cs="宋体"/>
          <w:sz w:val="24"/>
          <w:lang w:val="zh-CN"/>
        </w:rPr>
        <w:t>本文件所称进口产品是指通过中国海关报关验放进入中国境内且产自关外的产品。进口的产品必须具有合法的进口手续和途径并通过商检部门的检验。</w:t>
      </w:r>
    </w:p>
    <w:p w14:paraId="0C7909B0">
      <w:pPr>
        <w:numPr>
          <w:ilvl w:val="1"/>
          <w:numId w:val="13"/>
        </w:numPr>
        <w:tabs>
          <w:tab w:val="left" w:pos="1040"/>
          <w:tab w:val="left" w:pos="1260"/>
          <w:tab w:val="clear" w:pos="907"/>
        </w:tabs>
        <w:spacing w:line="360" w:lineRule="auto"/>
        <w:ind w:left="1027" w:hanging="607"/>
        <w:rPr>
          <w:rFonts w:ascii="宋体" w:hAnsi="宋体" w:cs="宋体"/>
          <w:sz w:val="24"/>
          <w:lang w:val="zh-CN"/>
        </w:rPr>
      </w:pPr>
      <w:r>
        <w:rPr>
          <w:rFonts w:hint="eastAsia" w:ascii="宋体" w:hAnsi="宋体" w:cs="宋体"/>
          <w:sz w:val="24"/>
          <w:lang w:val="zh-CN"/>
        </w:rPr>
        <w:t>投标人应保证招标人在中华人民共和国境内使用本项目的投标货物、资料、技术、服务或其任何一部分</w:t>
      </w:r>
      <w:r>
        <w:rPr>
          <w:rFonts w:hint="eastAsia" w:ascii="宋体" w:hAnsi="宋体" w:cs="宋体"/>
          <w:sz w:val="24"/>
          <w:lang w:val="en-GB"/>
        </w:rPr>
        <w:t>时，享有不受限制的无偿使用权，</w:t>
      </w:r>
      <w:r>
        <w:rPr>
          <w:rFonts w:hint="eastAsia" w:ascii="宋体" w:hAnsi="宋体" w:cs="宋体"/>
          <w:sz w:val="24"/>
          <w:lang w:val="zh-CN"/>
        </w:rPr>
        <w:t>不会产生因第三方提出侵犯其专利权、商标权或其它知识产权而引起的法律和经济纠纷。</w:t>
      </w:r>
    </w:p>
    <w:p w14:paraId="6C615936">
      <w:pPr>
        <w:numPr>
          <w:ilvl w:val="1"/>
          <w:numId w:val="13"/>
        </w:numPr>
        <w:tabs>
          <w:tab w:val="left" w:pos="1040"/>
          <w:tab w:val="left" w:pos="1260"/>
          <w:tab w:val="clear" w:pos="907"/>
        </w:tabs>
        <w:spacing w:line="360" w:lineRule="auto"/>
        <w:ind w:left="1027" w:hanging="607"/>
        <w:rPr>
          <w:rFonts w:ascii="宋体" w:hAnsi="宋体" w:cs="宋体"/>
          <w:sz w:val="24"/>
          <w:lang w:val="zh-CN"/>
        </w:rPr>
      </w:pPr>
      <w:r>
        <w:rPr>
          <w:rFonts w:hint="eastAsia" w:ascii="宋体" w:hAnsi="宋体" w:cs="宋体"/>
          <w:sz w:val="24"/>
          <w:lang w:val="zh-CN"/>
        </w:rPr>
        <w:t>合格的服务是指投标人须承担的运输、安装、技术支持、培训以及招标文件规定的其它伴随服务。</w:t>
      </w:r>
    </w:p>
    <w:p w14:paraId="79BC812C">
      <w:pPr>
        <w:pStyle w:val="4"/>
        <w:numPr>
          <w:ilvl w:val="0"/>
          <w:numId w:val="10"/>
        </w:numPr>
        <w:ind w:hanging="5"/>
        <w:rPr>
          <w:sz w:val="28"/>
          <w:szCs w:val="28"/>
          <w:lang w:val="zh-CN"/>
        </w:rPr>
      </w:pPr>
      <w:bookmarkStart w:id="51" w:name="_Toc17565"/>
      <w:bookmarkStart w:id="52" w:name="_Toc15127"/>
      <w:r>
        <w:rPr>
          <w:rFonts w:hint="eastAsia"/>
          <w:sz w:val="28"/>
          <w:szCs w:val="28"/>
          <w:lang w:val="zh-CN"/>
        </w:rPr>
        <w:t>信用担保</w:t>
      </w:r>
      <w:bookmarkEnd w:id="50"/>
      <w:bookmarkEnd w:id="51"/>
      <w:bookmarkEnd w:id="52"/>
    </w:p>
    <w:p w14:paraId="04265F91">
      <w:pPr>
        <w:numPr>
          <w:ilvl w:val="1"/>
          <w:numId w:val="14"/>
        </w:numPr>
        <w:tabs>
          <w:tab w:val="left" w:pos="1060"/>
          <w:tab w:val="left" w:pos="1260"/>
          <w:tab w:val="clear" w:pos="907"/>
        </w:tabs>
        <w:spacing w:line="360" w:lineRule="auto"/>
        <w:ind w:left="1027" w:hanging="607"/>
        <w:rPr>
          <w:rFonts w:ascii="宋体" w:hAnsi="宋体" w:eastAsia="宋体" w:cs="宋体"/>
          <w:sz w:val="24"/>
          <w:lang w:val="zh-CN"/>
        </w:rPr>
      </w:pPr>
      <w:r>
        <w:rPr>
          <w:rFonts w:hint="eastAsia" w:ascii="宋体" w:hAnsi="宋体" w:eastAsia="宋体" w:cs="宋体"/>
          <w:sz w:val="24"/>
          <w:lang w:val="zh-CN"/>
        </w:rPr>
        <w:t>投标担保，是指由专业担保机构为投标人履行支付投标保证金的义务向招标人或招标代理机构提供的保证担保。投标人在投标有效期内发生的撤回投标文件，或中标后因自身原因不签署采购合同等行为而应实际支付保证金的，由专业担保机构按照担保函的约定履行担保责任。</w:t>
      </w:r>
    </w:p>
    <w:p w14:paraId="43250E70">
      <w:pPr>
        <w:numPr>
          <w:ilvl w:val="1"/>
          <w:numId w:val="14"/>
        </w:numPr>
        <w:tabs>
          <w:tab w:val="left" w:pos="1060"/>
          <w:tab w:val="left" w:pos="1260"/>
          <w:tab w:val="clear" w:pos="907"/>
        </w:tabs>
        <w:spacing w:line="360" w:lineRule="auto"/>
        <w:ind w:left="1027" w:hanging="607"/>
        <w:rPr>
          <w:rFonts w:ascii="宋体" w:hAnsi="宋体" w:eastAsia="宋体" w:cs="宋体"/>
          <w:sz w:val="24"/>
          <w:lang w:val="zh-CN"/>
        </w:rPr>
      </w:pPr>
      <w:r>
        <w:rPr>
          <w:rFonts w:hint="eastAsia" w:ascii="宋体" w:hAnsi="宋体" w:eastAsia="宋体" w:cs="宋体"/>
          <w:sz w:val="24"/>
          <w:lang w:val="zh-CN"/>
        </w:rPr>
        <w:t xml:space="preserve">履约担保，是指由专业担保机构为投标人支付履约保证金的义务向招标人提供的保证担保。中标人未按采购合同履行约定义务而应实际支付保证金的，由专业担保机构按照担保函的约定履行担保责任。投标人可以自行选择是否采取履约担保函的形式交纳履约保证金。 </w:t>
      </w:r>
    </w:p>
    <w:p w14:paraId="261C3E0D">
      <w:pPr>
        <w:numPr>
          <w:ilvl w:val="1"/>
          <w:numId w:val="14"/>
        </w:numPr>
        <w:tabs>
          <w:tab w:val="left" w:pos="1060"/>
          <w:tab w:val="left" w:pos="1260"/>
          <w:tab w:val="clear" w:pos="907"/>
        </w:tabs>
        <w:spacing w:line="360" w:lineRule="auto"/>
        <w:ind w:left="1027" w:hanging="607"/>
        <w:rPr>
          <w:rFonts w:ascii="宋体" w:hAnsi="宋体" w:eastAsia="宋体" w:cs="宋体"/>
          <w:sz w:val="24"/>
          <w:lang w:val="zh-CN"/>
        </w:rPr>
      </w:pPr>
      <w:r>
        <w:rPr>
          <w:rFonts w:hint="eastAsia" w:ascii="宋体" w:hAnsi="宋体" w:eastAsia="宋体" w:cs="宋体"/>
          <w:sz w:val="24"/>
          <w:lang w:val="zh-CN"/>
        </w:rPr>
        <w:t xml:space="preserve">融资担保，是指由专业担保机构为投标人向银行融资提供的保证担保。投标人可以自愿选择是否采取融资担保的形式为采购履约进行融资。 </w:t>
      </w:r>
    </w:p>
    <w:p w14:paraId="160DA333">
      <w:pPr>
        <w:numPr>
          <w:ilvl w:val="1"/>
          <w:numId w:val="14"/>
        </w:numPr>
        <w:tabs>
          <w:tab w:val="left" w:pos="1060"/>
          <w:tab w:val="left" w:pos="1260"/>
          <w:tab w:val="clear" w:pos="907"/>
        </w:tabs>
        <w:spacing w:line="360" w:lineRule="auto"/>
        <w:ind w:left="1027" w:hanging="607"/>
        <w:rPr>
          <w:rFonts w:ascii="宋体" w:hAnsi="宋体" w:eastAsia="宋体" w:cs="宋体"/>
          <w:sz w:val="24"/>
          <w:lang w:val="zh-CN"/>
        </w:rPr>
      </w:pPr>
      <w:r>
        <w:rPr>
          <w:rFonts w:hint="eastAsia" w:ascii="宋体" w:hAnsi="宋体" w:eastAsia="宋体" w:cs="宋体"/>
          <w:sz w:val="24"/>
          <w:lang w:val="zh-CN"/>
        </w:rPr>
        <w:t>专业担保机构的选择。除非招标文件中另有规定，</w:t>
      </w:r>
      <w:r>
        <w:rPr>
          <w:rFonts w:hint="eastAsia" w:ascii="宋体" w:hAnsi="宋体" w:cs="宋体"/>
          <w:sz w:val="24"/>
          <w:lang w:val="zh-CN"/>
        </w:rPr>
        <w:t xml:space="preserve">投标供应商可选择符合国家规定的金融机构或担保机构作为专业担保机构作为专业担保机构。 </w:t>
      </w:r>
      <w:r>
        <w:rPr>
          <w:rFonts w:hint="eastAsia" w:ascii="宋体" w:hAnsi="宋体" w:eastAsia="宋体" w:cs="宋体"/>
          <w:sz w:val="24"/>
          <w:lang w:val="zh-CN"/>
        </w:rPr>
        <w:t xml:space="preserve"> </w:t>
      </w:r>
    </w:p>
    <w:p w14:paraId="4DDD0F0C">
      <w:pPr>
        <w:numPr>
          <w:ilvl w:val="1"/>
          <w:numId w:val="14"/>
        </w:numPr>
        <w:tabs>
          <w:tab w:val="left" w:pos="1060"/>
          <w:tab w:val="left" w:pos="1260"/>
          <w:tab w:val="clear" w:pos="907"/>
        </w:tabs>
        <w:spacing w:line="360" w:lineRule="auto"/>
        <w:ind w:left="1027" w:hanging="607"/>
        <w:rPr>
          <w:rFonts w:ascii="宋体" w:hAnsi="宋体" w:eastAsia="宋体" w:cs="宋体"/>
          <w:sz w:val="24"/>
          <w:lang w:val="zh-CN"/>
        </w:rPr>
      </w:pPr>
      <w:r>
        <w:rPr>
          <w:rFonts w:hint="eastAsia" w:ascii="宋体" w:hAnsi="宋体" w:eastAsia="宋体" w:cs="宋体"/>
          <w:sz w:val="24"/>
          <w:lang w:val="zh-CN"/>
        </w:rPr>
        <w:t xml:space="preserve">投标人可以以履约担保函的形式交纳履约保证金。 </w:t>
      </w:r>
    </w:p>
    <w:p w14:paraId="52116E6D">
      <w:pPr>
        <w:pStyle w:val="3"/>
        <w:numPr>
          <w:ilvl w:val="0"/>
          <w:numId w:val="9"/>
        </w:numPr>
        <w:jc w:val="center"/>
      </w:pPr>
      <w:bookmarkStart w:id="53" w:name="_Toc423021941"/>
      <w:bookmarkStart w:id="54" w:name="_Toc26342"/>
      <w:bookmarkStart w:id="55" w:name="_Toc7148"/>
      <w:bookmarkStart w:id="56" w:name="_Toc11289"/>
      <w:r>
        <w:t>招标文件</w:t>
      </w:r>
      <w:bookmarkEnd w:id="53"/>
      <w:bookmarkEnd w:id="54"/>
      <w:bookmarkEnd w:id="55"/>
      <w:bookmarkEnd w:id="56"/>
    </w:p>
    <w:p w14:paraId="3271996E">
      <w:pPr>
        <w:pStyle w:val="4"/>
        <w:numPr>
          <w:ilvl w:val="0"/>
          <w:numId w:val="10"/>
        </w:numPr>
        <w:ind w:hanging="5"/>
        <w:rPr>
          <w:sz w:val="28"/>
          <w:szCs w:val="28"/>
          <w:lang w:val="zh-CN"/>
        </w:rPr>
      </w:pPr>
      <w:bookmarkStart w:id="57" w:name="_Toc4639"/>
      <w:bookmarkStart w:id="58" w:name="_Toc24967"/>
      <w:bookmarkStart w:id="59" w:name="_Toc7474"/>
      <w:r>
        <w:rPr>
          <w:rFonts w:hint="eastAsia"/>
          <w:sz w:val="28"/>
          <w:szCs w:val="28"/>
          <w:lang w:val="zh-CN"/>
        </w:rPr>
        <w:t>招标文件的编制依据和组成</w:t>
      </w:r>
      <w:bookmarkEnd w:id="57"/>
      <w:bookmarkEnd w:id="58"/>
      <w:bookmarkEnd w:id="59"/>
    </w:p>
    <w:p w14:paraId="120B6CD0">
      <w:pPr>
        <w:numPr>
          <w:ilvl w:val="1"/>
          <w:numId w:val="15"/>
        </w:numPr>
        <w:tabs>
          <w:tab w:val="left" w:pos="1040"/>
          <w:tab w:val="left" w:pos="1260"/>
          <w:tab w:val="clear" w:pos="907"/>
        </w:tabs>
        <w:spacing w:line="360" w:lineRule="auto"/>
        <w:ind w:left="1047" w:hanging="627"/>
        <w:rPr>
          <w:rFonts w:ascii="宋体" w:hAnsi="宋体" w:eastAsia="宋体" w:cs="宋体"/>
          <w:sz w:val="24"/>
          <w:lang w:val="zh-CN"/>
        </w:rPr>
      </w:pPr>
      <w:r>
        <w:rPr>
          <w:rFonts w:hint="eastAsia" w:ascii="宋体" w:hAnsi="宋体" w:eastAsia="宋体" w:cs="宋体"/>
          <w:sz w:val="24"/>
          <w:lang w:val="zh-CN"/>
        </w:rPr>
        <w:t>招标文件由下列文件以及在招标过程中发出的澄清、修改和补充文件组成，共六章：</w:t>
      </w:r>
    </w:p>
    <w:p w14:paraId="7313B4CC">
      <w:pPr>
        <w:adjustRightInd w:val="0"/>
        <w:snapToGrid w:val="0"/>
        <w:spacing w:line="360" w:lineRule="auto"/>
        <w:ind w:firstLine="1080" w:firstLineChars="450"/>
        <w:rPr>
          <w:rFonts w:ascii="宋体" w:hAnsi="宋体" w:eastAsia="宋体" w:cs="宋体"/>
          <w:sz w:val="24"/>
        </w:rPr>
      </w:pPr>
      <w:r>
        <w:rPr>
          <w:rFonts w:hint="eastAsia" w:ascii="宋体" w:hAnsi="宋体" w:eastAsia="宋体" w:cs="宋体"/>
          <w:sz w:val="24"/>
        </w:rPr>
        <w:t>第一章 投标邀请函</w:t>
      </w:r>
    </w:p>
    <w:p w14:paraId="635E18BB">
      <w:pPr>
        <w:adjustRightInd w:val="0"/>
        <w:snapToGrid w:val="0"/>
        <w:spacing w:line="360" w:lineRule="auto"/>
        <w:ind w:firstLine="1080" w:firstLineChars="450"/>
        <w:rPr>
          <w:rFonts w:ascii="宋体" w:hAnsi="宋体" w:eastAsia="宋体" w:cs="宋体"/>
          <w:sz w:val="24"/>
        </w:rPr>
      </w:pPr>
      <w:r>
        <w:rPr>
          <w:rFonts w:hint="eastAsia" w:ascii="宋体" w:hAnsi="宋体" w:eastAsia="宋体" w:cs="宋体"/>
          <w:sz w:val="24"/>
        </w:rPr>
        <w:t>第二章 投标人须知</w:t>
      </w:r>
    </w:p>
    <w:p w14:paraId="7114D4C4">
      <w:pPr>
        <w:adjustRightInd w:val="0"/>
        <w:snapToGrid w:val="0"/>
        <w:spacing w:line="360" w:lineRule="auto"/>
        <w:ind w:firstLine="1080" w:firstLineChars="450"/>
        <w:rPr>
          <w:rFonts w:ascii="宋体" w:hAnsi="宋体" w:eastAsia="宋体" w:cs="宋体"/>
          <w:sz w:val="24"/>
        </w:rPr>
      </w:pPr>
      <w:r>
        <w:rPr>
          <w:rFonts w:hint="eastAsia" w:ascii="宋体" w:hAnsi="宋体" w:eastAsia="宋体" w:cs="宋体"/>
          <w:sz w:val="24"/>
        </w:rPr>
        <w:t>第三章 评标体系与标准</w:t>
      </w:r>
    </w:p>
    <w:p w14:paraId="7DA4852B">
      <w:pPr>
        <w:adjustRightInd w:val="0"/>
        <w:snapToGrid w:val="0"/>
        <w:spacing w:line="360" w:lineRule="auto"/>
        <w:ind w:firstLine="1080" w:firstLineChars="450"/>
        <w:rPr>
          <w:rFonts w:ascii="宋体" w:hAnsi="宋体" w:eastAsia="宋体" w:cs="宋体"/>
          <w:sz w:val="24"/>
        </w:rPr>
      </w:pPr>
      <w:r>
        <w:rPr>
          <w:rFonts w:hint="eastAsia" w:ascii="宋体" w:hAnsi="宋体" w:eastAsia="宋体" w:cs="宋体"/>
          <w:sz w:val="24"/>
        </w:rPr>
        <w:t>第四章 用户需求书</w:t>
      </w:r>
    </w:p>
    <w:p w14:paraId="1E6CF301">
      <w:pPr>
        <w:adjustRightInd w:val="0"/>
        <w:snapToGrid w:val="0"/>
        <w:spacing w:line="360" w:lineRule="auto"/>
        <w:ind w:firstLine="1080" w:firstLineChars="450"/>
        <w:rPr>
          <w:rFonts w:ascii="宋体" w:hAnsi="宋体" w:eastAsia="宋体" w:cs="宋体"/>
          <w:sz w:val="24"/>
        </w:rPr>
      </w:pPr>
      <w:r>
        <w:rPr>
          <w:rFonts w:hint="eastAsia" w:ascii="宋体" w:hAnsi="宋体" w:eastAsia="宋体" w:cs="宋体"/>
          <w:sz w:val="24"/>
        </w:rPr>
        <w:t>第五章 合同格式</w:t>
      </w:r>
    </w:p>
    <w:p w14:paraId="06CC8C30">
      <w:pPr>
        <w:adjustRightInd w:val="0"/>
        <w:snapToGrid w:val="0"/>
        <w:spacing w:line="360" w:lineRule="auto"/>
        <w:ind w:firstLine="1080" w:firstLineChars="450"/>
        <w:rPr>
          <w:rFonts w:ascii="宋体" w:hAnsi="宋体" w:eastAsia="宋体" w:cs="宋体"/>
          <w:sz w:val="24"/>
          <w:lang w:val="zh-CN"/>
        </w:rPr>
      </w:pPr>
      <w:r>
        <w:rPr>
          <w:rFonts w:hint="eastAsia" w:ascii="宋体" w:hAnsi="宋体" w:eastAsia="宋体" w:cs="宋体"/>
          <w:sz w:val="24"/>
        </w:rPr>
        <w:t>第六章 投标文件格式</w:t>
      </w:r>
    </w:p>
    <w:p w14:paraId="4FFD4621">
      <w:pPr>
        <w:numPr>
          <w:ilvl w:val="1"/>
          <w:numId w:val="15"/>
        </w:numPr>
        <w:tabs>
          <w:tab w:val="left" w:pos="1040"/>
          <w:tab w:val="left" w:pos="1260"/>
          <w:tab w:val="clear" w:pos="907"/>
        </w:tabs>
        <w:spacing w:line="360" w:lineRule="auto"/>
        <w:ind w:left="1047" w:hanging="627"/>
        <w:rPr>
          <w:rFonts w:ascii="宋体" w:hAnsi="宋体" w:eastAsia="宋体" w:cs="宋体"/>
          <w:sz w:val="24"/>
          <w:lang w:val="zh-CN"/>
        </w:rPr>
      </w:pPr>
      <w:r>
        <w:rPr>
          <w:rFonts w:hint="eastAsia" w:ascii="宋体" w:hAnsi="宋体" w:eastAsia="宋体" w:cs="宋体"/>
          <w:sz w:val="24"/>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00F27050">
      <w:pPr>
        <w:pStyle w:val="4"/>
        <w:numPr>
          <w:ilvl w:val="0"/>
          <w:numId w:val="10"/>
        </w:numPr>
        <w:ind w:hanging="5"/>
        <w:rPr>
          <w:sz w:val="28"/>
          <w:szCs w:val="28"/>
          <w:lang w:val="zh-CN"/>
        </w:rPr>
      </w:pPr>
      <w:bookmarkStart w:id="60" w:name="_Toc18902"/>
      <w:bookmarkStart w:id="61" w:name="_Toc2579"/>
      <w:bookmarkStart w:id="62" w:name="_Toc10350"/>
      <w:r>
        <w:rPr>
          <w:rFonts w:hint="eastAsia"/>
          <w:sz w:val="28"/>
          <w:szCs w:val="28"/>
          <w:lang w:val="zh-CN"/>
        </w:rPr>
        <w:t>招标文件的澄清和修改</w:t>
      </w:r>
      <w:bookmarkEnd w:id="60"/>
      <w:bookmarkEnd w:id="61"/>
      <w:bookmarkEnd w:id="62"/>
    </w:p>
    <w:p w14:paraId="09BFAEC7">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招标人可以对已发出的招标文件进行必要的澄清或者修改。澄清或者修改的内容可能影响者投标文件编制的，招标人应当在提交投标截止时间至少15日前，以书面形式通知所有获取招标文件的潜在投标人；不足15日的，招标人应当顺延提交投标文件的截止时间。</w:t>
      </w:r>
    </w:p>
    <w:p w14:paraId="62009AF5">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潜在投标人或者其他利害关系人对对招标文件有异议的，应当在投标截止时间10日前提出。招标人应当自收到异议之日起3日内作出答复。</w:t>
      </w:r>
    </w:p>
    <w:p w14:paraId="1D3BB2CF">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cs="宋体"/>
          <w:sz w:val="24"/>
        </w:rPr>
        <w:t>已领购招标文件投标人在收到上述通知后，应在24小时内以书面形式向招标代理机构确认，若投标人未在24小时内书面回复确认将视为同意修改内容，并有责任履行相应的义务。</w:t>
      </w:r>
    </w:p>
    <w:p w14:paraId="05EC160E">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招标文件的修改内容为招标文件的组成部分。</w:t>
      </w:r>
    </w:p>
    <w:p w14:paraId="22A166CE">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招标文件的澄清或修改均以书面形式明确的内容为准。当招标文件的澄清、修改、补充等在同一内容的表述不一致时，以最后发出的书面文件为准。</w:t>
      </w:r>
    </w:p>
    <w:p w14:paraId="6BFE4815">
      <w:pPr>
        <w:numPr>
          <w:ilvl w:val="1"/>
          <w:numId w:val="16"/>
        </w:numPr>
        <w:tabs>
          <w:tab w:val="left" w:pos="1080"/>
          <w:tab w:val="left" w:pos="126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43B19F2">
      <w:pPr>
        <w:pStyle w:val="4"/>
        <w:numPr>
          <w:ilvl w:val="0"/>
          <w:numId w:val="10"/>
        </w:numPr>
        <w:ind w:hanging="5"/>
        <w:rPr>
          <w:sz w:val="28"/>
          <w:szCs w:val="28"/>
          <w:lang w:val="zh-CN"/>
        </w:rPr>
      </w:pPr>
      <w:bookmarkStart w:id="63" w:name="_Toc20616"/>
      <w:bookmarkStart w:id="64" w:name="_Toc7997"/>
      <w:r>
        <w:rPr>
          <w:rFonts w:hint="eastAsia"/>
          <w:sz w:val="28"/>
          <w:szCs w:val="28"/>
          <w:lang w:val="zh-CN"/>
        </w:rPr>
        <w:t>答疑会或踏勘现场</w:t>
      </w:r>
      <w:bookmarkEnd w:id="63"/>
      <w:bookmarkEnd w:id="64"/>
    </w:p>
    <w:p w14:paraId="5553A5CB">
      <w:pPr>
        <w:numPr>
          <w:ilvl w:val="1"/>
          <w:numId w:val="17"/>
        </w:numPr>
        <w:tabs>
          <w:tab w:val="left" w:pos="1080"/>
          <w:tab w:val="left" w:pos="1260"/>
        </w:tabs>
        <w:spacing w:line="360" w:lineRule="auto"/>
        <w:rPr>
          <w:rFonts w:ascii="宋体" w:hAnsi="宋体" w:cs="宋体"/>
          <w:sz w:val="24"/>
          <w:lang w:val="zh-CN"/>
        </w:rPr>
      </w:pPr>
      <w:bookmarkStart w:id="65" w:name="_Toc423021942"/>
      <w:bookmarkStart w:id="66" w:name="_Toc14980"/>
      <w:r>
        <w:rPr>
          <w:rFonts w:hint="eastAsia" w:ascii="宋体" w:hAnsi="宋体" w:eastAsia="宋体" w:cs="宋体"/>
          <w:sz w:val="24"/>
          <w:lang w:val="zh-CN"/>
        </w:rPr>
        <w:t>除非</w:t>
      </w:r>
      <w:r>
        <w:rPr>
          <w:rFonts w:hint="eastAsia" w:ascii="宋体" w:hAnsi="宋体" w:eastAsia="宋体" w:cs="宋体"/>
          <w:b/>
          <w:sz w:val="24"/>
          <w:lang w:val="zh-CN"/>
        </w:rPr>
        <w:t>投标人须知前附表</w:t>
      </w:r>
      <w:r>
        <w:rPr>
          <w:rFonts w:hint="eastAsia" w:ascii="宋体" w:hAnsi="宋体" w:eastAsia="宋体" w:cs="宋体"/>
          <w:sz w:val="24"/>
          <w:lang w:val="zh-CN"/>
        </w:rPr>
        <w:t>中另有规定，本项目不举行集中答疑会或统一组织踏勘现场</w:t>
      </w:r>
      <w:r>
        <w:rPr>
          <w:rFonts w:hint="eastAsia" w:ascii="宋体" w:hAnsi="宋体" w:cs="宋体"/>
          <w:sz w:val="24"/>
          <w:lang w:val="zh-CN"/>
        </w:rPr>
        <w:t>。</w:t>
      </w:r>
    </w:p>
    <w:p w14:paraId="08976E8D">
      <w:pPr>
        <w:pStyle w:val="3"/>
        <w:numPr>
          <w:ilvl w:val="0"/>
          <w:numId w:val="9"/>
        </w:numPr>
        <w:jc w:val="center"/>
      </w:pPr>
      <w:bookmarkStart w:id="67" w:name="_Toc30799"/>
      <w:bookmarkStart w:id="68" w:name="_Toc28482"/>
      <w:r>
        <w:t>投标文件</w:t>
      </w:r>
      <w:r>
        <w:rPr>
          <w:rFonts w:hint="eastAsia"/>
        </w:rPr>
        <w:t>的</w:t>
      </w:r>
      <w:r>
        <w:t>编制</w:t>
      </w:r>
      <w:bookmarkEnd w:id="65"/>
      <w:bookmarkEnd w:id="66"/>
      <w:bookmarkEnd w:id="67"/>
      <w:bookmarkEnd w:id="68"/>
    </w:p>
    <w:p w14:paraId="7F34A1A3">
      <w:pPr>
        <w:pStyle w:val="4"/>
        <w:numPr>
          <w:ilvl w:val="0"/>
          <w:numId w:val="10"/>
        </w:numPr>
        <w:ind w:hanging="5"/>
        <w:rPr>
          <w:sz w:val="28"/>
          <w:szCs w:val="28"/>
          <w:lang w:val="zh-CN"/>
        </w:rPr>
      </w:pPr>
      <w:bookmarkStart w:id="69" w:name="_Toc22361"/>
      <w:bookmarkStart w:id="70" w:name="_Toc28879"/>
      <w:bookmarkStart w:id="71" w:name="_Toc10235"/>
      <w:r>
        <w:rPr>
          <w:rFonts w:hint="eastAsia"/>
          <w:sz w:val="28"/>
          <w:szCs w:val="28"/>
          <w:lang w:val="zh-CN"/>
        </w:rPr>
        <w:t>投标语言和计量单位</w:t>
      </w:r>
      <w:bookmarkEnd w:id="69"/>
      <w:bookmarkEnd w:id="70"/>
      <w:bookmarkEnd w:id="71"/>
    </w:p>
    <w:p w14:paraId="66393BEB">
      <w:pPr>
        <w:numPr>
          <w:ilvl w:val="1"/>
          <w:numId w:val="18"/>
        </w:numPr>
        <w:tabs>
          <w:tab w:val="left" w:pos="1120"/>
          <w:tab w:val="clear" w:pos="907"/>
        </w:tabs>
        <w:spacing w:line="360" w:lineRule="auto"/>
        <w:ind w:left="1127" w:hanging="707"/>
        <w:rPr>
          <w:rFonts w:ascii="宋体" w:hAnsi="宋体" w:eastAsia="宋体" w:cs="宋体"/>
          <w:sz w:val="24"/>
          <w:lang w:val="zh-CN"/>
        </w:rPr>
      </w:pPr>
      <w:r>
        <w:rPr>
          <w:rFonts w:hint="eastAsia" w:ascii="宋体" w:hAnsi="宋体" w:eastAsia="宋体" w:cs="宋体"/>
          <w:sz w:val="24"/>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193DC39A">
      <w:pPr>
        <w:numPr>
          <w:ilvl w:val="1"/>
          <w:numId w:val="18"/>
        </w:numPr>
        <w:tabs>
          <w:tab w:val="left" w:pos="1120"/>
          <w:tab w:val="clear" w:pos="907"/>
        </w:tabs>
        <w:spacing w:line="360" w:lineRule="auto"/>
        <w:ind w:left="1127" w:hanging="707"/>
        <w:rPr>
          <w:rFonts w:ascii="宋体" w:hAnsi="宋体" w:eastAsia="宋体" w:cs="宋体"/>
          <w:sz w:val="24"/>
          <w:lang w:val="zh-CN"/>
        </w:rPr>
      </w:pPr>
      <w:r>
        <w:rPr>
          <w:rFonts w:hint="eastAsia" w:ascii="宋体" w:hAnsi="宋体" w:eastAsia="宋体" w:cs="宋体"/>
          <w:sz w:val="24"/>
          <w:lang w:val="zh-CN"/>
        </w:rPr>
        <w:t>除非招标文件中有特殊要求，投标文件中的计量单位应采用中华人民共和国法定计量单位。</w:t>
      </w:r>
    </w:p>
    <w:p w14:paraId="2020D1F0">
      <w:pPr>
        <w:numPr>
          <w:ilvl w:val="1"/>
          <w:numId w:val="18"/>
        </w:numPr>
        <w:tabs>
          <w:tab w:val="left" w:pos="1120"/>
          <w:tab w:val="clear" w:pos="907"/>
        </w:tabs>
        <w:spacing w:line="360" w:lineRule="auto"/>
        <w:ind w:left="1127" w:hanging="707"/>
        <w:rPr>
          <w:rFonts w:ascii="宋体" w:hAnsi="宋体" w:eastAsia="宋体" w:cs="宋体"/>
          <w:sz w:val="24"/>
          <w:lang w:val="zh-CN"/>
        </w:rPr>
      </w:pPr>
      <w:r>
        <w:rPr>
          <w:rFonts w:hint="eastAsia" w:ascii="宋体" w:hAnsi="宋体" w:eastAsia="宋体" w:cs="宋体"/>
          <w:sz w:val="24"/>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7538F757">
      <w:pPr>
        <w:pStyle w:val="4"/>
        <w:numPr>
          <w:ilvl w:val="0"/>
          <w:numId w:val="10"/>
        </w:numPr>
        <w:ind w:hanging="5"/>
        <w:rPr>
          <w:sz w:val="28"/>
          <w:szCs w:val="28"/>
          <w:lang w:val="zh-CN"/>
        </w:rPr>
      </w:pPr>
      <w:bookmarkStart w:id="72" w:name="_Toc11148"/>
      <w:bookmarkStart w:id="73" w:name="_Toc30501"/>
      <w:bookmarkStart w:id="74" w:name="_Toc10842"/>
      <w:r>
        <w:rPr>
          <w:rFonts w:hint="eastAsia"/>
          <w:sz w:val="28"/>
          <w:szCs w:val="28"/>
          <w:lang w:val="zh-CN"/>
        </w:rPr>
        <w:t>投标文件的构成</w:t>
      </w:r>
      <w:bookmarkEnd w:id="72"/>
      <w:bookmarkEnd w:id="73"/>
      <w:bookmarkEnd w:id="74"/>
    </w:p>
    <w:p w14:paraId="0FAE8510">
      <w:pPr>
        <w:numPr>
          <w:ilvl w:val="1"/>
          <w:numId w:val="19"/>
        </w:numPr>
        <w:tabs>
          <w:tab w:val="left" w:pos="1060"/>
          <w:tab w:val="clear" w:pos="907"/>
        </w:tabs>
        <w:spacing w:line="360" w:lineRule="auto"/>
        <w:ind w:left="1047" w:hanging="627"/>
        <w:rPr>
          <w:rFonts w:ascii="宋体" w:hAnsi="宋体" w:eastAsia="宋体" w:cs="宋体"/>
          <w:sz w:val="24"/>
          <w:lang w:val="zh-CN"/>
        </w:rPr>
      </w:pPr>
      <w:r>
        <w:rPr>
          <w:rFonts w:hint="eastAsia" w:ascii="宋体" w:hAnsi="宋体" w:eastAsia="宋体" w:cs="宋体"/>
          <w:sz w:val="24"/>
          <w:lang w:val="zh-CN"/>
        </w:rPr>
        <w:t>投标人编写的投标文件应包括自查表、初审文件、商务文件、技术文件、报价文件，编排顺序可参见“第六章投标文件格式” ，包括但不限于其中所列表格、文件及证明资料。</w:t>
      </w:r>
    </w:p>
    <w:p w14:paraId="2196C49B">
      <w:pPr>
        <w:numPr>
          <w:ilvl w:val="1"/>
          <w:numId w:val="19"/>
        </w:numPr>
        <w:tabs>
          <w:tab w:val="left" w:pos="1060"/>
          <w:tab w:val="clear" w:pos="907"/>
        </w:tabs>
        <w:spacing w:line="360" w:lineRule="auto"/>
        <w:ind w:left="1047" w:hanging="627"/>
        <w:rPr>
          <w:rFonts w:ascii="宋体" w:hAnsi="宋体" w:eastAsia="宋体" w:cs="宋体"/>
          <w:sz w:val="24"/>
          <w:lang w:val="zh-CN"/>
        </w:rPr>
      </w:pPr>
      <w:r>
        <w:rPr>
          <w:rFonts w:hint="eastAsia" w:ascii="宋体" w:hAnsi="宋体" w:eastAsia="宋体" w:cs="宋体"/>
          <w:sz w:val="24"/>
          <w:lang w:val="zh-CN"/>
        </w:rPr>
        <w:t>投标文件的构成应符合法律法规及招标文件的要求。</w:t>
      </w:r>
    </w:p>
    <w:p w14:paraId="7C131B47">
      <w:pPr>
        <w:pStyle w:val="4"/>
        <w:numPr>
          <w:ilvl w:val="0"/>
          <w:numId w:val="10"/>
        </w:numPr>
        <w:ind w:hanging="5"/>
        <w:rPr>
          <w:sz w:val="28"/>
          <w:szCs w:val="28"/>
          <w:lang w:val="zh-CN"/>
        </w:rPr>
      </w:pPr>
      <w:bookmarkStart w:id="75" w:name="_Toc31760"/>
      <w:bookmarkStart w:id="76" w:name="_Toc666"/>
      <w:bookmarkStart w:id="77" w:name="_Toc12038"/>
      <w:r>
        <w:rPr>
          <w:rFonts w:hint="eastAsia"/>
          <w:sz w:val="28"/>
          <w:szCs w:val="28"/>
          <w:lang w:val="zh-CN"/>
        </w:rPr>
        <w:t>投标文件编制注意事项</w:t>
      </w:r>
      <w:bookmarkEnd w:id="75"/>
      <w:bookmarkEnd w:id="76"/>
      <w:bookmarkEnd w:id="77"/>
    </w:p>
    <w:p w14:paraId="76C85B5F">
      <w:pPr>
        <w:numPr>
          <w:ilvl w:val="1"/>
          <w:numId w:val="20"/>
        </w:numPr>
        <w:tabs>
          <w:tab w:val="left" w:pos="1100"/>
          <w:tab w:val="left" w:pos="122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投标人应完整、真实、准确地填写招标文件中提供的投标函、开标一览表、投标明细报价表以及招标文件中规定的其它所有内容。</w:t>
      </w:r>
    </w:p>
    <w:p w14:paraId="498DA3D2">
      <w:pPr>
        <w:numPr>
          <w:ilvl w:val="1"/>
          <w:numId w:val="20"/>
        </w:numPr>
        <w:tabs>
          <w:tab w:val="left" w:pos="1100"/>
          <w:tab w:val="left" w:pos="1220"/>
          <w:tab w:val="clear" w:pos="907"/>
        </w:tabs>
        <w:spacing w:line="360" w:lineRule="auto"/>
        <w:ind w:left="1067" w:hanging="647"/>
        <w:rPr>
          <w:rFonts w:ascii="宋体" w:hAnsi="宋体" w:eastAsia="宋体" w:cs="宋体"/>
          <w:b/>
          <w:bCs/>
          <w:sz w:val="24"/>
          <w:u w:val="single"/>
          <w:lang w:val="zh-CN"/>
        </w:rPr>
      </w:pPr>
      <w:r>
        <w:rPr>
          <w:rFonts w:hint="eastAsia" w:ascii="宋体" w:hAnsi="宋体" w:eastAsia="宋体" w:cs="宋体"/>
          <w:sz w:val="24"/>
          <w:lang w:val="zh-CN"/>
        </w:rPr>
        <w:t>如招标文件没有分包组，投标人须对招标文件中“用户需求书”中所要求的所有货物进行投标；如招标文件中有多个包组，投标人可对其中一个包组或多个包组进行投标，但不得只对一个包组中的内容拆分投标。</w:t>
      </w:r>
    </w:p>
    <w:p w14:paraId="43B6DB7B">
      <w:pPr>
        <w:numPr>
          <w:ilvl w:val="1"/>
          <w:numId w:val="20"/>
        </w:numPr>
        <w:tabs>
          <w:tab w:val="left" w:pos="1100"/>
          <w:tab w:val="left" w:pos="122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投标人必须对投标文件所提供的全部资料的真实性承担法律责任，并无条件接受招标人或招标代理机构及监督管理部门等对其中任何资料进行核实的要求。</w:t>
      </w:r>
    </w:p>
    <w:p w14:paraId="2BA92069">
      <w:pPr>
        <w:numPr>
          <w:ilvl w:val="1"/>
          <w:numId w:val="20"/>
        </w:numPr>
        <w:tabs>
          <w:tab w:val="left" w:pos="1100"/>
          <w:tab w:val="left" w:pos="122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投标人的投标文件只填写和提供了本招标文件要求的部分内容和附件，或没有提供招标文件中所要求的全部资料及数据，由此造成的后果和责任由投标人承担。</w:t>
      </w:r>
    </w:p>
    <w:p w14:paraId="7EAE05FC">
      <w:pPr>
        <w:pStyle w:val="4"/>
        <w:numPr>
          <w:ilvl w:val="0"/>
          <w:numId w:val="10"/>
        </w:numPr>
        <w:ind w:hanging="5"/>
        <w:rPr>
          <w:sz w:val="28"/>
          <w:szCs w:val="28"/>
          <w:lang w:val="zh-CN"/>
        </w:rPr>
      </w:pPr>
      <w:bookmarkStart w:id="78" w:name="_Toc25034"/>
      <w:bookmarkStart w:id="79" w:name="_Toc1682"/>
      <w:bookmarkStart w:id="80" w:name="_Toc31650"/>
      <w:r>
        <w:rPr>
          <w:rFonts w:hint="eastAsia"/>
          <w:sz w:val="28"/>
          <w:szCs w:val="28"/>
          <w:lang w:val="zh-CN"/>
        </w:rPr>
        <w:t>投标文件的式样和签署</w:t>
      </w:r>
      <w:bookmarkEnd w:id="78"/>
      <w:bookmarkEnd w:id="79"/>
      <w:bookmarkEnd w:id="80"/>
    </w:p>
    <w:p w14:paraId="1BDC9C1D">
      <w:pPr>
        <w:numPr>
          <w:ilvl w:val="1"/>
          <w:numId w:val="21"/>
        </w:numPr>
        <w:tabs>
          <w:tab w:val="left" w:pos="1080"/>
          <w:tab w:val="left" w:pos="1220"/>
          <w:tab w:val="clear" w:pos="907"/>
        </w:tabs>
        <w:spacing w:line="360" w:lineRule="auto"/>
        <w:ind w:left="1107" w:hanging="687"/>
        <w:rPr>
          <w:rFonts w:ascii="宋体" w:hAnsi="宋体" w:eastAsia="宋体" w:cs="宋体"/>
          <w:sz w:val="24"/>
          <w:lang w:val="zh-CN"/>
        </w:rPr>
      </w:pPr>
      <w:r>
        <w:rPr>
          <w:rFonts w:hint="eastAsia" w:ascii="宋体" w:hAnsi="宋体" w:eastAsia="宋体" w:cs="宋体"/>
          <w:sz w:val="24"/>
          <w:lang w:val="zh-CN"/>
        </w:rPr>
        <w:t>投标人应按</w:t>
      </w:r>
      <w:r>
        <w:rPr>
          <w:rFonts w:hint="eastAsia" w:ascii="黑体" w:hAnsi="黑体" w:eastAsia="黑体" w:cs="黑体"/>
          <w:b/>
          <w:bCs/>
          <w:sz w:val="24"/>
          <w:lang w:val="zh-CN"/>
        </w:rPr>
        <w:t>投标人须知前附表</w:t>
      </w:r>
      <w:r>
        <w:rPr>
          <w:rFonts w:hint="eastAsia" w:ascii="宋体" w:hAnsi="宋体" w:eastAsia="宋体" w:cs="宋体"/>
          <w:sz w:val="24"/>
          <w:lang w:val="zh-CN"/>
        </w:rPr>
        <w:t>的要求制作投标文件。每套投标文件须清楚地标明“正本”或“副本”，若副本与正本不符，以正本为准。纸质招标文件与电子介质招标文件具有同等法律效力，除另有约定外，两者出现不一致时，以纸质招标文件为准。</w:t>
      </w:r>
    </w:p>
    <w:p w14:paraId="51E76F82">
      <w:pPr>
        <w:numPr>
          <w:ilvl w:val="1"/>
          <w:numId w:val="21"/>
        </w:numPr>
        <w:tabs>
          <w:tab w:val="left" w:pos="1080"/>
          <w:tab w:val="left" w:pos="1220"/>
          <w:tab w:val="clear" w:pos="907"/>
        </w:tabs>
        <w:spacing w:line="360" w:lineRule="auto"/>
        <w:ind w:left="1107" w:hanging="687"/>
        <w:rPr>
          <w:rFonts w:ascii="宋体" w:hAnsi="宋体" w:eastAsia="宋体" w:cs="宋体"/>
          <w:sz w:val="24"/>
          <w:lang w:val="zh-CN"/>
        </w:rPr>
      </w:pPr>
      <w:r>
        <w:rPr>
          <w:rFonts w:hint="eastAsia" w:ascii="宋体" w:hAnsi="宋体" w:eastAsia="宋体" w:cs="宋体"/>
          <w:sz w:val="24"/>
          <w:lang w:val="zh-CN"/>
        </w:rPr>
        <w:t>投标文件的正本须用A4纸打印或用不褪色墨水书写，招标文件要求签名的由法定代表人或经其正式授权的代表签字，投标文件封面及要求盖章处须加盖投标人公章；投标文件的副本可采用正本的复印件，并与正本具有同等法律效力。</w:t>
      </w:r>
    </w:p>
    <w:p w14:paraId="3C21FCE6">
      <w:pPr>
        <w:numPr>
          <w:ilvl w:val="1"/>
          <w:numId w:val="21"/>
        </w:numPr>
        <w:tabs>
          <w:tab w:val="left" w:pos="1080"/>
          <w:tab w:val="left" w:pos="1220"/>
          <w:tab w:val="clear" w:pos="907"/>
        </w:tabs>
        <w:spacing w:line="360" w:lineRule="auto"/>
        <w:ind w:left="1107" w:hanging="687"/>
        <w:rPr>
          <w:rFonts w:ascii="宋体" w:hAnsi="宋体" w:eastAsia="宋体" w:cs="宋体"/>
          <w:sz w:val="24"/>
          <w:lang w:val="zh-CN"/>
        </w:rPr>
      </w:pPr>
      <w:r>
        <w:rPr>
          <w:rFonts w:hint="eastAsia" w:ascii="宋体" w:hAnsi="宋体" w:eastAsia="宋体" w:cs="宋体"/>
          <w:sz w:val="24"/>
          <w:lang w:val="zh-CN"/>
        </w:rPr>
        <w:t>除对差错处做必要修改外，投标文件一般不得行间插字、涂改或增删，如有上述改动，必须由法定代表人或经其授权的代表在修改处旁边签字或加盖投标人公章。</w:t>
      </w:r>
    </w:p>
    <w:p w14:paraId="25C8EE8C">
      <w:pPr>
        <w:pStyle w:val="4"/>
        <w:numPr>
          <w:ilvl w:val="0"/>
          <w:numId w:val="10"/>
        </w:numPr>
        <w:ind w:hanging="5"/>
        <w:rPr>
          <w:sz w:val="28"/>
          <w:szCs w:val="28"/>
          <w:lang w:val="zh-CN"/>
        </w:rPr>
      </w:pPr>
      <w:bookmarkStart w:id="81" w:name="_Toc24642"/>
      <w:bookmarkStart w:id="82" w:name="_Toc18709"/>
      <w:bookmarkStart w:id="83" w:name="_Toc5138"/>
      <w:r>
        <w:rPr>
          <w:rFonts w:hint="eastAsia"/>
          <w:sz w:val="28"/>
          <w:szCs w:val="28"/>
          <w:lang w:val="zh-CN"/>
        </w:rPr>
        <w:t>投标报价</w:t>
      </w:r>
      <w:bookmarkEnd w:id="81"/>
      <w:bookmarkEnd w:id="82"/>
      <w:bookmarkEnd w:id="83"/>
    </w:p>
    <w:p w14:paraId="4929310D">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投标人应按照“第四章　用户需求书”中规定的内容、责任范围进行报价。并按《开标一览表》的要求报价。投标报价中不得包含招标文件要求以外的内容，否则，在评标时不予核减。投标报价中也不得缺漏招标文件所要求的内容，否则，将被视为包含在投标报价中。</w:t>
      </w:r>
    </w:p>
    <w:p w14:paraId="795AF457">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投标报价是在投标人可以独立完成本项目，并满足预期实施效果和符合自身合法利益的前提下，通过准确核算后所报出的全部货物的总包干价，包括设备价、运至合同指定地点的运输费、安装费（包括损耗、额外材料等）、技术培训费、保险费、各种税费等。</w:t>
      </w:r>
    </w:p>
    <w:p w14:paraId="552A664F">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投标报价为本次招标内容的下浮率包干，投标报价即为合同价，中标人不得在中标后提出任何增加费用要求，投标人在投标时应充分考虑相关风险性因素。</w:t>
      </w:r>
    </w:p>
    <w:p w14:paraId="2F8142A7">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对于报价免费的内容须标明“免费”。</w:t>
      </w:r>
    </w:p>
    <w:p w14:paraId="228C04AB">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投标人根据本须知第1</w:t>
      </w:r>
      <w:r>
        <w:rPr>
          <w:rFonts w:hint="eastAsia" w:ascii="宋体" w:hAnsi="宋体" w:eastAsia="宋体" w:cs="宋体"/>
          <w:sz w:val="24"/>
        </w:rPr>
        <w:t>2</w:t>
      </w:r>
      <w:r>
        <w:rPr>
          <w:rFonts w:hint="eastAsia" w:ascii="宋体" w:hAnsi="宋体" w:eastAsia="宋体" w:cs="宋体"/>
          <w:sz w:val="24"/>
          <w:lang w:val="zh-CN"/>
        </w:rPr>
        <w:t>.2条的规定将投标报价分成几部分，只是为了方便招标人对投标文件进行比较，并不限制招标人以上述任何条件订立合同的权力。</w:t>
      </w:r>
    </w:p>
    <w:p w14:paraId="62A42D0D">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投标人所报的投标价在合同执行过程中是固定不变的，不得以任何理由予以变更。任何包含价格调整要求的投标将被认为是非实质性响应投标而予以拒绝。</w:t>
      </w:r>
    </w:p>
    <w:p w14:paraId="19DA6F26">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除</w:t>
      </w:r>
      <w:r>
        <w:rPr>
          <w:rFonts w:hint="eastAsia" w:ascii="黑体" w:hAnsi="黑体" w:eastAsia="黑体" w:cs="黑体"/>
          <w:b/>
          <w:bCs/>
          <w:sz w:val="24"/>
          <w:lang w:val="zh-CN"/>
        </w:rPr>
        <w:t>投标人须知前附表</w:t>
      </w:r>
      <w:r>
        <w:rPr>
          <w:rFonts w:hint="eastAsia" w:ascii="宋体" w:hAnsi="宋体" w:eastAsia="宋体" w:cs="宋体"/>
          <w:sz w:val="24"/>
          <w:lang w:val="zh-CN"/>
        </w:rPr>
        <w:t>中另有规定外，本次招标不接受选择性报价，否则将被视为无效投标。</w:t>
      </w:r>
    </w:p>
    <w:p w14:paraId="3E6DD3B6">
      <w:pPr>
        <w:numPr>
          <w:ilvl w:val="1"/>
          <w:numId w:val="22"/>
        </w:numPr>
        <w:tabs>
          <w:tab w:val="left" w:pos="1100"/>
          <w:tab w:val="left" w:pos="122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rPr>
        <w:t>除</w:t>
      </w:r>
      <w:r>
        <w:rPr>
          <w:rFonts w:hint="eastAsia" w:ascii="黑体" w:hAnsi="黑体" w:eastAsia="黑体" w:cs="黑体"/>
          <w:b/>
          <w:bCs/>
          <w:sz w:val="24"/>
          <w:lang w:val="zh-CN"/>
        </w:rPr>
        <w:t>投标人须知前附表</w:t>
      </w:r>
      <w:r>
        <w:rPr>
          <w:rFonts w:hint="eastAsia" w:ascii="宋体" w:hAnsi="宋体" w:eastAsia="宋体" w:cs="宋体"/>
          <w:sz w:val="24"/>
          <w:lang w:val="zh-CN"/>
        </w:rPr>
        <w:t>中另有规定外，本次招标不接受具有附加条件的报价，否则将被视为无效投标。</w:t>
      </w:r>
    </w:p>
    <w:p w14:paraId="7ED258BC">
      <w:pPr>
        <w:pStyle w:val="4"/>
        <w:numPr>
          <w:ilvl w:val="0"/>
          <w:numId w:val="10"/>
        </w:numPr>
        <w:ind w:hanging="5"/>
        <w:rPr>
          <w:sz w:val="28"/>
          <w:szCs w:val="28"/>
          <w:lang w:val="zh-CN"/>
        </w:rPr>
      </w:pPr>
      <w:bookmarkStart w:id="84" w:name="_Toc9295"/>
      <w:bookmarkStart w:id="85" w:name="_Toc3738"/>
      <w:bookmarkStart w:id="86" w:name="_Toc14860"/>
      <w:r>
        <w:rPr>
          <w:rFonts w:hint="eastAsia"/>
          <w:sz w:val="28"/>
          <w:szCs w:val="28"/>
          <w:lang w:val="zh-CN"/>
        </w:rPr>
        <w:t>投标有效期</w:t>
      </w:r>
      <w:bookmarkEnd w:id="84"/>
      <w:bookmarkEnd w:id="85"/>
      <w:bookmarkEnd w:id="86"/>
    </w:p>
    <w:p w14:paraId="1D614A0F">
      <w:pPr>
        <w:numPr>
          <w:ilvl w:val="1"/>
          <w:numId w:val="23"/>
        </w:numPr>
        <w:tabs>
          <w:tab w:val="left" w:pos="118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eastAsia="zh-TW"/>
        </w:rPr>
        <w:t>投标有效期自招标文件规定的投标文件递交截止时间起算，并在</w:t>
      </w:r>
      <w:r>
        <w:rPr>
          <w:rFonts w:hint="eastAsia" w:ascii="黑体" w:hAnsi="黑体" w:eastAsia="黑体" w:cs="黑体"/>
          <w:b/>
          <w:bCs/>
          <w:sz w:val="24"/>
          <w:lang w:val="zh-CN" w:eastAsia="zh-TW"/>
        </w:rPr>
        <w:t>投标人须知前附表</w:t>
      </w:r>
      <w:r>
        <w:rPr>
          <w:rFonts w:hint="eastAsia" w:ascii="宋体" w:hAnsi="宋体" w:eastAsia="宋体" w:cs="宋体"/>
          <w:sz w:val="24"/>
          <w:lang w:val="zh-CN" w:eastAsia="zh-TW"/>
        </w:rPr>
        <w:t>中所述期限内有效。投标有效期比规定时间短的投标将被认定为非实质性响应，视为无效投标。</w:t>
      </w:r>
    </w:p>
    <w:p w14:paraId="541FB50A">
      <w:pPr>
        <w:numPr>
          <w:ilvl w:val="1"/>
          <w:numId w:val="23"/>
        </w:numPr>
        <w:tabs>
          <w:tab w:val="left" w:pos="1180"/>
          <w:tab w:val="clear" w:pos="907"/>
        </w:tabs>
        <w:spacing w:line="360" w:lineRule="auto"/>
        <w:ind w:left="1087" w:hanging="667"/>
        <w:rPr>
          <w:rFonts w:ascii="宋体" w:hAnsi="宋体" w:eastAsia="宋体" w:cs="宋体"/>
          <w:sz w:val="24"/>
          <w:lang w:val="zh-CN"/>
        </w:rPr>
      </w:pPr>
      <w:r>
        <w:rPr>
          <w:rFonts w:hint="eastAsia" w:ascii="宋体" w:hAnsi="宋体" w:eastAsia="宋体" w:cs="宋体"/>
          <w:sz w:val="24"/>
          <w:lang w:val="zh-CN" w:eastAsia="zh-TW"/>
        </w:rPr>
        <w:t>特殊情况下</w:t>
      </w:r>
      <w:r>
        <w:rPr>
          <w:rFonts w:hint="eastAsia" w:ascii="宋体" w:hAnsi="宋体" w:eastAsia="宋体" w:cs="宋体"/>
          <w:sz w:val="24"/>
          <w:lang w:val="zh-CN"/>
        </w:rPr>
        <w:t>，</w:t>
      </w:r>
      <w:r>
        <w:rPr>
          <w:rFonts w:hint="eastAsia" w:ascii="宋体" w:hAnsi="宋体" w:eastAsia="宋体" w:cs="宋体"/>
          <w:sz w:val="24"/>
          <w:lang w:val="zh-CN" w:eastAsia="zh-TW"/>
        </w:rPr>
        <w:t>在原投标有效期期满之前</w:t>
      </w:r>
      <w:r>
        <w:rPr>
          <w:rFonts w:hint="eastAsia" w:ascii="宋体" w:hAnsi="宋体" w:eastAsia="宋体" w:cs="宋体"/>
          <w:sz w:val="24"/>
          <w:lang w:val="zh-CN"/>
        </w:rPr>
        <w:t>，</w:t>
      </w:r>
      <w:r>
        <w:rPr>
          <w:rFonts w:hint="eastAsia" w:ascii="宋体" w:hAnsi="宋体" w:eastAsia="宋体" w:cs="宋体"/>
          <w:sz w:val="24"/>
          <w:lang w:val="zh-CN" w:eastAsia="zh-TW"/>
        </w:rPr>
        <w:t>招标代理机构可要求投标人延长投标有效期。这种要求与答复均应以书面形式提交。投标人可拒绝招标代理机构的这种要求</w:t>
      </w:r>
      <w:r>
        <w:rPr>
          <w:rFonts w:hint="eastAsia" w:ascii="宋体" w:hAnsi="宋体" w:eastAsia="宋体" w:cs="宋体"/>
          <w:sz w:val="24"/>
          <w:lang w:val="zh-CN"/>
        </w:rPr>
        <w:t>，</w:t>
      </w:r>
      <w:r>
        <w:rPr>
          <w:rFonts w:hint="eastAsia" w:ascii="宋体" w:hAnsi="宋体" w:eastAsia="宋体" w:cs="宋体"/>
          <w:sz w:val="24"/>
          <w:lang w:val="zh-CN" w:eastAsia="zh-TW"/>
        </w:rPr>
        <w:t>但其投标在原投标有效期期满后将不再有效。同意延长投标有效期的投标人将不会被要求和允许修正其投标。</w:t>
      </w:r>
    </w:p>
    <w:p w14:paraId="50D4905F">
      <w:pPr>
        <w:pStyle w:val="4"/>
        <w:numPr>
          <w:ilvl w:val="0"/>
          <w:numId w:val="10"/>
        </w:numPr>
        <w:ind w:hanging="5"/>
        <w:rPr>
          <w:sz w:val="28"/>
          <w:szCs w:val="28"/>
          <w:lang w:val="zh-CN"/>
        </w:rPr>
      </w:pPr>
      <w:bookmarkStart w:id="87" w:name="_Toc19613"/>
      <w:bookmarkStart w:id="88" w:name="_Toc7499"/>
      <w:bookmarkStart w:id="89" w:name="_Toc28304"/>
      <w:r>
        <w:rPr>
          <w:rFonts w:hint="eastAsia"/>
          <w:sz w:val="28"/>
          <w:szCs w:val="28"/>
          <w:lang w:val="zh-CN"/>
        </w:rPr>
        <w:t>联合体投标</w:t>
      </w:r>
      <w:bookmarkEnd w:id="87"/>
      <w:bookmarkEnd w:id="88"/>
      <w:bookmarkEnd w:id="89"/>
    </w:p>
    <w:p w14:paraId="2257783E">
      <w:pPr>
        <w:numPr>
          <w:ilvl w:val="1"/>
          <w:numId w:val="24"/>
        </w:numPr>
        <w:tabs>
          <w:tab w:val="left" w:pos="1180"/>
          <w:tab w:val="clear" w:pos="907"/>
        </w:tabs>
        <w:spacing w:line="360" w:lineRule="auto"/>
        <w:ind w:left="1107" w:hanging="687"/>
        <w:rPr>
          <w:rFonts w:ascii="宋体" w:hAnsi="宋体" w:eastAsia="宋体" w:cs="宋体"/>
          <w:sz w:val="24"/>
          <w:lang w:val="zh-CN" w:eastAsia="zh-TW"/>
        </w:rPr>
      </w:pPr>
      <w:r>
        <w:rPr>
          <w:rFonts w:hint="eastAsia" w:ascii="宋体" w:hAnsi="宋体" w:eastAsia="宋体" w:cs="宋体"/>
          <w:sz w:val="24"/>
          <w:lang w:val="zh-CN" w:eastAsia="zh-TW"/>
        </w:rPr>
        <w:t>本项目不接受联合体投标。</w:t>
      </w:r>
    </w:p>
    <w:p w14:paraId="23657C92">
      <w:pPr>
        <w:pStyle w:val="4"/>
        <w:numPr>
          <w:ilvl w:val="0"/>
          <w:numId w:val="10"/>
        </w:numPr>
        <w:ind w:hanging="5"/>
        <w:rPr>
          <w:sz w:val="28"/>
          <w:szCs w:val="28"/>
          <w:lang w:val="zh-CN"/>
        </w:rPr>
      </w:pPr>
      <w:bookmarkStart w:id="90" w:name="_Toc7977"/>
      <w:bookmarkStart w:id="91" w:name="_Toc18435"/>
      <w:bookmarkStart w:id="92" w:name="_Toc30622"/>
      <w:r>
        <w:rPr>
          <w:rFonts w:hint="eastAsia"/>
          <w:sz w:val="28"/>
          <w:szCs w:val="28"/>
          <w:lang w:val="zh-CN"/>
        </w:rPr>
        <w:t>证明投标人合格和资格的文件</w:t>
      </w:r>
      <w:bookmarkEnd w:id="90"/>
      <w:bookmarkEnd w:id="91"/>
      <w:bookmarkEnd w:id="92"/>
    </w:p>
    <w:p w14:paraId="112C854F">
      <w:pPr>
        <w:numPr>
          <w:ilvl w:val="1"/>
          <w:numId w:val="25"/>
        </w:numPr>
        <w:tabs>
          <w:tab w:val="left" w:pos="1180"/>
          <w:tab w:val="clear" w:pos="907"/>
        </w:tabs>
        <w:spacing w:line="360" w:lineRule="auto"/>
        <w:ind w:left="1127" w:hanging="707"/>
        <w:rPr>
          <w:rFonts w:ascii="宋体" w:hAnsi="宋体" w:eastAsia="宋体" w:cs="宋体"/>
          <w:sz w:val="24"/>
          <w:lang w:val="zh-CN" w:eastAsia="zh-TW"/>
        </w:rPr>
      </w:pPr>
      <w:r>
        <w:rPr>
          <w:rFonts w:hint="eastAsia" w:ascii="宋体" w:hAnsi="宋体" w:cs="宋体"/>
          <w:sz w:val="24"/>
          <w:lang w:val="zh-CN" w:eastAsia="zh-TW"/>
        </w:rPr>
        <w:t>投标人应提交证明其有资格参加投标和中标后有能力履行合同的文件，并作为其投标文件的一部分。</w:t>
      </w:r>
      <w:r>
        <w:rPr>
          <w:rFonts w:hint="eastAsia" w:ascii="宋体" w:hAnsi="宋体" w:cs="宋体"/>
          <w:sz w:val="24"/>
          <w:lang w:val="zh-CN"/>
        </w:rPr>
        <w:t>证明投标人已具备履行合同所需的财务、技术和生产能力的文件</w:t>
      </w:r>
      <w:r>
        <w:rPr>
          <w:rFonts w:hint="eastAsia" w:ascii="宋体" w:hAnsi="宋体" w:eastAsia="宋体" w:cs="宋体"/>
          <w:sz w:val="24"/>
          <w:lang w:val="zh-CN" w:eastAsia="zh-TW"/>
        </w:rPr>
        <w:t>。</w:t>
      </w:r>
    </w:p>
    <w:p w14:paraId="79FFAE14">
      <w:pPr>
        <w:pStyle w:val="4"/>
        <w:numPr>
          <w:ilvl w:val="0"/>
          <w:numId w:val="10"/>
        </w:numPr>
        <w:ind w:hanging="5"/>
        <w:rPr>
          <w:sz w:val="28"/>
          <w:szCs w:val="28"/>
          <w:lang w:val="zh-CN"/>
        </w:rPr>
      </w:pPr>
      <w:bookmarkStart w:id="93" w:name="_Toc15853"/>
      <w:bookmarkStart w:id="94" w:name="_Toc27816"/>
      <w:bookmarkStart w:id="95" w:name="_Toc24754"/>
      <w:r>
        <w:rPr>
          <w:rFonts w:hint="eastAsia"/>
          <w:sz w:val="28"/>
          <w:szCs w:val="28"/>
          <w:lang w:val="zh-CN"/>
        </w:rPr>
        <w:t>证明货物的合格性和符合招标文件规定的文件</w:t>
      </w:r>
      <w:bookmarkEnd w:id="93"/>
      <w:bookmarkEnd w:id="94"/>
      <w:bookmarkEnd w:id="95"/>
    </w:p>
    <w:p w14:paraId="5622AFA7">
      <w:pPr>
        <w:numPr>
          <w:ilvl w:val="1"/>
          <w:numId w:val="26"/>
        </w:numPr>
        <w:tabs>
          <w:tab w:val="left" w:pos="1180"/>
          <w:tab w:val="clear" w:pos="907"/>
        </w:tabs>
        <w:spacing w:line="360" w:lineRule="auto"/>
        <w:ind w:left="1127" w:hanging="707"/>
        <w:rPr>
          <w:rFonts w:ascii="宋体" w:hAnsi="宋体" w:eastAsia="宋体" w:cs="宋体"/>
          <w:sz w:val="24"/>
          <w:lang w:val="zh-CN" w:eastAsia="zh-TW"/>
        </w:rPr>
      </w:pPr>
      <w:r>
        <w:rPr>
          <w:rFonts w:hint="eastAsia" w:ascii="宋体" w:hAnsi="宋体" w:eastAsia="宋体" w:cs="宋体"/>
          <w:sz w:val="24"/>
          <w:lang w:val="zh-CN" w:eastAsia="zh-TW"/>
        </w:rPr>
        <w:t>投标人应提交证明文件，证明其拟投标的货物的合格性符合招标文件规定。该证明文件作为投标文件的一部分。</w:t>
      </w:r>
    </w:p>
    <w:p w14:paraId="03471FCA">
      <w:pPr>
        <w:numPr>
          <w:ilvl w:val="1"/>
          <w:numId w:val="26"/>
        </w:numPr>
        <w:tabs>
          <w:tab w:val="left" w:pos="1180"/>
          <w:tab w:val="clear" w:pos="907"/>
        </w:tabs>
        <w:spacing w:line="360" w:lineRule="auto"/>
        <w:ind w:left="1127" w:hanging="707"/>
        <w:rPr>
          <w:rFonts w:ascii="宋体" w:hAnsi="宋体" w:eastAsia="宋体" w:cs="宋体"/>
          <w:sz w:val="24"/>
          <w:lang w:val="zh-CN" w:eastAsia="zh-TW"/>
        </w:rPr>
      </w:pPr>
      <w:r>
        <w:rPr>
          <w:rFonts w:hint="eastAsia" w:ascii="宋体" w:hAnsi="宋体" w:eastAsia="宋体" w:cs="宋体"/>
          <w:sz w:val="24"/>
          <w:lang w:val="zh-CN" w:eastAsia="zh-TW"/>
        </w:rPr>
        <w:t>证明货物和服务与招标文件的要求相一致的文件，可以是文字资料、图纸和数据，它包括：</w:t>
      </w:r>
    </w:p>
    <w:p w14:paraId="41B8E063">
      <w:pPr>
        <w:numPr>
          <w:ilvl w:val="2"/>
          <w:numId w:val="27"/>
        </w:numPr>
        <w:spacing w:line="360" w:lineRule="auto"/>
        <w:ind w:hanging="487"/>
        <w:rPr>
          <w:rFonts w:ascii="宋体" w:hAnsi="宋体" w:cs="宋体"/>
          <w:sz w:val="24"/>
          <w:lang w:val="zh-CN"/>
        </w:rPr>
      </w:pPr>
      <w:r>
        <w:rPr>
          <w:rFonts w:hint="eastAsia" w:ascii="宋体" w:hAnsi="宋体" w:cs="宋体"/>
          <w:sz w:val="24"/>
          <w:lang w:val="zh-CN" w:eastAsia="zh-TW"/>
        </w:rPr>
        <w:t>货物主要技术指标和性能的详细说明。</w:t>
      </w:r>
    </w:p>
    <w:p w14:paraId="2139F1C1">
      <w:pPr>
        <w:numPr>
          <w:ilvl w:val="2"/>
          <w:numId w:val="27"/>
        </w:numPr>
        <w:tabs>
          <w:tab w:val="clear" w:pos="907"/>
        </w:tabs>
        <w:spacing w:line="360" w:lineRule="auto"/>
        <w:ind w:left="1267" w:hanging="847"/>
        <w:rPr>
          <w:rFonts w:ascii="宋体" w:hAnsi="宋体" w:cs="宋体"/>
          <w:sz w:val="24"/>
          <w:lang w:val="zh-CN"/>
        </w:rPr>
      </w:pPr>
      <w:r>
        <w:rPr>
          <w:rFonts w:hint="eastAsia" w:ascii="宋体" w:hAnsi="宋体" w:cs="宋体"/>
          <w:sz w:val="24"/>
          <w:lang w:val="zh-CN"/>
        </w:rPr>
        <w:t>货物从招标人验收后开始使用至招标文件规定的保质期内正常、连续地使用所必须的备件和专用工具清单，包括备件和专用工具的货源和现行价格。</w:t>
      </w:r>
    </w:p>
    <w:p w14:paraId="69821320">
      <w:pPr>
        <w:numPr>
          <w:ilvl w:val="2"/>
          <w:numId w:val="27"/>
        </w:numPr>
        <w:tabs>
          <w:tab w:val="clear" w:pos="907"/>
        </w:tabs>
        <w:spacing w:line="360" w:lineRule="auto"/>
        <w:ind w:left="1267" w:hanging="847"/>
        <w:rPr>
          <w:rFonts w:ascii="宋体" w:hAnsi="宋体" w:cs="宋体"/>
          <w:sz w:val="24"/>
          <w:lang w:val="zh-CN"/>
        </w:rPr>
      </w:pPr>
      <w:r>
        <w:rPr>
          <w:rFonts w:hint="eastAsia" w:ascii="宋体" w:hAnsi="宋体" w:cs="宋体"/>
          <w:sz w:val="24"/>
          <w:lang w:val="zh-CN"/>
        </w:rPr>
        <w:t>对照招标文件技术规格，逐条说明所提供货物和服务已对招标文件的技术规格作出了实质性的响应，并申明与技术规格条文的偏差和例外。特别是对有具体参数要求的指标，投标人须提供所投设备的具体参数值。</w:t>
      </w:r>
    </w:p>
    <w:p w14:paraId="12F365BE">
      <w:pPr>
        <w:numPr>
          <w:ilvl w:val="2"/>
          <w:numId w:val="27"/>
        </w:numPr>
        <w:tabs>
          <w:tab w:val="clear" w:pos="907"/>
        </w:tabs>
        <w:spacing w:line="360" w:lineRule="auto"/>
        <w:ind w:left="1267" w:hanging="847"/>
        <w:rPr>
          <w:rFonts w:ascii="宋体" w:hAnsi="宋体" w:cs="宋体"/>
          <w:sz w:val="24"/>
          <w:lang w:val="zh-CN"/>
        </w:rPr>
      </w:pPr>
      <w:r>
        <w:rPr>
          <w:rFonts w:hint="eastAsia" w:ascii="宋体" w:hAnsi="宋体" w:cs="宋体"/>
          <w:sz w:val="24"/>
          <w:lang w:val="zh-CN"/>
        </w:rPr>
        <w:t>投标人在阐述时应注意招标文件的技术规格中指出的工艺、材料和设备的标准以及参照的品牌或型号仅起说明作用，并没有任何限制性。投标人可以在投标中选择替代标准、品牌或型号，但这些替代要实质上满足或超过招标文件的要求。</w:t>
      </w:r>
    </w:p>
    <w:p w14:paraId="0100C7F2">
      <w:pPr>
        <w:pStyle w:val="3"/>
        <w:numPr>
          <w:ilvl w:val="0"/>
          <w:numId w:val="9"/>
        </w:numPr>
        <w:jc w:val="center"/>
      </w:pPr>
      <w:bookmarkStart w:id="96" w:name="_Toc423021944"/>
      <w:bookmarkStart w:id="97" w:name="_Toc1725"/>
      <w:bookmarkStart w:id="98" w:name="_Toc13330"/>
      <w:bookmarkStart w:id="99" w:name="_Toc10947"/>
      <w:r>
        <w:t>投标文件的递交</w:t>
      </w:r>
      <w:bookmarkEnd w:id="96"/>
      <w:bookmarkEnd w:id="97"/>
      <w:bookmarkEnd w:id="98"/>
      <w:bookmarkEnd w:id="99"/>
    </w:p>
    <w:p w14:paraId="183D53FF">
      <w:pPr>
        <w:pStyle w:val="4"/>
        <w:numPr>
          <w:ilvl w:val="0"/>
          <w:numId w:val="10"/>
        </w:numPr>
        <w:ind w:hanging="5"/>
        <w:rPr>
          <w:sz w:val="28"/>
          <w:szCs w:val="28"/>
          <w:lang w:val="zh-CN"/>
        </w:rPr>
      </w:pPr>
      <w:bookmarkStart w:id="100" w:name="_Toc5144"/>
      <w:bookmarkStart w:id="101" w:name="_Toc4752"/>
      <w:bookmarkStart w:id="102" w:name="_Toc17412"/>
      <w:r>
        <w:rPr>
          <w:rFonts w:hint="eastAsia"/>
          <w:sz w:val="28"/>
          <w:szCs w:val="28"/>
          <w:lang w:val="zh-CN"/>
        </w:rPr>
        <w:t>投标文件的密封和标记</w:t>
      </w:r>
      <w:bookmarkEnd w:id="100"/>
      <w:bookmarkEnd w:id="101"/>
      <w:bookmarkEnd w:id="102"/>
    </w:p>
    <w:p w14:paraId="0B15B76B">
      <w:pPr>
        <w:numPr>
          <w:ilvl w:val="1"/>
          <w:numId w:val="28"/>
        </w:numPr>
        <w:tabs>
          <w:tab w:val="left" w:pos="1100"/>
          <w:tab w:val="clear" w:pos="907"/>
        </w:tabs>
        <w:spacing w:line="360" w:lineRule="auto"/>
        <w:ind w:left="1107" w:hanging="687"/>
        <w:rPr>
          <w:rFonts w:ascii="宋体" w:hAnsi="宋体" w:eastAsia="宋体" w:cs="宋体"/>
          <w:b/>
          <w:bCs/>
          <w:sz w:val="24"/>
          <w:u w:val="single"/>
          <w:lang w:val="zh-CN" w:eastAsia="zh-TW"/>
        </w:rPr>
      </w:pPr>
      <w:r>
        <w:rPr>
          <w:rFonts w:hint="eastAsia" w:ascii="宋体" w:hAnsi="宋体" w:eastAsia="宋体" w:cs="宋体"/>
          <w:sz w:val="24"/>
          <w:lang w:val="zh-CN" w:eastAsia="zh-TW"/>
        </w:rPr>
        <w:t>投标人应将投标文件正本和所有副本分开密封，且在封套上标明“正本”“副本”字样。</w:t>
      </w:r>
    </w:p>
    <w:p w14:paraId="31735F18">
      <w:pPr>
        <w:pStyle w:val="4"/>
        <w:numPr>
          <w:ilvl w:val="0"/>
          <w:numId w:val="10"/>
        </w:numPr>
        <w:ind w:hanging="5"/>
        <w:rPr>
          <w:sz w:val="28"/>
          <w:szCs w:val="28"/>
          <w:lang w:val="zh-CN"/>
        </w:rPr>
      </w:pPr>
      <w:bookmarkStart w:id="103" w:name="_Toc19344"/>
      <w:bookmarkStart w:id="104" w:name="_Toc27599"/>
      <w:bookmarkStart w:id="105" w:name="_Toc17467"/>
      <w:r>
        <w:rPr>
          <w:rFonts w:hint="eastAsia"/>
          <w:sz w:val="28"/>
          <w:szCs w:val="28"/>
          <w:lang w:val="zh-CN"/>
        </w:rPr>
        <w:t>投标文件递交要求</w:t>
      </w:r>
      <w:bookmarkEnd w:id="103"/>
      <w:bookmarkEnd w:id="104"/>
      <w:bookmarkEnd w:id="105"/>
    </w:p>
    <w:p w14:paraId="7E986BCB">
      <w:pPr>
        <w:numPr>
          <w:ilvl w:val="1"/>
          <w:numId w:val="29"/>
        </w:numPr>
        <w:tabs>
          <w:tab w:val="left" w:pos="1060"/>
          <w:tab w:val="clear" w:pos="907"/>
        </w:tabs>
        <w:spacing w:line="360" w:lineRule="auto"/>
        <w:ind w:left="1063" w:leftChars="200" w:hanging="643" w:hangingChars="268"/>
        <w:rPr>
          <w:rFonts w:ascii="宋体" w:hAnsi="宋体" w:eastAsia="宋体" w:cs="宋体"/>
          <w:sz w:val="24"/>
          <w:lang w:val="zh-CN" w:eastAsia="zh-TW"/>
        </w:rPr>
      </w:pPr>
      <w:r>
        <w:rPr>
          <w:rFonts w:hint="eastAsia" w:ascii="宋体" w:hAnsi="宋体" w:eastAsia="宋体" w:cs="宋体"/>
          <w:sz w:val="24"/>
          <w:lang w:val="zh-CN" w:eastAsia="zh-TW"/>
        </w:rPr>
        <w:t>投标文件及密封外套须清楚标明投标人名称和地址并加盖单位公章。</w:t>
      </w:r>
    </w:p>
    <w:p w14:paraId="0224772C">
      <w:pPr>
        <w:numPr>
          <w:ilvl w:val="1"/>
          <w:numId w:val="29"/>
        </w:numPr>
        <w:tabs>
          <w:tab w:val="left" w:pos="1060"/>
          <w:tab w:val="clear" w:pos="907"/>
        </w:tabs>
        <w:spacing w:line="360" w:lineRule="auto"/>
        <w:ind w:left="1063" w:leftChars="200" w:hanging="643" w:hangingChars="268"/>
        <w:rPr>
          <w:rFonts w:ascii="宋体" w:hAnsi="宋体" w:eastAsia="宋体" w:cs="宋体"/>
          <w:sz w:val="24"/>
          <w:lang w:val="zh-CN" w:eastAsia="zh-TW"/>
        </w:rPr>
      </w:pPr>
      <w:r>
        <w:rPr>
          <w:rFonts w:hint="eastAsia" w:ascii="宋体" w:hAnsi="宋体" w:eastAsia="宋体" w:cs="宋体"/>
          <w:sz w:val="24"/>
          <w:lang w:val="zh-CN" w:eastAsia="zh-TW"/>
        </w:rPr>
        <w:t>清楚注明投标邀请函中指明的</w:t>
      </w:r>
      <w:r>
        <w:rPr>
          <w:rFonts w:hint="eastAsia" w:ascii="宋体" w:hAnsi="宋体" w:eastAsia="宋体" w:cs="宋体"/>
          <w:b/>
          <w:bCs/>
          <w:sz w:val="24"/>
          <w:u w:val="single"/>
          <w:lang w:val="zh-CN" w:eastAsia="zh-TW"/>
        </w:rPr>
        <w:t>项目名称、项目编号和“在(招标文件中规定的开标日期和时间)之前不得启封”</w:t>
      </w:r>
      <w:r>
        <w:rPr>
          <w:rFonts w:hint="eastAsia" w:ascii="宋体" w:hAnsi="宋体" w:eastAsia="宋体" w:cs="宋体"/>
          <w:sz w:val="24"/>
          <w:lang w:val="zh-CN" w:eastAsia="zh-TW"/>
        </w:rPr>
        <w:t xml:space="preserve">的字样。 </w:t>
      </w:r>
    </w:p>
    <w:p w14:paraId="77ACF988">
      <w:pPr>
        <w:numPr>
          <w:ilvl w:val="1"/>
          <w:numId w:val="29"/>
        </w:numPr>
        <w:tabs>
          <w:tab w:val="left" w:pos="1060"/>
          <w:tab w:val="clear" w:pos="907"/>
        </w:tabs>
        <w:spacing w:line="360" w:lineRule="auto"/>
        <w:ind w:left="1063" w:leftChars="200" w:hanging="643" w:hangingChars="268"/>
        <w:rPr>
          <w:rFonts w:ascii="宋体" w:hAnsi="宋体" w:eastAsia="宋体" w:cs="宋体"/>
          <w:sz w:val="24"/>
          <w:lang w:val="zh-CN" w:eastAsia="zh-TW"/>
        </w:rPr>
      </w:pPr>
      <w:r>
        <w:rPr>
          <w:rFonts w:hint="eastAsia" w:ascii="宋体" w:hAnsi="宋体" w:eastAsia="宋体" w:cs="宋体"/>
          <w:sz w:val="24"/>
          <w:lang w:val="zh-CN" w:eastAsia="zh-TW"/>
        </w:rPr>
        <w:t>如果投标人未按</w:t>
      </w:r>
      <w:r>
        <w:rPr>
          <w:rFonts w:hint="eastAsia" w:ascii="宋体" w:hAnsi="宋体" w:eastAsia="宋体" w:cs="宋体"/>
          <w:sz w:val="24"/>
        </w:rPr>
        <w:t>本须知17</w:t>
      </w:r>
      <w:r>
        <w:rPr>
          <w:rFonts w:hint="eastAsia" w:ascii="宋体" w:hAnsi="宋体" w:eastAsia="宋体" w:cs="宋体"/>
          <w:sz w:val="24"/>
          <w:lang w:val="zh-CN" w:eastAsia="zh-TW"/>
        </w:rPr>
        <w:t>款要求加写标记和密封，招标代理机构对误投或提前启封概不负责。</w:t>
      </w:r>
    </w:p>
    <w:p w14:paraId="7F427043">
      <w:pPr>
        <w:pStyle w:val="4"/>
        <w:numPr>
          <w:ilvl w:val="0"/>
          <w:numId w:val="10"/>
        </w:numPr>
        <w:ind w:hanging="5"/>
        <w:rPr>
          <w:sz w:val="28"/>
          <w:szCs w:val="28"/>
          <w:lang w:val="zh-CN"/>
        </w:rPr>
      </w:pPr>
      <w:bookmarkStart w:id="106" w:name="_Toc22077"/>
      <w:bookmarkStart w:id="107" w:name="_Toc2838"/>
      <w:bookmarkStart w:id="108" w:name="_Toc24028"/>
      <w:r>
        <w:rPr>
          <w:rFonts w:hint="eastAsia"/>
          <w:sz w:val="28"/>
          <w:szCs w:val="28"/>
          <w:lang w:val="zh-CN"/>
        </w:rPr>
        <w:t>投标截止</w:t>
      </w:r>
      <w:bookmarkEnd w:id="106"/>
      <w:bookmarkEnd w:id="107"/>
      <w:bookmarkEnd w:id="108"/>
    </w:p>
    <w:p w14:paraId="334CC783">
      <w:pPr>
        <w:numPr>
          <w:ilvl w:val="1"/>
          <w:numId w:val="30"/>
        </w:numPr>
        <w:tabs>
          <w:tab w:val="left" w:pos="1180"/>
          <w:tab w:val="clear" w:pos="907"/>
        </w:tabs>
        <w:spacing w:line="360" w:lineRule="auto"/>
        <w:ind w:left="1147" w:hanging="727"/>
        <w:rPr>
          <w:rFonts w:ascii="宋体" w:hAnsi="宋体" w:eastAsia="宋体" w:cs="宋体"/>
          <w:sz w:val="24"/>
          <w:lang w:val="zh-CN" w:eastAsia="zh-TW"/>
        </w:rPr>
      </w:pPr>
      <w:r>
        <w:rPr>
          <w:rFonts w:hint="eastAsia" w:ascii="宋体" w:hAnsi="宋体" w:cs="宋体"/>
          <w:sz w:val="24"/>
          <w:lang w:val="zh-CN" w:eastAsia="zh-TW"/>
        </w:rPr>
        <w:t>投标人应在不迟于</w:t>
      </w:r>
      <w:r>
        <w:rPr>
          <w:rFonts w:hint="eastAsia" w:ascii="宋体" w:hAnsi="宋体" w:cs="宋体"/>
          <w:b/>
          <w:bCs/>
          <w:sz w:val="24"/>
          <w:lang w:val="zh-CN" w:eastAsia="zh-TW"/>
        </w:rPr>
        <w:t>投标邀请函</w:t>
      </w:r>
      <w:r>
        <w:rPr>
          <w:rFonts w:hint="eastAsia" w:ascii="宋体" w:hAnsi="宋体" w:cs="宋体"/>
          <w:sz w:val="24"/>
          <w:lang w:val="zh-CN" w:eastAsia="zh-TW"/>
        </w:rPr>
        <w:t>中规定的截止日期和时间将投标文件递交至招标代理机构，招标代理机构对逾期递交的投标文件不予接收。递交地点应是</w:t>
      </w:r>
      <w:r>
        <w:rPr>
          <w:rFonts w:hint="eastAsia" w:ascii="宋体" w:hAnsi="宋体" w:cs="宋体"/>
          <w:b/>
          <w:bCs/>
          <w:sz w:val="24"/>
          <w:lang w:val="zh-CN" w:eastAsia="zh-TW"/>
        </w:rPr>
        <w:t>投标邀请函</w:t>
      </w:r>
      <w:r>
        <w:rPr>
          <w:rFonts w:hint="eastAsia" w:ascii="宋体" w:hAnsi="宋体" w:cs="宋体"/>
          <w:sz w:val="24"/>
          <w:lang w:val="zh-CN" w:eastAsia="zh-TW"/>
        </w:rPr>
        <w:t>中指明的地址</w:t>
      </w:r>
      <w:r>
        <w:rPr>
          <w:rFonts w:hint="eastAsia" w:ascii="宋体" w:hAnsi="宋体" w:eastAsia="宋体" w:cs="宋体"/>
          <w:sz w:val="24"/>
          <w:lang w:val="zh-CN" w:eastAsia="zh-TW"/>
        </w:rPr>
        <w:t>。</w:t>
      </w:r>
    </w:p>
    <w:p w14:paraId="7F695ECD">
      <w:pPr>
        <w:numPr>
          <w:ilvl w:val="1"/>
          <w:numId w:val="30"/>
        </w:numPr>
        <w:tabs>
          <w:tab w:val="left" w:pos="1180"/>
          <w:tab w:val="clear" w:pos="907"/>
        </w:tabs>
        <w:spacing w:line="360" w:lineRule="auto"/>
        <w:ind w:left="1147" w:hanging="727"/>
        <w:rPr>
          <w:rFonts w:ascii="宋体" w:hAnsi="宋体" w:eastAsia="宋体" w:cs="宋体"/>
          <w:sz w:val="24"/>
          <w:lang w:val="zh-CN" w:eastAsia="zh-TW"/>
        </w:rPr>
      </w:pPr>
      <w:r>
        <w:rPr>
          <w:rFonts w:hint="eastAsia" w:ascii="宋体" w:hAnsi="宋体" w:cs="宋体"/>
          <w:sz w:val="24"/>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r>
        <w:rPr>
          <w:rFonts w:hint="eastAsia" w:ascii="宋体" w:hAnsi="宋体" w:eastAsia="宋体" w:cs="宋体"/>
          <w:sz w:val="24"/>
          <w:lang w:val="zh-CN" w:eastAsia="zh-TW"/>
        </w:rPr>
        <w:t>。</w:t>
      </w:r>
    </w:p>
    <w:p w14:paraId="3257019F">
      <w:pPr>
        <w:numPr>
          <w:ilvl w:val="1"/>
          <w:numId w:val="30"/>
        </w:numPr>
        <w:tabs>
          <w:tab w:val="left" w:pos="1180"/>
          <w:tab w:val="clear" w:pos="907"/>
        </w:tabs>
        <w:spacing w:line="360" w:lineRule="auto"/>
        <w:ind w:left="1147" w:hanging="727"/>
        <w:rPr>
          <w:rFonts w:ascii="宋体" w:hAnsi="宋体" w:eastAsia="宋体" w:cs="宋体"/>
          <w:sz w:val="24"/>
          <w:lang w:val="zh-CN" w:eastAsia="zh-TW"/>
        </w:rPr>
      </w:pPr>
      <w:r>
        <w:rPr>
          <w:rFonts w:hint="eastAsia" w:ascii="宋体" w:hAnsi="宋体" w:cs="宋体"/>
          <w:sz w:val="24"/>
          <w:lang w:val="zh-CN" w:eastAsia="zh-TW"/>
        </w:rPr>
        <w:t>招标代理机构将拒绝接收在招标文件规定的投标截止时间之后收到的任何投标文件</w:t>
      </w:r>
      <w:r>
        <w:rPr>
          <w:rFonts w:hint="eastAsia" w:ascii="宋体" w:hAnsi="宋体" w:eastAsia="宋体" w:cs="宋体"/>
          <w:sz w:val="24"/>
          <w:lang w:val="zh-CN" w:eastAsia="zh-TW"/>
        </w:rPr>
        <w:t>。</w:t>
      </w:r>
    </w:p>
    <w:p w14:paraId="478AD2E8">
      <w:pPr>
        <w:pStyle w:val="4"/>
        <w:numPr>
          <w:ilvl w:val="0"/>
          <w:numId w:val="10"/>
        </w:numPr>
        <w:ind w:hanging="5"/>
        <w:rPr>
          <w:sz w:val="28"/>
          <w:szCs w:val="28"/>
          <w:lang w:val="zh-CN"/>
        </w:rPr>
      </w:pPr>
      <w:bookmarkStart w:id="109" w:name="_Toc1816"/>
      <w:bookmarkStart w:id="110" w:name="_Toc15062"/>
      <w:bookmarkStart w:id="111" w:name="_Toc5414"/>
      <w:r>
        <w:rPr>
          <w:rFonts w:hint="eastAsia"/>
          <w:sz w:val="28"/>
          <w:szCs w:val="28"/>
          <w:lang w:val="zh-CN"/>
        </w:rPr>
        <w:t>投标文件的修改和撤回</w:t>
      </w:r>
      <w:bookmarkEnd w:id="109"/>
      <w:bookmarkEnd w:id="110"/>
      <w:bookmarkEnd w:id="111"/>
    </w:p>
    <w:p w14:paraId="3230E4F4">
      <w:pPr>
        <w:numPr>
          <w:ilvl w:val="1"/>
          <w:numId w:val="31"/>
        </w:numPr>
        <w:tabs>
          <w:tab w:val="left" w:pos="1180"/>
          <w:tab w:val="clear" w:pos="907"/>
        </w:tabs>
        <w:spacing w:line="360" w:lineRule="auto"/>
        <w:ind w:left="1127" w:hanging="707"/>
        <w:rPr>
          <w:rFonts w:ascii="宋体" w:hAnsi="宋体" w:eastAsia="宋体" w:cs="Times New Roman"/>
          <w:sz w:val="24"/>
          <w:lang w:val="zh-CN" w:eastAsia="zh-TW"/>
        </w:rPr>
      </w:pPr>
      <w:r>
        <w:rPr>
          <w:rFonts w:hint="eastAsia" w:ascii="宋体" w:hAnsi="宋体" w:eastAsia="宋体" w:cs="Times New Roman"/>
          <w:sz w:val="24"/>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0F525091">
      <w:pPr>
        <w:numPr>
          <w:ilvl w:val="1"/>
          <w:numId w:val="31"/>
        </w:numPr>
        <w:tabs>
          <w:tab w:val="left" w:pos="1180"/>
          <w:tab w:val="clear" w:pos="907"/>
        </w:tabs>
        <w:spacing w:line="360" w:lineRule="auto"/>
        <w:ind w:left="1127" w:hanging="707"/>
        <w:rPr>
          <w:rFonts w:ascii="宋体" w:hAnsi="宋体" w:eastAsia="宋体" w:cs="Times New Roman"/>
          <w:sz w:val="24"/>
          <w:lang w:val="zh-CN" w:eastAsia="zh-TW"/>
        </w:rPr>
      </w:pPr>
      <w:r>
        <w:rPr>
          <w:rFonts w:hint="eastAsia" w:ascii="宋体" w:hAnsi="宋体" w:eastAsia="宋体" w:cs="Times New Roman"/>
          <w:sz w:val="24"/>
          <w:lang w:val="zh-CN" w:eastAsia="zh-TW"/>
        </w:rPr>
        <w:t>在投标截止时间之后，投标人不得对其投标文件做任何修改。</w:t>
      </w:r>
    </w:p>
    <w:p w14:paraId="1A1D5AB6">
      <w:pPr>
        <w:numPr>
          <w:ilvl w:val="1"/>
          <w:numId w:val="31"/>
        </w:numPr>
        <w:tabs>
          <w:tab w:val="left" w:pos="1180"/>
          <w:tab w:val="clear" w:pos="907"/>
        </w:tabs>
        <w:spacing w:line="360" w:lineRule="auto"/>
        <w:ind w:left="1127" w:hanging="707"/>
        <w:rPr>
          <w:rFonts w:ascii="宋体" w:hAnsi="宋体" w:eastAsia="宋体" w:cs="Times New Roman"/>
          <w:sz w:val="24"/>
          <w:lang w:val="zh-CN" w:eastAsia="zh-TW"/>
        </w:rPr>
      </w:pPr>
      <w:r>
        <w:rPr>
          <w:rFonts w:hint="eastAsia" w:ascii="宋体" w:hAnsi="宋体" w:eastAsia="宋体" w:cs="Times New Roman"/>
          <w:sz w:val="24"/>
          <w:lang w:val="zh-CN" w:eastAsia="zh-TW"/>
        </w:rPr>
        <w:t>从投标截止期至招标文件规定的投标有效期期满的这段时间内，投标人不得撤回其投标。</w:t>
      </w:r>
    </w:p>
    <w:p w14:paraId="11F14C21">
      <w:pPr>
        <w:numPr>
          <w:ilvl w:val="1"/>
          <w:numId w:val="31"/>
        </w:numPr>
        <w:tabs>
          <w:tab w:val="left" w:pos="1180"/>
          <w:tab w:val="clear" w:pos="907"/>
        </w:tabs>
        <w:spacing w:line="360" w:lineRule="auto"/>
        <w:ind w:left="1127" w:hanging="707"/>
        <w:rPr>
          <w:rFonts w:ascii="宋体" w:hAnsi="宋体" w:eastAsia="宋体" w:cs="宋体"/>
          <w:sz w:val="24"/>
          <w:lang w:val="zh-CN" w:eastAsia="zh-TW"/>
        </w:rPr>
      </w:pPr>
      <w:r>
        <w:rPr>
          <w:rFonts w:hint="eastAsia" w:ascii="宋体" w:hAnsi="宋体" w:eastAsia="宋体" w:cs="Times New Roman"/>
          <w:sz w:val="24"/>
          <w:lang w:val="zh-CN" w:eastAsia="zh-TW"/>
        </w:rPr>
        <w:t>除非招标文件另有</w:t>
      </w:r>
      <w:r>
        <w:rPr>
          <w:rFonts w:hint="eastAsia" w:ascii="宋体" w:hAnsi="宋体" w:eastAsia="宋体" w:cs="宋体"/>
          <w:sz w:val="24"/>
          <w:lang w:val="zh-CN" w:eastAsia="zh-TW"/>
        </w:rPr>
        <w:t>规定或说明，投标文件一律不予退还。</w:t>
      </w:r>
    </w:p>
    <w:p w14:paraId="56F096B5">
      <w:pPr>
        <w:pStyle w:val="3"/>
        <w:numPr>
          <w:ilvl w:val="0"/>
          <w:numId w:val="9"/>
        </w:numPr>
        <w:jc w:val="center"/>
      </w:pPr>
      <w:bookmarkStart w:id="112" w:name="_Toc31811"/>
      <w:bookmarkStart w:id="113" w:name="_Toc21950"/>
      <w:bookmarkStart w:id="114" w:name="_Toc17532"/>
      <w:bookmarkStart w:id="115" w:name="_Toc423021945"/>
      <w:r>
        <w:t>开标</w:t>
      </w:r>
      <w:r>
        <w:rPr>
          <w:rFonts w:hint="eastAsia"/>
        </w:rPr>
        <w:t>与</w:t>
      </w:r>
      <w:r>
        <w:t>评标</w:t>
      </w:r>
      <w:bookmarkEnd w:id="112"/>
      <w:bookmarkEnd w:id="113"/>
      <w:bookmarkEnd w:id="114"/>
      <w:bookmarkEnd w:id="115"/>
    </w:p>
    <w:p w14:paraId="4FF6B4B3">
      <w:pPr>
        <w:pStyle w:val="4"/>
        <w:numPr>
          <w:ilvl w:val="0"/>
          <w:numId w:val="10"/>
        </w:numPr>
        <w:ind w:hanging="5"/>
        <w:rPr>
          <w:sz w:val="28"/>
          <w:szCs w:val="28"/>
          <w:lang w:val="zh-CN"/>
        </w:rPr>
      </w:pPr>
      <w:bookmarkStart w:id="116" w:name="_Toc6040"/>
      <w:bookmarkStart w:id="117" w:name="_Toc27936"/>
      <w:bookmarkStart w:id="118" w:name="_Toc19097"/>
      <w:r>
        <w:rPr>
          <w:rFonts w:hint="eastAsia"/>
          <w:sz w:val="28"/>
          <w:szCs w:val="28"/>
          <w:lang w:val="zh-CN"/>
        </w:rPr>
        <w:t>开标</w:t>
      </w:r>
      <w:bookmarkEnd w:id="116"/>
      <w:bookmarkEnd w:id="117"/>
      <w:bookmarkEnd w:id="118"/>
    </w:p>
    <w:p w14:paraId="3AE04492">
      <w:pPr>
        <w:numPr>
          <w:ilvl w:val="1"/>
          <w:numId w:val="32"/>
        </w:numPr>
        <w:tabs>
          <w:tab w:val="left" w:pos="106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eastAsia="zh-TW"/>
        </w:rPr>
        <w:t>招标代理机构按</w:t>
      </w:r>
      <w:r>
        <w:rPr>
          <w:rFonts w:hint="eastAsia" w:ascii="黑体" w:hAnsi="黑体" w:eastAsia="黑体" w:cs="黑体"/>
          <w:b/>
          <w:bCs/>
          <w:sz w:val="24"/>
          <w:lang w:val="zh-CN" w:eastAsia="zh-TW"/>
        </w:rPr>
        <w:t>投标邀请函</w:t>
      </w:r>
      <w:r>
        <w:rPr>
          <w:rFonts w:hint="eastAsia" w:ascii="宋体" w:hAnsi="宋体" w:eastAsia="宋体" w:cs="宋体"/>
          <w:sz w:val="24"/>
          <w:lang w:val="zh-CN" w:eastAsia="zh-TW"/>
        </w:rPr>
        <w:t>中规定的日期、时间和地点组织公开开标。</w:t>
      </w:r>
    </w:p>
    <w:p w14:paraId="1BD3D0E4">
      <w:pPr>
        <w:numPr>
          <w:ilvl w:val="1"/>
          <w:numId w:val="32"/>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cs="宋体"/>
          <w:sz w:val="24"/>
          <w:lang w:val="zh-CN"/>
        </w:rPr>
        <w:t>开标会由</w:t>
      </w:r>
      <w:r>
        <w:rPr>
          <w:rFonts w:hint="eastAsia" w:ascii="宋体" w:hAnsi="宋体" w:cs="宋体"/>
          <w:sz w:val="24"/>
          <w:lang w:val="zh-CN" w:eastAsia="zh-TW"/>
        </w:rPr>
        <w:t>招标</w:t>
      </w:r>
      <w:r>
        <w:rPr>
          <w:rFonts w:hint="eastAsia" w:ascii="宋体" w:hAnsi="宋体" w:cs="宋体"/>
          <w:sz w:val="24"/>
          <w:lang w:val="zh-CN"/>
        </w:rPr>
        <w:t>代理机构主持，邀请投标人参加</w:t>
      </w:r>
      <w:r>
        <w:rPr>
          <w:rFonts w:hint="eastAsia" w:ascii="宋体" w:hAnsi="宋体" w:eastAsia="宋体" w:cs="宋体"/>
          <w:sz w:val="24"/>
          <w:lang w:val="zh-CN" w:eastAsia="zh-TW"/>
        </w:rPr>
        <w:t>。</w:t>
      </w:r>
    </w:p>
    <w:p w14:paraId="4E0FE0CB">
      <w:pPr>
        <w:numPr>
          <w:ilvl w:val="1"/>
          <w:numId w:val="32"/>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cs="宋体"/>
          <w:sz w:val="24"/>
          <w:lang w:val="zh-CN"/>
        </w:rPr>
        <w:t>开标时，由投标人或者其推选的代表检查投标文件的密封情况；经确认无误后，由</w:t>
      </w:r>
      <w:r>
        <w:rPr>
          <w:rFonts w:hint="eastAsia" w:ascii="宋体" w:hAnsi="宋体" w:cs="宋体"/>
          <w:sz w:val="24"/>
          <w:lang w:val="zh-CN" w:eastAsia="zh-TW"/>
        </w:rPr>
        <w:t>招标</w:t>
      </w:r>
      <w:r>
        <w:rPr>
          <w:rFonts w:hint="eastAsia" w:ascii="宋体" w:hAnsi="宋体" w:cs="宋体"/>
          <w:sz w:val="24"/>
          <w:lang w:val="zh-CN"/>
        </w:rPr>
        <w:t>人或者</w:t>
      </w:r>
      <w:r>
        <w:rPr>
          <w:rFonts w:hint="eastAsia" w:ascii="宋体" w:hAnsi="宋体" w:cs="宋体"/>
          <w:sz w:val="24"/>
          <w:lang w:val="zh-CN" w:eastAsia="zh-TW"/>
        </w:rPr>
        <w:t>招标</w:t>
      </w:r>
      <w:r>
        <w:rPr>
          <w:rFonts w:hint="eastAsia" w:ascii="宋体" w:hAnsi="宋体" w:cs="宋体"/>
          <w:sz w:val="24"/>
          <w:lang w:val="zh-CN"/>
        </w:rPr>
        <w:t>代理机构工作人员当众拆封，宣布投标人名称、投标价格和招标文件规定的需要宣布的其他内容</w:t>
      </w:r>
      <w:r>
        <w:rPr>
          <w:rFonts w:hint="eastAsia" w:ascii="宋体" w:hAnsi="宋体" w:eastAsia="宋体" w:cs="宋体"/>
          <w:sz w:val="24"/>
          <w:lang w:val="zh-CN" w:eastAsia="zh-TW"/>
        </w:rPr>
        <w:t>。</w:t>
      </w:r>
    </w:p>
    <w:p w14:paraId="082577E1">
      <w:pPr>
        <w:numPr>
          <w:ilvl w:val="1"/>
          <w:numId w:val="32"/>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cs="宋体"/>
          <w:sz w:val="24"/>
          <w:lang w:val="zh-CN"/>
        </w:rPr>
        <w:t>开标过程应当由</w:t>
      </w:r>
      <w:r>
        <w:rPr>
          <w:rFonts w:hint="eastAsia" w:ascii="宋体" w:hAnsi="宋体" w:cs="宋体"/>
          <w:sz w:val="24"/>
          <w:lang w:val="zh-CN" w:eastAsia="zh-TW"/>
        </w:rPr>
        <w:t>招标</w:t>
      </w:r>
      <w:r>
        <w:rPr>
          <w:rFonts w:hint="eastAsia" w:ascii="宋体" w:hAnsi="宋体" w:cs="宋体"/>
          <w:sz w:val="24"/>
          <w:lang w:val="zh-CN"/>
        </w:rPr>
        <w:t>代理机构负责记录，由参加开标的各投标人代表和相关工作人员签字确认后随招标文件一并存档</w:t>
      </w:r>
      <w:r>
        <w:rPr>
          <w:rFonts w:hint="eastAsia" w:ascii="宋体" w:hAnsi="宋体" w:eastAsia="宋体" w:cs="宋体"/>
          <w:sz w:val="24"/>
          <w:lang w:val="zh-CN" w:eastAsia="zh-TW"/>
        </w:rPr>
        <w:t>。</w:t>
      </w:r>
    </w:p>
    <w:p w14:paraId="4A9D2730">
      <w:pPr>
        <w:numPr>
          <w:ilvl w:val="1"/>
          <w:numId w:val="32"/>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cs="宋体"/>
          <w:sz w:val="24"/>
          <w:lang w:val="zh-CN"/>
        </w:rPr>
        <w:t>投标人代表对开标过程和开标记录有疑义，以及认为</w:t>
      </w:r>
      <w:r>
        <w:rPr>
          <w:rFonts w:hint="eastAsia" w:ascii="宋体" w:hAnsi="宋体" w:cs="宋体"/>
          <w:sz w:val="24"/>
          <w:lang w:val="zh-CN" w:eastAsia="zh-TW"/>
        </w:rPr>
        <w:t>招标</w:t>
      </w:r>
      <w:r>
        <w:rPr>
          <w:rFonts w:hint="eastAsia" w:ascii="宋体" w:hAnsi="宋体" w:cs="宋体"/>
          <w:sz w:val="24"/>
          <w:lang w:val="zh-CN"/>
        </w:rPr>
        <w:t>人、</w:t>
      </w:r>
      <w:r>
        <w:rPr>
          <w:rFonts w:hint="eastAsia" w:ascii="宋体" w:hAnsi="宋体" w:cs="宋体"/>
          <w:sz w:val="24"/>
          <w:lang w:val="zh-CN" w:eastAsia="zh-TW"/>
        </w:rPr>
        <w:t>招标</w:t>
      </w:r>
      <w:r>
        <w:rPr>
          <w:rFonts w:hint="eastAsia" w:ascii="宋体" w:hAnsi="宋体" w:cs="宋体"/>
          <w:sz w:val="24"/>
          <w:lang w:val="zh-CN"/>
        </w:rPr>
        <w:t>代理机构相关工作人员有需要回避的情形的，应当场提出询问或者回避申请。</w:t>
      </w:r>
      <w:r>
        <w:rPr>
          <w:rFonts w:hint="eastAsia" w:ascii="宋体" w:hAnsi="宋体" w:cs="宋体"/>
          <w:sz w:val="24"/>
          <w:lang w:val="zh-CN" w:eastAsia="zh-TW"/>
        </w:rPr>
        <w:t>招标</w:t>
      </w:r>
      <w:r>
        <w:rPr>
          <w:rFonts w:hint="eastAsia" w:ascii="宋体" w:hAnsi="宋体" w:cs="宋体"/>
          <w:sz w:val="24"/>
          <w:lang w:val="zh-CN"/>
        </w:rPr>
        <w:t>人、</w:t>
      </w:r>
      <w:r>
        <w:rPr>
          <w:rFonts w:hint="eastAsia" w:ascii="宋体" w:hAnsi="宋体" w:cs="宋体"/>
          <w:sz w:val="24"/>
          <w:lang w:val="zh-CN" w:eastAsia="zh-TW"/>
        </w:rPr>
        <w:t>招标</w:t>
      </w:r>
      <w:r>
        <w:rPr>
          <w:rFonts w:hint="eastAsia" w:ascii="宋体" w:hAnsi="宋体" w:cs="宋体"/>
          <w:sz w:val="24"/>
          <w:lang w:val="zh-CN"/>
        </w:rPr>
        <w:t>代理机构对投标人代表提出的询问或者回避申请应当及时处理。</w:t>
      </w:r>
      <w:r>
        <w:rPr>
          <w:rFonts w:hint="eastAsia" w:ascii="宋体" w:hAnsi="宋体" w:cs="宋体"/>
          <w:b/>
          <w:bCs/>
          <w:sz w:val="24"/>
          <w:lang w:val="zh-CN"/>
        </w:rPr>
        <w:t>投标人未参加开标的，视同认可开标结果</w:t>
      </w:r>
      <w:r>
        <w:rPr>
          <w:rFonts w:hint="eastAsia" w:ascii="宋体" w:hAnsi="宋体" w:eastAsia="宋体" w:cs="宋体"/>
          <w:sz w:val="24"/>
          <w:lang w:val="zh-CN" w:eastAsia="zh-TW"/>
        </w:rPr>
        <w:t>。</w:t>
      </w:r>
    </w:p>
    <w:p w14:paraId="1AD72277">
      <w:pPr>
        <w:numPr>
          <w:ilvl w:val="1"/>
          <w:numId w:val="32"/>
        </w:numPr>
        <w:tabs>
          <w:tab w:val="left" w:pos="1060"/>
          <w:tab w:val="clear" w:pos="907"/>
        </w:tabs>
        <w:spacing w:line="360" w:lineRule="auto"/>
        <w:ind w:left="1067" w:hanging="647"/>
        <w:rPr>
          <w:rFonts w:ascii="宋体" w:hAnsi="宋体" w:eastAsia="宋体" w:cs="宋体"/>
          <w:bCs/>
          <w:sz w:val="24"/>
          <w:lang w:val="zh-CN"/>
        </w:rPr>
      </w:pPr>
      <w:r>
        <w:rPr>
          <w:rFonts w:hint="eastAsia" w:ascii="宋体" w:hAnsi="宋体" w:cs="宋体"/>
          <w:bCs/>
          <w:sz w:val="24"/>
          <w:lang w:val="zh-CN"/>
        </w:rPr>
        <w:t>在招标文件要求提交投标文件截止时间前收到的所有投标文件不足三家时，不予以拆封、宣读，将作流标处理。投标人递交的投标文件原封退还。</w:t>
      </w:r>
    </w:p>
    <w:p w14:paraId="7FD0504B">
      <w:pPr>
        <w:numPr>
          <w:ilvl w:val="1"/>
          <w:numId w:val="32"/>
        </w:numPr>
        <w:tabs>
          <w:tab w:val="left" w:pos="1060"/>
          <w:tab w:val="clear" w:pos="907"/>
        </w:tabs>
        <w:spacing w:line="360" w:lineRule="auto"/>
        <w:ind w:left="1067" w:hanging="647"/>
        <w:rPr>
          <w:rFonts w:ascii="宋体" w:hAnsi="宋体" w:eastAsia="宋体" w:cs="宋体"/>
          <w:bCs/>
          <w:sz w:val="24"/>
          <w:lang w:val="zh-CN"/>
        </w:rPr>
      </w:pPr>
      <w:r>
        <w:rPr>
          <w:rFonts w:hint="eastAsia" w:ascii="宋体" w:hAnsi="宋体" w:cs="宋体"/>
          <w:bCs/>
          <w:sz w:val="24"/>
          <w:lang w:val="zh-CN"/>
        </w:rPr>
        <w:t>投标文件送交评标委员会评审</w:t>
      </w:r>
      <w:r>
        <w:rPr>
          <w:rFonts w:hint="eastAsia" w:ascii="宋体" w:hAnsi="宋体" w:eastAsia="宋体" w:cs="宋体"/>
          <w:bCs/>
          <w:sz w:val="24"/>
          <w:lang w:val="zh-CN"/>
        </w:rPr>
        <w:t>。</w:t>
      </w:r>
    </w:p>
    <w:p w14:paraId="0F332344">
      <w:pPr>
        <w:pStyle w:val="4"/>
        <w:numPr>
          <w:ilvl w:val="0"/>
          <w:numId w:val="10"/>
        </w:numPr>
        <w:ind w:hanging="5"/>
        <w:rPr>
          <w:rFonts w:ascii="宋体" w:hAnsi="宋体" w:eastAsia="宋体" w:cs="宋体"/>
          <w:sz w:val="24"/>
          <w:lang w:val="zh-CN" w:eastAsia="zh-TW"/>
        </w:rPr>
      </w:pPr>
      <w:bookmarkStart w:id="119" w:name="_Toc31826"/>
      <w:bookmarkStart w:id="120" w:name="_Toc143"/>
      <w:bookmarkStart w:id="121" w:name="_Toc24031"/>
      <w:r>
        <w:rPr>
          <w:rFonts w:hint="eastAsia"/>
          <w:sz w:val="28"/>
          <w:szCs w:val="28"/>
          <w:lang w:val="zh-CN"/>
        </w:rPr>
        <w:t>评标</w:t>
      </w:r>
      <w:bookmarkEnd w:id="119"/>
      <w:bookmarkEnd w:id="120"/>
      <w:bookmarkEnd w:id="121"/>
    </w:p>
    <w:p w14:paraId="7AE7B73E">
      <w:pPr>
        <w:numPr>
          <w:ilvl w:val="1"/>
          <w:numId w:val="33"/>
        </w:numPr>
        <w:tabs>
          <w:tab w:val="left" w:pos="1060"/>
          <w:tab w:val="clear" w:pos="907"/>
        </w:tabs>
        <w:spacing w:line="360" w:lineRule="auto"/>
        <w:ind w:left="1067" w:hanging="647"/>
        <w:jc w:val="left"/>
        <w:rPr>
          <w:rFonts w:ascii="宋体" w:hAnsi="宋体" w:cs="宋体"/>
          <w:sz w:val="24"/>
          <w:lang w:val="zh-CN"/>
        </w:rPr>
      </w:pPr>
      <w:r>
        <w:rPr>
          <w:rFonts w:hint="eastAsia" w:ascii="宋体" w:hAnsi="宋体" w:eastAsia="宋体" w:cs="宋体"/>
          <w:sz w:val="24"/>
          <w:lang w:val="zh-CN" w:eastAsia="zh-TW"/>
        </w:rPr>
        <w:t>本</w:t>
      </w:r>
      <w:r>
        <w:rPr>
          <w:rFonts w:hint="eastAsia" w:ascii="宋体" w:hAnsi="宋体" w:cs="宋体"/>
          <w:sz w:val="24"/>
          <w:lang w:val="zh-CN"/>
        </w:rPr>
        <w:t>项目评标由依法组建的评标委员会负责。评标委员会成员按照</w:t>
      </w:r>
      <w:r>
        <w:rPr>
          <w:rFonts w:hint="eastAsia" w:ascii="黑体" w:hAnsi="黑体" w:eastAsia="黑体" w:cs="黑体"/>
          <w:b/>
          <w:bCs/>
          <w:sz w:val="24"/>
          <w:lang w:val="zh-CN"/>
        </w:rPr>
        <w:t>投标人须知前附表</w:t>
      </w:r>
      <w:r>
        <w:rPr>
          <w:rFonts w:hint="eastAsia" w:ascii="宋体" w:hAnsi="宋体" w:cs="宋体"/>
          <w:sz w:val="24"/>
          <w:lang w:val="zh-CN"/>
        </w:rPr>
        <w:t>的规定确定。</w:t>
      </w:r>
    </w:p>
    <w:p w14:paraId="3836BEAC">
      <w:pPr>
        <w:numPr>
          <w:ilvl w:val="1"/>
          <w:numId w:val="33"/>
        </w:numPr>
        <w:tabs>
          <w:tab w:val="left" w:pos="1060"/>
          <w:tab w:val="clear" w:pos="907"/>
        </w:tabs>
        <w:spacing w:line="360" w:lineRule="auto"/>
        <w:ind w:left="1067" w:hanging="647"/>
        <w:jc w:val="left"/>
        <w:rPr>
          <w:rFonts w:ascii="宋体" w:hAnsi="宋体" w:cs="宋体"/>
          <w:sz w:val="24"/>
          <w:lang w:val="zh-CN"/>
        </w:rPr>
      </w:pPr>
      <w:r>
        <w:rPr>
          <w:rFonts w:hint="eastAsia" w:ascii="宋体" w:hAnsi="宋体" w:eastAsia="宋体" w:cs="宋体"/>
          <w:sz w:val="24"/>
          <w:lang w:val="zh-CN" w:eastAsia="zh-TW"/>
        </w:rPr>
        <w:t>评标</w:t>
      </w:r>
      <w:r>
        <w:rPr>
          <w:rFonts w:hint="eastAsia" w:ascii="宋体" w:hAnsi="宋体" w:cs="宋体"/>
          <w:sz w:val="24"/>
          <w:lang w:val="zh-CN"/>
        </w:rPr>
        <w:t>委员会名单在评审结果确定前严格保密。评标委员会将按照</w:t>
      </w:r>
      <w:r>
        <w:rPr>
          <w:rFonts w:hint="eastAsia" w:ascii="黑体" w:hAnsi="黑体" w:eastAsia="黑体" w:cs="黑体"/>
          <w:b/>
          <w:bCs/>
          <w:sz w:val="24"/>
          <w:lang w:val="zh-CN"/>
        </w:rPr>
        <w:t>投标人须知前附表</w:t>
      </w:r>
      <w:r>
        <w:rPr>
          <w:rFonts w:hint="eastAsia" w:ascii="宋体" w:hAnsi="宋体" w:cs="宋体"/>
          <w:sz w:val="24"/>
          <w:lang w:val="zh-CN"/>
        </w:rPr>
        <w:t>中确定的评标方法和本招标文件第三章规定的评分体系与标准进行评标。</w:t>
      </w:r>
    </w:p>
    <w:p w14:paraId="1B0A7C5A">
      <w:pPr>
        <w:numPr>
          <w:ilvl w:val="1"/>
          <w:numId w:val="33"/>
        </w:numPr>
        <w:tabs>
          <w:tab w:val="left" w:pos="1060"/>
          <w:tab w:val="clear" w:pos="907"/>
        </w:tabs>
        <w:spacing w:line="360" w:lineRule="auto"/>
        <w:ind w:left="1067" w:hanging="647"/>
        <w:jc w:val="left"/>
        <w:rPr>
          <w:rFonts w:ascii="宋体" w:hAnsi="宋体" w:eastAsia="宋体" w:cs="宋体"/>
          <w:sz w:val="24"/>
          <w:lang w:val="zh-CN"/>
        </w:rPr>
      </w:pPr>
      <w:r>
        <w:rPr>
          <w:rFonts w:hint="eastAsia" w:ascii="宋体" w:hAnsi="宋体" w:eastAsia="宋体" w:cs="宋体"/>
          <w:sz w:val="24"/>
          <w:lang w:val="zh-CN"/>
        </w:rPr>
        <w:t>评标细则：详见本招标文件“第三章评分体系与标准”。</w:t>
      </w:r>
    </w:p>
    <w:p w14:paraId="4C45FA3D">
      <w:pPr>
        <w:pStyle w:val="4"/>
        <w:numPr>
          <w:ilvl w:val="0"/>
          <w:numId w:val="10"/>
        </w:numPr>
        <w:ind w:hanging="5"/>
        <w:rPr>
          <w:sz w:val="28"/>
          <w:szCs w:val="28"/>
          <w:lang w:val="zh-CN"/>
        </w:rPr>
      </w:pPr>
      <w:bookmarkStart w:id="122" w:name="_Toc17369"/>
      <w:bookmarkStart w:id="123" w:name="_Toc25445"/>
      <w:bookmarkStart w:id="124" w:name="_Toc24123"/>
      <w:r>
        <w:rPr>
          <w:rFonts w:hint="eastAsia"/>
          <w:sz w:val="28"/>
          <w:szCs w:val="28"/>
          <w:lang w:val="zh-CN"/>
        </w:rPr>
        <w:t>定标原则和授标</w:t>
      </w:r>
      <w:bookmarkEnd w:id="122"/>
      <w:bookmarkEnd w:id="123"/>
      <w:bookmarkEnd w:id="124"/>
    </w:p>
    <w:p w14:paraId="50783399">
      <w:pPr>
        <w:numPr>
          <w:ilvl w:val="1"/>
          <w:numId w:val="34"/>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评标委员会按照招标文件确定的评标方法、步骤、标准，对投标文件进行评审，提出书面评标报告。</w:t>
      </w:r>
    </w:p>
    <w:p w14:paraId="0FC554C9">
      <w:pPr>
        <w:numPr>
          <w:ilvl w:val="1"/>
          <w:numId w:val="34"/>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采用最低评标价法的，</w:t>
      </w:r>
      <w:r>
        <w:rPr>
          <w:rFonts w:hint="eastAsia" w:ascii="宋体" w:hAnsi="宋体" w:eastAsia="宋体" w:cs="宋体"/>
          <w:sz w:val="24"/>
          <w:lang w:val="zh-CN"/>
        </w:rPr>
        <w:t>除</w:t>
      </w:r>
      <w:r>
        <w:rPr>
          <w:rFonts w:hint="eastAsia" w:ascii="黑体" w:hAnsi="黑体" w:eastAsia="黑体" w:cs="黑体"/>
          <w:b/>
          <w:bCs/>
          <w:sz w:val="24"/>
          <w:lang w:val="zh-CN"/>
        </w:rPr>
        <w:t>投标人须知前附表</w:t>
      </w:r>
      <w:r>
        <w:rPr>
          <w:rFonts w:hint="eastAsia" w:ascii="黑体" w:hAnsi="黑体" w:eastAsia="黑体" w:cs="黑体"/>
          <w:bCs/>
          <w:sz w:val="24"/>
          <w:lang w:val="zh-CN"/>
        </w:rPr>
        <w:t>另有规定外，</w:t>
      </w:r>
      <w:r>
        <w:rPr>
          <w:rFonts w:hint="eastAsia" w:ascii="宋体" w:hAnsi="宋体" w:eastAsia="宋体" w:cs="宋体"/>
          <w:sz w:val="24"/>
          <w:lang w:val="zh-CN" w:eastAsia="zh-TW"/>
        </w:rPr>
        <w:t>评标结果</w:t>
      </w:r>
      <w:r>
        <w:rPr>
          <w:rFonts w:hint="eastAsia" w:ascii="宋体" w:hAnsi="宋体" w:eastAsia="宋体" w:cs="宋体"/>
          <w:bCs/>
          <w:sz w:val="24"/>
        </w:rPr>
        <w:t>按照价格评审得分由高到低的顺序</w:t>
      </w:r>
      <w:r>
        <w:rPr>
          <w:rFonts w:hint="eastAsia" w:ascii="宋体" w:hAnsi="宋体" w:eastAsia="宋体" w:cs="宋体"/>
          <w:sz w:val="24"/>
          <w:lang w:val="zh-CN" w:eastAsia="zh-TW"/>
        </w:rPr>
        <w:t>排列。</w:t>
      </w:r>
      <w:r>
        <w:rPr>
          <w:rFonts w:hint="eastAsia" w:ascii="宋体" w:hAnsi="宋体" w:eastAsia="宋体" w:cs="宋体"/>
          <w:sz w:val="24"/>
          <w:lang w:val="zh-CN"/>
        </w:rPr>
        <w:t>总得分相同的投标文件，由评标委员会采用随机抽取方式，确定中标候选人的排序</w:t>
      </w:r>
      <w:r>
        <w:rPr>
          <w:rFonts w:hint="eastAsia" w:ascii="宋体" w:hAnsi="宋体" w:eastAsia="宋体" w:cs="宋体"/>
          <w:sz w:val="24"/>
          <w:lang w:val="zh-CN" w:eastAsia="zh-TW"/>
        </w:rPr>
        <w:t>。</w:t>
      </w:r>
    </w:p>
    <w:p w14:paraId="41128577">
      <w:pPr>
        <w:numPr>
          <w:ilvl w:val="1"/>
          <w:numId w:val="34"/>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评标委员会提交评标报告和推荐中标意见报招标人确认，招标人在收到评标报告后的法定时间内，按照评标报告中推荐的中标候选人顺序确定中标候选人。</w:t>
      </w:r>
    </w:p>
    <w:p w14:paraId="0951AD8F">
      <w:pPr>
        <w:numPr>
          <w:ilvl w:val="1"/>
          <w:numId w:val="34"/>
        </w:numPr>
        <w:tabs>
          <w:tab w:val="left" w:pos="106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eastAsia="zh-TW"/>
        </w:rPr>
        <w:t>中标候选人确定后，招标代理机构将在指定媒体上发布中标候选人公示，公示期不得少于3日。</w:t>
      </w:r>
    </w:p>
    <w:p w14:paraId="03CC9769">
      <w:pPr>
        <w:pStyle w:val="4"/>
        <w:numPr>
          <w:ilvl w:val="0"/>
          <w:numId w:val="10"/>
        </w:numPr>
        <w:rPr>
          <w:sz w:val="28"/>
          <w:szCs w:val="28"/>
          <w:lang w:val="zh-CN"/>
        </w:rPr>
      </w:pPr>
      <w:bookmarkStart w:id="125" w:name="_Toc12837"/>
      <w:bookmarkStart w:id="126" w:name="_Toc17456"/>
      <w:r>
        <w:rPr>
          <w:rFonts w:hint="eastAsia"/>
          <w:sz w:val="28"/>
          <w:szCs w:val="28"/>
          <w:lang w:val="zh-CN"/>
        </w:rPr>
        <w:t>定标和中标通知书</w:t>
      </w:r>
      <w:bookmarkEnd w:id="125"/>
      <w:bookmarkEnd w:id="126"/>
    </w:p>
    <w:p w14:paraId="28C25458">
      <w:pPr>
        <w:numPr>
          <w:ilvl w:val="1"/>
          <w:numId w:val="35"/>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公示期满无异议后，招标人</w:t>
      </w:r>
      <w:r>
        <w:rPr>
          <w:rFonts w:hint="eastAsia" w:ascii="宋体" w:hAnsi="宋体" w:eastAsia="宋体" w:cs="宋体"/>
          <w:sz w:val="24"/>
          <w:lang w:val="zh-CN"/>
        </w:rPr>
        <w:t>最终</w:t>
      </w:r>
      <w:r>
        <w:rPr>
          <w:rFonts w:hint="eastAsia" w:ascii="宋体" w:hAnsi="宋体" w:eastAsia="宋体" w:cs="宋体"/>
          <w:sz w:val="24"/>
          <w:lang w:val="zh-CN" w:eastAsia="zh-TW"/>
        </w:rPr>
        <w:t>确认中标人。中标人确定后，招标代理机构将在指定媒体上发布中标</w:t>
      </w:r>
      <w:r>
        <w:rPr>
          <w:rFonts w:hint="eastAsia" w:ascii="宋体" w:hAnsi="宋体" w:eastAsia="宋体" w:cs="宋体"/>
          <w:sz w:val="24"/>
          <w:lang w:val="zh-CN"/>
        </w:rPr>
        <w:t>结果</w:t>
      </w:r>
      <w:r>
        <w:rPr>
          <w:rFonts w:hint="eastAsia" w:ascii="宋体" w:hAnsi="宋体" w:eastAsia="宋体" w:cs="宋体"/>
          <w:sz w:val="24"/>
          <w:lang w:val="zh-CN" w:eastAsia="zh-TW"/>
        </w:rPr>
        <w:t>公告，并向中标人发出《中标通知书》。《中标通知书》对中标人和招标人具有同等法律效力。</w:t>
      </w:r>
    </w:p>
    <w:p w14:paraId="5A965628">
      <w:pPr>
        <w:numPr>
          <w:ilvl w:val="1"/>
          <w:numId w:val="35"/>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《中标通知书》将作为授予合同资格的合法依据，是合同的一个组成部分。</w:t>
      </w:r>
    </w:p>
    <w:p w14:paraId="7FD30059">
      <w:pPr>
        <w:numPr>
          <w:ilvl w:val="1"/>
          <w:numId w:val="35"/>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排名第一的中标候选人放弃中标、或因不可抗力提出不能履行合同，或者招标文件规定应当提交履约担保而在规定的期限内未能提交的，招标人可以确定排名第二的中标候选人为中标人，以此类推，如所有中标候选人均出现前款所列的情形，为招标失败，招标人依法重新招标。</w:t>
      </w:r>
    </w:p>
    <w:p w14:paraId="72B0F02D">
      <w:pPr>
        <w:pStyle w:val="3"/>
        <w:numPr>
          <w:ilvl w:val="0"/>
          <w:numId w:val="9"/>
        </w:numPr>
        <w:jc w:val="center"/>
      </w:pPr>
      <w:bookmarkStart w:id="127" w:name="_Toc7787"/>
      <w:bookmarkStart w:id="128" w:name="_Toc27638"/>
      <w:r>
        <w:rPr>
          <w:rFonts w:hint="eastAsia"/>
        </w:rPr>
        <w:t>异议及投诉</w:t>
      </w:r>
      <w:bookmarkEnd w:id="127"/>
      <w:bookmarkEnd w:id="128"/>
    </w:p>
    <w:p w14:paraId="4DF171D9">
      <w:pPr>
        <w:pStyle w:val="4"/>
        <w:numPr>
          <w:ilvl w:val="0"/>
          <w:numId w:val="10"/>
        </w:numPr>
        <w:ind w:hanging="5"/>
        <w:rPr>
          <w:sz w:val="28"/>
          <w:szCs w:val="28"/>
          <w:lang w:val="zh-CN"/>
        </w:rPr>
      </w:pPr>
      <w:bookmarkStart w:id="129" w:name="_Toc26585"/>
      <w:bookmarkStart w:id="130" w:name="_Toc26841"/>
      <w:r>
        <w:rPr>
          <w:rFonts w:hint="eastAsia"/>
          <w:sz w:val="28"/>
          <w:szCs w:val="28"/>
          <w:lang w:val="zh-CN"/>
        </w:rPr>
        <w:t>异议</w:t>
      </w:r>
      <w:bookmarkEnd w:id="129"/>
      <w:bookmarkEnd w:id="130"/>
    </w:p>
    <w:p w14:paraId="158FBF57">
      <w:pPr>
        <w:numPr>
          <w:ilvl w:val="1"/>
          <w:numId w:val="36"/>
        </w:numPr>
        <w:tabs>
          <w:tab w:val="left" w:pos="1060"/>
          <w:tab w:val="clear" w:pos="907"/>
        </w:tabs>
        <w:spacing w:line="360" w:lineRule="auto"/>
        <w:ind w:left="1067" w:hanging="647"/>
        <w:rPr>
          <w:rFonts w:ascii="宋体" w:hAnsi="宋体" w:eastAsia="宋体" w:cs="宋体"/>
          <w:sz w:val="24"/>
          <w:lang w:val="zh-CN" w:eastAsia="zh-TW"/>
        </w:rPr>
      </w:pPr>
      <w:bookmarkStart w:id="131" w:name="_Toc29084"/>
      <w:bookmarkStart w:id="132" w:name="_Toc26928"/>
      <w:r>
        <w:rPr>
          <w:rFonts w:hint="eastAsia" w:ascii="宋体" w:hAnsi="宋体" w:eastAsia="宋体" w:cs="宋体"/>
          <w:sz w:val="24"/>
          <w:lang w:val="zh-CN" w:eastAsia="zh-TW"/>
        </w:rPr>
        <w:t>投标人或者其他利害关系人对项目的评标结果有异议的，应当在中标候选人公示期间，以书面形式向招标人或招标代理机构提出异议，逾期异议无效。</w:t>
      </w:r>
    </w:p>
    <w:p w14:paraId="586147E0">
      <w:pPr>
        <w:numPr>
          <w:ilvl w:val="1"/>
          <w:numId w:val="36"/>
        </w:numPr>
        <w:tabs>
          <w:tab w:val="left" w:pos="1060"/>
          <w:tab w:val="clear" w:pos="907"/>
        </w:tabs>
        <w:spacing w:line="360" w:lineRule="auto"/>
        <w:ind w:left="1067" w:hanging="647"/>
        <w:rPr>
          <w:rFonts w:ascii="宋体" w:hAnsi="宋体" w:eastAsia="宋体" w:cs="宋体"/>
          <w:sz w:val="24"/>
          <w:lang w:val="zh-CN" w:eastAsia="zh-TW"/>
        </w:rPr>
      </w:pPr>
      <w:r>
        <w:rPr>
          <w:rFonts w:hint="eastAsia" w:ascii="宋体" w:hAnsi="宋体" w:eastAsia="宋体" w:cs="宋体"/>
          <w:sz w:val="24"/>
          <w:lang w:val="zh-CN" w:eastAsia="zh-TW"/>
        </w:rPr>
        <w:t>异议函应当署名。异议供应商为自然人的，应当由本人签字；异议供应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603C9BD9">
      <w:pPr>
        <w:numPr>
          <w:ilvl w:val="1"/>
          <w:numId w:val="36"/>
        </w:numPr>
        <w:tabs>
          <w:tab w:val="left" w:pos="1060"/>
          <w:tab w:val="clear" w:pos="907"/>
        </w:tabs>
        <w:spacing w:line="360" w:lineRule="auto"/>
        <w:ind w:left="1067" w:hanging="647"/>
        <w:rPr>
          <w:rFonts w:ascii="宋体" w:hAnsi="宋体" w:eastAsia="宋体" w:cs="宋体"/>
          <w:sz w:val="24"/>
        </w:rPr>
      </w:pPr>
      <w:r>
        <w:rPr>
          <w:rFonts w:hint="eastAsia" w:ascii="宋体" w:hAnsi="宋体" w:eastAsia="宋体" w:cs="宋体"/>
          <w:sz w:val="24"/>
          <w:lang w:val="zh-CN" w:eastAsia="zh-TW"/>
        </w:rPr>
        <w:t>异议内容必须以书面形式向</w:t>
      </w:r>
      <w:r>
        <w:rPr>
          <w:rFonts w:hint="eastAsia" w:ascii="宋体" w:hAnsi="宋体" w:eastAsia="宋体" w:cs="宋体"/>
          <w:sz w:val="24"/>
        </w:rPr>
        <w:t>招标人或招标代理机构提出，投标人以电话、传真或电邮形式提交的异议属于无效异议。</w:t>
      </w:r>
    </w:p>
    <w:bookmarkEnd w:id="131"/>
    <w:bookmarkEnd w:id="132"/>
    <w:p w14:paraId="64C5E06F">
      <w:pPr>
        <w:pStyle w:val="4"/>
        <w:numPr>
          <w:ilvl w:val="0"/>
          <w:numId w:val="10"/>
        </w:numPr>
        <w:ind w:hanging="5"/>
        <w:rPr>
          <w:sz w:val="28"/>
          <w:szCs w:val="28"/>
          <w:lang w:val="zh-CN"/>
        </w:rPr>
      </w:pPr>
      <w:bookmarkStart w:id="133" w:name="_Toc2526"/>
      <w:bookmarkStart w:id="134" w:name="_Toc22878"/>
      <w:r>
        <w:rPr>
          <w:rFonts w:hint="eastAsia"/>
          <w:sz w:val="28"/>
          <w:szCs w:val="28"/>
          <w:lang w:val="zh-CN"/>
        </w:rPr>
        <w:t>投诉</w:t>
      </w:r>
      <w:bookmarkEnd w:id="133"/>
      <w:bookmarkEnd w:id="134"/>
    </w:p>
    <w:p w14:paraId="76C383E7">
      <w:pPr>
        <w:numPr>
          <w:ilvl w:val="1"/>
          <w:numId w:val="37"/>
        </w:numPr>
        <w:tabs>
          <w:tab w:val="left" w:pos="1060"/>
          <w:tab w:val="clear" w:pos="907"/>
        </w:tabs>
        <w:spacing w:line="360" w:lineRule="auto"/>
        <w:ind w:left="1067" w:hanging="647"/>
        <w:rPr>
          <w:rFonts w:ascii="宋体" w:hAnsi="宋体" w:eastAsia="宋体" w:cs="宋体"/>
          <w:sz w:val="24"/>
        </w:rPr>
      </w:pPr>
      <w:r>
        <w:rPr>
          <w:rFonts w:hint="eastAsia" w:ascii="宋体" w:hAnsi="宋体" w:eastAsia="宋体" w:cs="宋体"/>
          <w:sz w:val="24"/>
        </w:rPr>
        <w:t>供应商对招标人、招标代理机构的异议答复不满意，或者招标人、招标代理机构未在规定期限内作出答复的，可以在答复期满后10日内向招标人的监督部门提起投诉。</w:t>
      </w:r>
    </w:p>
    <w:p w14:paraId="257C3984">
      <w:pPr>
        <w:pStyle w:val="3"/>
        <w:numPr>
          <w:ilvl w:val="0"/>
          <w:numId w:val="9"/>
        </w:numPr>
        <w:jc w:val="center"/>
      </w:pPr>
      <w:bookmarkStart w:id="135" w:name="_Toc6940"/>
      <w:bookmarkStart w:id="136" w:name="_Toc22734"/>
      <w:bookmarkStart w:id="137" w:name="_Toc23477"/>
      <w:bookmarkStart w:id="138" w:name="_Toc423021947"/>
      <w:r>
        <w:rPr>
          <w:rFonts w:hint="eastAsia"/>
        </w:rPr>
        <w:t>授予</w:t>
      </w:r>
      <w:r>
        <w:t>合同</w:t>
      </w:r>
      <w:bookmarkEnd w:id="135"/>
      <w:bookmarkEnd w:id="136"/>
      <w:bookmarkEnd w:id="137"/>
      <w:bookmarkEnd w:id="138"/>
    </w:p>
    <w:p w14:paraId="6920C4BE">
      <w:pPr>
        <w:pStyle w:val="4"/>
        <w:numPr>
          <w:ilvl w:val="0"/>
          <w:numId w:val="10"/>
        </w:numPr>
        <w:ind w:hanging="5"/>
        <w:rPr>
          <w:sz w:val="28"/>
          <w:szCs w:val="28"/>
          <w:lang w:val="zh-CN"/>
        </w:rPr>
      </w:pPr>
      <w:bookmarkStart w:id="139" w:name="_Toc30723"/>
      <w:bookmarkStart w:id="140" w:name="_Toc5038"/>
      <w:bookmarkStart w:id="141" w:name="_Toc26163"/>
      <w:r>
        <w:rPr>
          <w:rFonts w:hint="eastAsia"/>
          <w:sz w:val="28"/>
          <w:szCs w:val="28"/>
          <w:lang w:val="zh-CN"/>
        </w:rPr>
        <w:t>合同的订立</w:t>
      </w:r>
      <w:bookmarkEnd w:id="139"/>
      <w:bookmarkEnd w:id="140"/>
      <w:bookmarkEnd w:id="141"/>
    </w:p>
    <w:p w14:paraId="793FA17A">
      <w:pPr>
        <w:numPr>
          <w:ilvl w:val="1"/>
          <w:numId w:val="38"/>
        </w:numPr>
        <w:tabs>
          <w:tab w:val="clear" w:pos="907"/>
        </w:tabs>
        <w:spacing w:line="360" w:lineRule="auto"/>
        <w:ind w:left="1067" w:hanging="647"/>
        <w:rPr>
          <w:rFonts w:ascii="宋体" w:hAnsi="宋体" w:eastAsia="宋体" w:cs="Times New Roman"/>
          <w:sz w:val="24"/>
          <w:lang w:val="zh-CN"/>
        </w:rPr>
      </w:pPr>
      <w:r>
        <w:rPr>
          <w:rFonts w:hint="eastAsia" w:ascii="宋体" w:hAnsi="宋体" w:eastAsia="宋体" w:cs="Times New Roman"/>
          <w:sz w:val="24"/>
          <w:lang w:val="zh-CN"/>
        </w:rPr>
        <w:t>招标人与中标供应商自中标通知书发出之日起三十日内，按招标文件要求和中标供应商投标文件承诺签订采购合同，但不得超出招标文件和中标供应商投标文件的范围、也不得再行订立背离合同实质性内容的其他协议。</w:t>
      </w:r>
    </w:p>
    <w:p w14:paraId="49740742">
      <w:pPr>
        <w:numPr>
          <w:ilvl w:val="1"/>
          <w:numId w:val="38"/>
        </w:numPr>
        <w:tabs>
          <w:tab w:val="clear" w:pos="907"/>
        </w:tabs>
        <w:spacing w:line="360" w:lineRule="auto"/>
        <w:ind w:left="1067" w:hanging="647"/>
        <w:rPr>
          <w:rFonts w:ascii="宋体" w:hAnsi="宋体" w:eastAsia="宋体" w:cs="宋体"/>
          <w:sz w:val="24"/>
          <w:lang w:val="zh-CN"/>
        </w:rPr>
      </w:pPr>
      <w:r>
        <w:rPr>
          <w:rFonts w:hint="eastAsia" w:ascii="宋体" w:hAnsi="宋体" w:eastAsia="宋体" w:cs="Times New Roman"/>
          <w:sz w:val="24"/>
          <w:lang w:val="zh-CN"/>
        </w:rPr>
        <w:t>招标文件、中</w:t>
      </w:r>
      <w:r>
        <w:rPr>
          <w:rFonts w:hint="eastAsia" w:ascii="宋体" w:hAnsi="宋体" w:eastAsia="宋体" w:cs="宋体"/>
          <w:sz w:val="24"/>
          <w:lang w:val="zh-CN"/>
        </w:rPr>
        <w:t>标人的投标文件及其澄清文件等，均为签订合同的依据。</w:t>
      </w:r>
    </w:p>
    <w:p w14:paraId="133D94CF">
      <w:pPr>
        <w:pStyle w:val="4"/>
        <w:numPr>
          <w:ilvl w:val="0"/>
          <w:numId w:val="10"/>
        </w:numPr>
        <w:ind w:hanging="5"/>
        <w:rPr>
          <w:sz w:val="28"/>
          <w:szCs w:val="28"/>
          <w:lang w:val="zh-CN"/>
        </w:rPr>
      </w:pPr>
      <w:bookmarkStart w:id="142" w:name="_Toc12285"/>
      <w:bookmarkStart w:id="143" w:name="_Toc16051"/>
      <w:bookmarkStart w:id="144" w:name="_Toc17363"/>
      <w:r>
        <w:rPr>
          <w:rFonts w:hint="eastAsia"/>
          <w:sz w:val="28"/>
          <w:szCs w:val="28"/>
          <w:lang w:val="zh-CN"/>
        </w:rPr>
        <w:t>合同的履行</w:t>
      </w:r>
      <w:bookmarkEnd w:id="142"/>
      <w:bookmarkEnd w:id="143"/>
      <w:bookmarkEnd w:id="144"/>
    </w:p>
    <w:p w14:paraId="6550AE75">
      <w:pPr>
        <w:numPr>
          <w:ilvl w:val="1"/>
          <w:numId w:val="39"/>
        </w:numPr>
        <w:tabs>
          <w:tab w:val="left" w:pos="106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采购合同订立后，合同各方不得擅自变更、中止或者终止合同。</w:t>
      </w:r>
    </w:p>
    <w:p w14:paraId="76CD59A0">
      <w:pPr>
        <w:pStyle w:val="4"/>
        <w:numPr>
          <w:ilvl w:val="0"/>
          <w:numId w:val="10"/>
        </w:numPr>
        <w:ind w:hanging="5"/>
        <w:rPr>
          <w:sz w:val="28"/>
          <w:szCs w:val="28"/>
          <w:lang w:val="zh-CN"/>
        </w:rPr>
      </w:pPr>
      <w:bookmarkStart w:id="145" w:name="_Toc12849"/>
      <w:bookmarkStart w:id="146" w:name="_Toc24245"/>
      <w:bookmarkStart w:id="147" w:name="_Toc29316"/>
      <w:r>
        <w:rPr>
          <w:rFonts w:hint="eastAsia"/>
          <w:sz w:val="28"/>
          <w:szCs w:val="28"/>
          <w:lang w:val="zh-CN"/>
        </w:rPr>
        <w:t>履约保证金</w:t>
      </w:r>
      <w:bookmarkEnd w:id="145"/>
      <w:bookmarkEnd w:id="146"/>
      <w:bookmarkEnd w:id="147"/>
    </w:p>
    <w:p w14:paraId="72906250">
      <w:pPr>
        <w:numPr>
          <w:ilvl w:val="1"/>
          <w:numId w:val="40"/>
        </w:numPr>
        <w:tabs>
          <w:tab w:val="left" w:pos="1060"/>
          <w:tab w:val="clear" w:pos="907"/>
        </w:tabs>
        <w:spacing w:line="360" w:lineRule="auto"/>
        <w:ind w:left="1067" w:hanging="647"/>
        <w:rPr>
          <w:rFonts w:ascii="宋体" w:hAnsi="宋体" w:eastAsia="宋体" w:cs="宋体"/>
          <w:sz w:val="24"/>
          <w:lang w:val="zh-CN"/>
        </w:rPr>
      </w:pPr>
      <w:bookmarkStart w:id="148" w:name="_Toc10914"/>
      <w:r>
        <w:rPr>
          <w:rFonts w:hint="eastAsia" w:ascii="宋体" w:hAnsi="宋体" w:eastAsia="宋体" w:cs="宋体"/>
          <w:sz w:val="24"/>
          <w:lang w:val="zh-CN"/>
        </w:rPr>
        <w:t>招</w:t>
      </w:r>
      <w:r>
        <w:rPr>
          <w:rFonts w:hint="eastAsia" w:ascii="宋体" w:hAnsi="宋体" w:cs="宋体"/>
          <w:sz w:val="24"/>
          <w:lang w:val="zh-CN"/>
        </w:rPr>
        <w:t>标文件要求中标人提交履约保证金的，中标人应按照</w:t>
      </w:r>
      <w:r>
        <w:rPr>
          <w:rFonts w:hint="eastAsia" w:ascii="黑体" w:hAnsi="黑体" w:eastAsia="黑体" w:cs="黑体"/>
          <w:b/>
          <w:bCs/>
          <w:sz w:val="24"/>
          <w:lang w:val="zh-CN"/>
        </w:rPr>
        <w:t>投标人须知前附表</w:t>
      </w:r>
      <w:r>
        <w:rPr>
          <w:rFonts w:hint="eastAsia" w:ascii="宋体" w:hAnsi="宋体" w:cs="宋体"/>
          <w:sz w:val="24"/>
          <w:lang w:val="zh-CN"/>
        </w:rPr>
        <w:t>规定的金额，以支票、汇票、本票或者金融机构、担保机构出具的保函等非现金形式向招标人提交</w:t>
      </w:r>
      <w:r>
        <w:rPr>
          <w:rFonts w:hint="eastAsia" w:ascii="宋体" w:hAnsi="宋体" w:eastAsia="宋体" w:cs="宋体"/>
          <w:sz w:val="24"/>
          <w:lang w:val="zh-CN"/>
        </w:rPr>
        <w:t>。</w:t>
      </w:r>
    </w:p>
    <w:p w14:paraId="2E4746CA">
      <w:pPr>
        <w:pStyle w:val="4"/>
        <w:numPr>
          <w:ilvl w:val="0"/>
          <w:numId w:val="10"/>
        </w:numPr>
        <w:ind w:hanging="5"/>
        <w:rPr>
          <w:sz w:val="28"/>
          <w:szCs w:val="28"/>
          <w:lang w:val="zh-CN"/>
        </w:rPr>
      </w:pPr>
      <w:bookmarkStart w:id="149" w:name="_Toc28511"/>
      <w:bookmarkStart w:id="150" w:name="_Toc25404"/>
      <w:r>
        <w:rPr>
          <w:rFonts w:hint="eastAsia"/>
          <w:sz w:val="28"/>
          <w:szCs w:val="28"/>
          <w:lang w:val="zh-CN"/>
        </w:rPr>
        <w:t>招标代理服务费</w:t>
      </w:r>
      <w:bookmarkEnd w:id="148"/>
      <w:bookmarkEnd w:id="149"/>
      <w:bookmarkEnd w:id="150"/>
    </w:p>
    <w:p w14:paraId="6B2AF7B6">
      <w:pPr>
        <w:numPr>
          <w:ilvl w:val="1"/>
          <w:numId w:val="41"/>
        </w:numPr>
        <w:tabs>
          <w:tab w:val="left" w:pos="106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中标人应按照</w:t>
      </w:r>
      <w:r>
        <w:rPr>
          <w:rFonts w:hint="eastAsia" w:ascii="黑体" w:hAnsi="黑体" w:eastAsia="黑体" w:cs="黑体"/>
          <w:b/>
          <w:bCs/>
          <w:sz w:val="24"/>
          <w:lang w:val="zh-CN"/>
        </w:rPr>
        <w:t>投标人须知前附表</w:t>
      </w:r>
      <w:r>
        <w:rPr>
          <w:rFonts w:hint="eastAsia" w:ascii="宋体" w:hAnsi="宋体" w:eastAsia="宋体" w:cs="宋体"/>
          <w:sz w:val="24"/>
          <w:lang w:val="zh-CN"/>
        </w:rPr>
        <w:t>中的规定交纳招标代理服务费。</w:t>
      </w:r>
    </w:p>
    <w:p w14:paraId="574A554C">
      <w:pPr>
        <w:numPr>
          <w:ilvl w:val="1"/>
          <w:numId w:val="41"/>
        </w:numPr>
        <w:tabs>
          <w:tab w:val="left" w:pos="1060"/>
          <w:tab w:val="clear" w:pos="907"/>
        </w:tabs>
        <w:spacing w:line="360" w:lineRule="auto"/>
        <w:ind w:left="1067" w:hanging="647"/>
        <w:rPr>
          <w:rFonts w:ascii="宋体" w:hAnsi="宋体" w:eastAsia="宋体" w:cs="宋体"/>
          <w:sz w:val="24"/>
          <w:lang w:val="zh-CN"/>
        </w:rPr>
      </w:pPr>
      <w:r>
        <w:rPr>
          <w:rFonts w:hint="eastAsia" w:ascii="宋体" w:hAnsi="宋体" w:eastAsia="宋体" w:cs="宋体"/>
          <w:sz w:val="24"/>
          <w:lang w:val="zh-CN"/>
        </w:rPr>
        <w:t>招标代理服务费按如下标准差额累进计算：</w:t>
      </w:r>
    </w:p>
    <w:p w14:paraId="6FF4AA27">
      <w:pPr>
        <w:tabs>
          <w:tab w:val="left" w:pos="1080"/>
          <w:tab w:val="left" w:pos="1220"/>
        </w:tabs>
        <w:spacing w:line="360" w:lineRule="auto"/>
        <w:ind w:left="420"/>
        <w:jc w:val="center"/>
        <w:rPr>
          <w:rFonts w:ascii="宋体" w:hAnsi="宋体" w:eastAsia="宋体" w:cs="宋体"/>
          <w:b/>
          <w:bCs/>
          <w:kern w:val="0"/>
          <w:sz w:val="24"/>
        </w:rPr>
      </w:pPr>
      <w:r>
        <w:rPr>
          <w:rFonts w:hint="eastAsia" w:ascii="宋体" w:hAnsi="宋体" w:eastAsia="宋体" w:cs="宋体"/>
          <w:b/>
          <w:bCs/>
          <w:kern w:val="0"/>
          <w:sz w:val="24"/>
        </w:rPr>
        <w:t>招标代理服务费收费标准</w:t>
      </w:r>
    </w:p>
    <w:tbl>
      <w:tblPr>
        <w:tblStyle w:val="24"/>
        <w:tblW w:w="84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6"/>
        <w:gridCol w:w="4359"/>
      </w:tblGrid>
      <w:tr w14:paraId="52614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tblHeader/>
          <w:jc w:val="center"/>
        </w:trPr>
        <w:tc>
          <w:tcPr>
            <w:tcW w:w="4056" w:type="dxa"/>
            <w:shd w:val="clear" w:color="auto" w:fill="D7D7D7" w:themeFill="background1" w:themeFillShade="D8"/>
            <w:vAlign w:val="center"/>
          </w:tcPr>
          <w:p w14:paraId="64DADC09">
            <w:pPr>
              <w:widowControl/>
              <w:jc w:val="left"/>
              <w:rPr>
                <w:rFonts w:ascii="宋体" w:hAnsi="宋体" w:eastAsia="宋体" w:cs="宋体"/>
                <w:b/>
                <w:bCs/>
                <w:kern w:val="0"/>
                <w:sz w:val="24"/>
              </w:rPr>
            </w:pPr>
            <w:r>
              <w:rPr>
                <w:rFonts w:ascii="宋体" w:hAnsi="宋体" w:eastAsia="宋体" w:cs="宋体"/>
                <w:b/>
                <w:bCs/>
                <w:kern w:val="0"/>
                <w:sz w:val="24"/>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-635</wp:posOffset>
                      </wp:positionV>
                      <wp:extent cx="1806575" cy="751840"/>
                      <wp:effectExtent l="1905" t="4445" r="20320" b="5715"/>
                      <wp:wrapNone/>
                      <wp:docPr id="5" name="AutoShape 15"/>
                      <wp:cNvGraphicFramePr/>
                      <a:graphic xmlns:a="http://schemas.openxmlformats.org/drawingml/2006/main">
                        <a:graphicData uri="http://schemas.microsoft.com/office/word/2010/wordprocessingShape">
                          <wps:wsp>
                            <wps:cNvCnPr/>
                            <wps:spPr>
                              <a:xfrm flipH="1" flipV="1">
                                <a:off x="0" y="0"/>
                                <a:ext cx="1806575" cy="7518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AutoShape 15" o:spid="_x0000_s1026" o:spt="32" type="#_x0000_t32" style="position:absolute;left:0pt;flip:x y;margin-left:53.1pt;margin-top:-0.05pt;height:59.2pt;width:142.25pt;z-index:251660288;mso-width-relative:page;mso-height-relative:page;" filled="f" stroked="t" coordsize="21600,21600" o:gfxdata="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y8n82QAAAAkBAAAPAAAAAAAAAAEAIAAAACIAAABkcnMvZG93bnJldi54bWxQ&#10;SwECFAAUAAAACACHTuJA7+2oy/YBAAAIBAAADgAAAAAAAAABACAAAAAoAQAAZHJzL2Uyb0RvYy54&#10;bWxQSwUGAAAAAAYABgBZAQAAkAUAAAAA&#10;">
                      <v:fill on="f" focussize="0,0"/>
                      <v:stroke color="#000000" joinstyle="round"/>
                      <v:imagedata o:title=""/>
                      <o:lock v:ext="edit" aspectratio="f"/>
                    </v:shape>
                  </w:pict>
                </mc:Fallback>
              </mc:AlternateContent>
            </w:r>
            <w:r>
              <w:rPr>
                <w:rFonts w:hint="eastAsia" w:ascii="宋体" w:hAnsi="宋体" w:eastAsia="宋体" w:cs="宋体"/>
                <w:b/>
                <w:bCs/>
                <w:kern w:val="0"/>
                <w:sz w:val="24"/>
              </w:rPr>
              <w:t xml:space="preserve">                       服务类型</w:t>
            </w:r>
          </w:p>
          <w:p w14:paraId="65175BFA">
            <w:pPr>
              <w:widowControl/>
              <w:jc w:val="left"/>
              <w:rPr>
                <w:rFonts w:ascii="宋体" w:hAnsi="宋体" w:eastAsia="宋体" w:cs="宋体"/>
                <w:b/>
                <w:bCs/>
                <w:kern w:val="0"/>
                <w:sz w:val="24"/>
              </w:rPr>
            </w:pPr>
            <w:r>
              <w:rPr>
                <w:rFonts w:ascii="宋体" w:hAnsi="宋体" w:eastAsia="宋体" w:cs="宋体"/>
                <w:b/>
                <w:bCs/>
                <w:kern w:val="0"/>
                <w:sz w:val="24"/>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112395</wp:posOffset>
                      </wp:positionV>
                      <wp:extent cx="2555875" cy="460375"/>
                      <wp:effectExtent l="635" t="4445" r="15240" b="11430"/>
                      <wp:wrapNone/>
                      <wp:docPr id="6" name="AutoShape 16"/>
                      <wp:cNvGraphicFramePr/>
                      <a:graphic xmlns:a="http://schemas.openxmlformats.org/drawingml/2006/main">
                        <a:graphicData uri="http://schemas.microsoft.com/office/word/2010/wordprocessingShape">
                          <wps:wsp>
                            <wps:cNvCnPr/>
                            <wps:spPr>
                              <a:xfrm flipH="1" flipV="1">
                                <a:off x="0" y="0"/>
                                <a:ext cx="2555875" cy="4603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AutoShape 16" o:spid="_x0000_s1026" o:spt="32" type="#_x0000_t32" style="position:absolute;left:0pt;flip:x y;margin-left:-5.9pt;margin-top:8.85pt;height:36.25pt;width:201.25pt;z-index:251661312;mso-width-relative:page;mso-height-relative:page;" filled="f" stroked="t" coordsize="21600,21600" o:gfxdata="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1jjc9oAAAAJAQAADwAAAAAAAAABACAAAAAiAAAAZHJzL2Rvd25yZXYueG1sUEsB&#10;AhQAFAAAAAgAh07iQKnCrbPzAQAACAQAAA4AAAAAAAAAAQAgAAAAKQEAAGRycy9lMm9Eb2MueG1s&#10;UEsFBgAAAAAGAAYAWQEAAI4FAAAAAA==&#10;">
                      <v:fill on="f" focussize="0,0"/>
                      <v:stroke color="#000000" joinstyle="round"/>
                      <v:imagedata o:title=""/>
                      <o:lock v:ext="edit" aspectratio="f"/>
                    </v:shape>
                  </w:pict>
                </mc:Fallback>
              </mc:AlternateContent>
            </w:r>
            <w:r>
              <w:rPr>
                <w:rFonts w:hint="eastAsia" w:ascii="宋体" w:hAnsi="宋体" w:eastAsia="宋体" w:cs="宋体"/>
                <w:b/>
                <w:bCs/>
                <w:kern w:val="0"/>
                <w:sz w:val="24"/>
              </w:rPr>
              <w:t xml:space="preserve">        费率</w:t>
            </w:r>
          </w:p>
          <w:p w14:paraId="4FA07837">
            <w:pPr>
              <w:widowControl/>
              <w:jc w:val="left"/>
              <w:rPr>
                <w:rFonts w:ascii="宋体" w:hAnsi="宋体" w:eastAsia="宋体" w:cs="宋体"/>
                <w:b/>
                <w:bCs/>
                <w:kern w:val="0"/>
                <w:sz w:val="24"/>
              </w:rPr>
            </w:pPr>
          </w:p>
          <w:p w14:paraId="0812A580">
            <w:pPr>
              <w:widowControl/>
              <w:jc w:val="left"/>
              <w:rPr>
                <w:rFonts w:ascii="宋体" w:hAnsi="宋体" w:eastAsia="宋体" w:cs="宋体"/>
                <w:b/>
                <w:bCs/>
                <w:kern w:val="0"/>
                <w:sz w:val="24"/>
              </w:rPr>
            </w:pPr>
            <w:r>
              <w:rPr>
                <w:rFonts w:hint="eastAsia" w:ascii="宋体" w:hAnsi="宋体" w:eastAsia="宋体" w:cs="宋体"/>
                <w:b/>
                <w:bCs/>
                <w:kern w:val="0"/>
                <w:sz w:val="24"/>
              </w:rPr>
              <w:t>金额</w:t>
            </w:r>
          </w:p>
        </w:tc>
        <w:tc>
          <w:tcPr>
            <w:tcW w:w="4359" w:type="dxa"/>
            <w:shd w:val="clear" w:color="auto" w:fill="D7D7D7" w:themeFill="background1" w:themeFillShade="D8"/>
            <w:vAlign w:val="center"/>
          </w:tcPr>
          <w:p w14:paraId="5C8AA336">
            <w:pPr>
              <w:widowControl/>
              <w:jc w:val="center"/>
              <w:rPr>
                <w:rFonts w:ascii="宋体" w:hAnsi="宋体" w:eastAsia="宋体" w:cs="宋体"/>
                <w:b/>
                <w:bCs/>
                <w:kern w:val="0"/>
                <w:sz w:val="24"/>
              </w:rPr>
            </w:pPr>
            <w:r>
              <w:rPr>
                <w:rFonts w:hint="eastAsia" w:ascii="宋体" w:hAnsi="宋体" w:eastAsia="宋体" w:cs="宋体"/>
                <w:b/>
                <w:bCs/>
                <w:kern w:val="0"/>
                <w:sz w:val="24"/>
              </w:rPr>
              <w:t>货物招标</w:t>
            </w:r>
          </w:p>
        </w:tc>
      </w:tr>
      <w:tr w14:paraId="040D8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14:paraId="372AE1B9">
            <w:pPr>
              <w:widowControl/>
              <w:jc w:val="center"/>
              <w:rPr>
                <w:rFonts w:ascii="宋体" w:hAnsi="宋体" w:eastAsia="宋体" w:cs="宋体"/>
                <w:kern w:val="0"/>
                <w:sz w:val="24"/>
              </w:rPr>
            </w:pPr>
            <w:r>
              <w:rPr>
                <w:rFonts w:hint="eastAsia" w:ascii="宋体" w:hAnsi="宋体" w:eastAsia="宋体" w:cs="宋体"/>
                <w:kern w:val="0"/>
                <w:sz w:val="24"/>
              </w:rPr>
              <w:t>100万元以下</w:t>
            </w:r>
          </w:p>
        </w:tc>
        <w:tc>
          <w:tcPr>
            <w:tcW w:w="4359" w:type="dxa"/>
            <w:vAlign w:val="center"/>
          </w:tcPr>
          <w:p w14:paraId="09057450">
            <w:pPr>
              <w:widowControl/>
              <w:jc w:val="center"/>
              <w:rPr>
                <w:rFonts w:ascii="宋体" w:hAnsi="宋体" w:eastAsia="宋体" w:cs="宋体"/>
                <w:kern w:val="0"/>
                <w:sz w:val="24"/>
              </w:rPr>
            </w:pPr>
            <w:r>
              <w:rPr>
                <w:rFonts w:hint="eastAsia" w:ascii="宋体" w:hAnsi="宋体" w:eastAsia="宋体" w:cs="宋体"/>
                <w:kern w:val="0"/>
                <w:sz w:val="24"/>
              </w:rPr>
              <w:t>1.5%</w:t>
            </w:r>
          </w:p>
        </w:tc>
      </w:tr>
      <w:tr w14:paraId="4A59D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14:paraId="43513529">
            <w:pPr>
              <w:widowControl/>
              <w:jc w:val="center"/>
              <w:rPr>
                <w:rFonts w:ascii="宋体" w:hAnsi="宋体" w:eastAsia="宋体" w:cs="宋体"/>
                <w:kern w:val="0"/>
                <w:sz w:val="24"/>
              </w:rPr>
            </w:pPr>
            <w:r>
              <w:rPr>
                <w:rFonts w:hint="eastAsia" w:ascii="宋体" w:hAnsi="宋体" w:eastAsia="宋体" w:cs="宋体"/>
                <w:kern w:val="0"/>
                <w:sz w:val="24"/>
              </w:rPr>
              <w:t>100-500万元</w:t>
            </w:r>
          </w:p>
        </w:tc>
        <w:tc>
          <w:tcPr>
            <w:tcW w:w="4359" w:type="dxa"/>
            <w:vAlign w:val="center"/>
          </w:tcPr>
          <w:p w14:paraId="0ED5C26C">
            <w:pPr>
              <w:widowControl/>
              <w:jc w:val="center"/>
              <w:rPr>
                <w:rFonts w:ascii="宋体" w:hAnsi="宋体" w:eastAsia="宋体" w:cs="宋体"/>
                <w:kern w:val="0"/>
                <w:sz w:val="24"/>
              </w:rPr>
            </w:pPr>
            <w:r>
              <w:rPr>
                <w:rFonts w:hint="eastAsia" w:ascii="宋体" w:hAnsi="宋体" w:eastAsia="宋体" w:cs="宋体"/>
                <w:kern w:val="0"/>
                <w:sz w:val="24"/>
              </w:rPr>
              <w:t>1.1%</w:t>
            </w:r>
          </w:p>
        </w:tc>
      </w:tr>
      <w:tr w14:paraId="4A643E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14:paraId="38320FC7">
            <w:pPr>
              <w:widowControl/>
              <w:jc w:val="center"/>
              <w:rPr>
                <w:rFonts w:ascii="宋体" w:hAnsi="宋体" w:eastAsia="宋体" w:cs="宋体"/>
                <w:kern w:val="0"/>
                <w:sz w:val="24"/>
              </w:rPr>
            </w:pPr>
            <w:r>
              <w:rPr>
                <w:rFonts w:hint="eastAsia" w:ascii="宋体" w:hAnsi="宋体" w:eastAsia="宋体" w:cs="宋体"/>
                <w:kern w:val="0"/>
                <w:sz w:val="24"/>
              </w:rPr>
              <w:t>500-1000万元</w:t>
            </w:r>
          </w:p>
        </w:tc>
        <w:tc>
          <w:tcPr>
            <w:tcW w:w="4359" w:type="dxa"/>
            <w:vAlign w:val="center"/>
          </w:tcPr>
          <w:p w14:paraId="13F4E1C6">
            <w:pPr>
              <w:widowControl/>
              <w:jc w:val="center"/>
              <w:rPr>
                <w:rFonts w:ascii="宋体" w:hAnsi="宋体" w:eastAsia="宋体" w:cs="宋体"/>
                <w:kern w:val="0"/>
                <w:sz w:val="24"/>
              </w:rPr>
            </w:pPr>
            <w:r>
              <w:rPr>
                <w:rFonts w:hint="eastAsia" w:ascii="宋体" w:hAnsi="宋体" w:eastAsia="宋体" w:cs="宋体"/>
                <w:kern w:val="0"/>
                <w:sz w:val="24"/>
              </w:rPr>
              <w:t>0.8%</w:t>
            </w:r>
          </w:p>
        </w:tc>
      </w:tr>
    </w:tbl>
    <w:p w14:paraId="6F38E98D">
      <w:pPr>
        <w:tabs>
          <w:tab w:val="left" w:pos="1060"/>
        </w:tabs>
        <w:spacing w:line="360" w:lineRule="auto"/>
        <w:rPr>
          <w:rFonts w:ascii="宋体" w:hAnsi="宋体" w:eastAsia="宋体" w:cs="宋体"/>
          <w:sz w:val="24"/>
          <w:lang w:val="zh-CN"/>
        </w:rPr>
      </w:pPr>
    </w:p>
    <w:p w14:paraId="0D53EEBB">
      <w:bookmarkStart w:id="151" w:name="_Toc182886647"/>
      <w:bookmarkStart w:id="152" w:name="_Toc372468300"/>
      <w:bookmarkStart w:id="153" w:name="_Toc183316709"/>
      <w:bookmarkStart w:id="154" w:name="_Toc30599"/>
      <w:bookmarkStart w:id="155" w:name="_Toc423021950"/>
    </w:p>
    <w:p w14:paraId="46A342BE"/>
    <w:p w14:paraId="394FF1ED"/>
    <w:p w14:paraId="6537706B"/>
    <w:p w14:paraId="46C98A7A"/>
    <w:p w14:paraId="259569B1"/>
    <w:p w14:paraId="1F0C3878"/>
    <w:p w14:paraId="7291A6BD"/>
    <w:p w14:paraId="037662E7"/>
    <w:p w14:paraId="150EC0A8"/>
    <w:p w14:paraId="1A91CFE9"/>
    <w:p w14:paraId="7687E5A5"/>
    <w:p w14:paraId="48568F37"/>
    <w:p w14:paraId="7B11F788"/>
    <w:p w14:paraId="3CC2CFF7"/>
    <w:p w14:paraId="0FD939B9"/>
    <w:p w14:paraId="454A8CEC"/>
    <w:p w14:paraId="2BEE6F41"/>
    <w:p w14:paraId="5C24684D"/>
    <w:p w14:paraId="04954FF0"/>
    <w:p w14:paraId="71242AD9"/>
    <w:p w14:paraId="5756A0CC"/>
    <w:p w14:paraId="3D7936DF"/>
    <w:p w14:paraId="76E881DC"/>
    <w:p w14:paraId="775EF736"/>
    <w:p w14:paraId="63A6531E"/>
    <w:p w14:paraId="10346599"/>
    <w:p w14:paraId="62E0A89E"/>
    <w:p w14:paraId="71DC7CED"/>
    <w:p w14:paraId="0FD3CF7A"/>
    <w:p w14:paraId="3F4C28FB"/>
    <w:p w14:paraId="76A3D80E"/>
    <w:p w14:paraId="57B81DCD"/>
    <w:p w14:paraId="726AE0BF"/>
    <w:p w14:paraId="264E4579"/>
    <w:p w14:paraId="03CD05C1"/>
    <w:p w14:paraId="25E03580">
      <w:pPr>
        <w:pStyle w:val="2"/>
        <w:jc w:val="center"/>
      </w:pPr>
      <w:bookmarkStart w:id="156" w:name="_Toc19223"/>
      <w:bookmarkStart w:id="157" w:name="_Toc17619"/>
      <w:r>
        <w:rPr>
          <w:rFonts w:hint="eastAsia"/>
        </w:rPr>
        <w:t xml:space="preserve">第三章 </w:t>
      </w:r>
      <w:bookmarkEnd w:id="151"/>
      <w:bookmarkEnd w:id="152"/>
      <w:bookmarkEnd w:id="153"/>
      <w:r>
        <w:rPr>
          <w:rFonts w:hint="eastAsia"/>
        </w:rPr>
        <w:t>评分体系与标准</w:t>
      </w:r>
      <w:bookmarkEnd w:id="154"/>
      <w:bookmarkEnd w:id="155"/>
      <w:bookmarkEnd w:id="156"/>
      <w:bookmarkEnd w:id="157"/>
    </w:p>
    <w:p w14:paraId="6E355AE9">
      <w:r>
        <w:rPr>
          <w:rFonts w:hint="eastAsia"/>
        </w:rPr>
        <w:br w:type="page"/>
      </w:r>
    </w:p>
    <w:p w14:paraId="7CB4E2B1">
      <w:pPr>
        <w:jc w:val="center"/>
        <w:rPr>
          <w:rFonts w:ascii="黑体" w:eastAsia="黑体"/>
          <w:b/>
          <w:bCs/>
          <w:sz w:val="32"/>
          <w:szCs w:val="32"/>
        </w:rPr>
      </w:pPr>
      <w:r>
        <w:rPr>
          <w:rFonts w:hint="eastAsia" w:ascii="黑体" w:eastAsia="黑体"/>
          <w:b/>
          <w:bCs/>
          <w:sz w:val="32"/>
          <w:szCs w:val="32"/>
        </w:rPr>
        <w:t>评分体系与标准</w:t>
      </w:r>
    </w:p>
    <w:p w14:paraId="6612C7DA">
      <w:pPr>
        <w:pStyle w:val="3"/>
        <w:numPr>
          <w:ilvl w:val="0"/>
          <w:numId w:val="42"/>
        </w:numPr>
        <w:adjustRightInd w:val="0"/>
        <w:snapToGrid w:val="0"/>
        <w:spacing w:before="0" w:after="0" w:line="360" w:lineRule="auto"/>
        <w:jc w:val="left"/>
        <w:rPr>
          <w:rFonts w:ascii="宋体" w:hAnsi="宋体" w:eastAsia="宋体" w:cs="宋体"/>
          <w:sz w:val="24"/>
          <w:szCs w:val="24"/>
        </w:rPr>
      </w:pPr>
      <w:bookmarkStart w:id="158" w:name="_Toc18041"/>
      <w:bookmarkStart w:id="159" w:name="_Toc12164"/>
      <w:bookmarkStart w:id="160" w:name="_Toc5450"/>
      <w:bookmarkStart w:id="161" w:name="_Toc23501"/>
      <w:bookmarkStart w:id="162" w:name="_Toc24056"/>
      <w:r>
        <w:rPr>
          <w:rFonts w:hint="eastAsia" w:ascii="宋体" w:hAnsi="宋体" w:eastAsia="宋体" w:cs="宋体"/>
          <w:sz w:val="24"/>
          <w:szCs w:val="24"/>
        </w:rPr>
        <w:t>评标方法</w:t>
      </w:r>
      <w:bookmarkEnd w:id="158"/>
      <w:bookmarkEnd w:id="159"/>
      <w:bookmarkEnd w:id="160"/>
      <w:bookmarkEnd w:id="161"/>
      <w:bookmarkEnd w:id="162"/>
    </w:p>
    <w:p w14:paraId="29A3C90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lang w:val="zh-CN"/>
        </w:rPr>
        <w:t>根据经评审的最低投标价法，能够满足招标文件的实质性要求，并且经评审得分最高的前三名，应当推荐为中标候选人。</w:t>
      </w:r>
    </w:p>
    <w:p w14:paraId="3E38DB6B">
      <w:pPr>
        <w:pStyle w:val="3"/>
        <w:numPr>
          <w:ilvl w:val="0"/>
          <w:numId w:val="42"/>
        </w:numPr>
        <w:adjustRightInd w:val="0"/>
        <w:snapToGrid w:val="0"/>
        <w:spacing w:before="0" w:after="0" w:line="360" w:lineRule="auto"/>
        <w:jc w:val="left"/>
        <w:rPr>
          <w:rFonts w:ascii="宋体" w:hAnsi="宋体" w:eastAsia="宋体" w:cs="宋体"/>
          <w:sz w:val="24"/>
          <w:szCs w:val="24"/>
        </w:rPr>
      </w:pPr>
      <w:bookmarkStart w:id="163" w:name="_Toc4141"/>
      <w:bookmarkStart w:id="164" w:name="_Toc30198"/>
      <w:bookmarkStart w:id="165" w:name="_Toc3659"/>
      <w:bookmarkStart w:id="166" w:name="_Toc29992"/>
      <w:bookmarkStart w:id="167" w:name="_Toc12918"/>
      <w:r>
        <w:rPr>
          <w:rFonts w:hint="eastAsia" w:ascii="宋体" w:hAnsi="宋体" w:eastAsia="宋体" w:cs="宋体"/>
          <w:sz w:val="24"/>
          <w:szCs w:val="24"/>
        </w:rPr>
        <w:t>评标流程</w:t>
      </w:r>
      <w:bookmarkEnd w:id="163"/>
      <w:bookmarkEnd w:id="164"/>
      <w:bookmarkEnd w:id="165"/>
      <w:bookmarkEnd w:id="166"/>
      <w:bookmarkEnd w:id="167"/>
    </w:p>
    <w:p w14:paraId="6A0A577F">
      <w:pPr>
        <w:numPr>
          <w:ilvl w:val="1"/>
          <w:numId w:val="43"/>
        </w:numPr>
        <w:tabs>
          <w:tab w:val="left" w:pos="1220"/>
        </w:tabs>
        <w:adjustRightInd w:val="0"/>
        <w:snapToGrid w:val="0"/>
        <w:spacing w:line="360" w:lineRule="auto"/>
        <w:ind w:hanging="267"/>
        <w:rPr>
          <w:rFonts w:ascii="宋体" w:hAnsi="宋体" w:eastAsia="宋体" w:cs="Times New Roman"/>
          <w:sz w:val="24"/>
        </w:rPr>
      </w:pPr>
      <w:r>
        <w:rPr>
          <w:rFonts w:hint="eastAsia" w:ascii="宋体" w:hAnsi="宋体"/>
          <w:sz w:val="24"/>
        </w:rPr>
        <w:t>由评标委员会对所有已公开开标的投标人进行资格审查</w:t>
      </w:r>
      <w:r>
        <w:rPr>
          <w:rFonts w:hint="eastAsia" w:ascii="宋体" w:hAnsi="宋体" w:eastAsia="宋体" w:cs="Times New Roman"/>
          <w:sz w:val="24"/>
        </w:rPr>
        <w:t>；</w:t>
      </w:r>
    </w:p>
    <w:p w14:paraId="36C782E5">
      <w:pPr>
        <w:numPr>
          <w:ilvl w:val="1"/>
          <w:numId w:val="43"/>
        </w:numPr>
        <w:tabs>
          <w:tab w:val="left" w:pos="1220"/>
        </w:tabs>
        <w:adjustRightInd w:val="0"/>
        <w:snapToGrid w:val="0"/>
        <w:spacing w:line="360" w:lineRule="auto"/>
        <w:ind w:hanging="267"/>
        <w:rPr>
          <w:rFonts w:ascii="宋体" w:hAnsi="宋体" w:eastAsia="宋体" w:cs="Times New Roman"/>
          <w:sz w:val="24"/>
        </w:rPr>
      </w:pPr>
      <w:r>
        <w:rPr>
          <w:rFonts w:hint="eastAsia" w:ascii="宋体" w:hAnsi="宋体" w:eastAsia="宋体" w:cs="Times New Roman"/>
          <w:sz w:val="24"/>
        </w:rPr>
        <w:t>投标文件有效性审查；</w:t>
      </w:r>
    </w:p>
    <w:p w14:paraId="2B7F34D7">
      <w:pPr>
        <w:numPr>
          <w:ilvl w:val="1"/>
          <w:numId w:val="43"/>
        </w:numPr>
        <w:tabs>
          <w:tab w:val="left" w:pos="1220"/>
        </w:tabs>
        <w:adjustRightInd w:val="0"/>
        <w:snapToGrid w:val="0"/>
        <w:spacing w:line="360" w:lineRule="auto"/>
        <w:ind w:hanging="267"/>
        <w:rPr>
          <w:rFonts w:ascii="宋体" w:hAnsi="宋体" w:eastAsia="宋体" w:cs="Times New Roman"/>
          <w:sz w:val="24"/>
        </w:rPr>
      </w:pPr>
      <w:r>
        <w:rPr>
          <w:rFonts w:hint="eastAsia" w:ascii="宋体" w:hAnsi="宋体" w:eastAsia="宋体" w:cs="Times New Roman"/>
          <w:sz w:val="24"/>
        </w:rPr>
        <w:t>对投标报价进行算术校核；</w:t>
      </w:r>
    </w:p>
    <w:p w14:paraId="311B8C7F">
      <w:pPr>
        <w:numPr>
          <w:ilvl w:val="1"/>
          <w:numId w:val="43"/>
        </w:numPr>
        <w:tabs>
          <w:tab w:val="left" w:pos="1220"/>
        </w:tabs>
        <w:adjustRightInd w:val="0"/>
        <w:snapToGrid w:val="0"/>
        <w:spacing w:line="360" w:lineRule="auto"/>
        <w:ind w:hanging="267"/>
        <w:rPr>
          <w:rFonts w:ascii="宋体" w:hAnsi="宋体" w:eastAsia="宋体" w:cs="Times New Roman"/>
          <w:sz w:val="24"/>
        </w:rPr>
      </w:pPr>
      <w:r>
        <w:rPr>
          <w:rFonts w:hint="eastAsia" w:ascii="宋体" w:hAnsi="宋体" w:eastAsia="宋体" w:cs="Times New Roman"/>
          <w:sz w:val="24"/>
        </w:rPr>
        <w:t>计算投标人价格总得分，并按价格总得分从高到低，确定投标报价评审排序；</w:t>
      </w:r>
    </w:p>
    <w:p w14:paraId="10410B0E">
      <w:pPr>
        <w:numPr>
          <w:ilvl w:val="1"/>
          <w:numId w:val="43"/>
        </w:numPr>
        <w:tabs>
          <w:tab w:val="left" w:pos="1220"/>
        </w:tabs>
        <w:adjustRightInd w:val="0"/>
        <w:snapToGrid w:val="0"/>
        <w:spacing w:line="360" w:lineRule="auto"/>
        <w:ind w:hanging="267"/>
        <w:rPr>
          <w:rFonts w:ascii="宋体" w:hAnsi="宋体" w:eastAsia="宋体" w:cs="Times New Roman"/>
          <w:sz w:val="24"/>
        </w:rPr>
      </w:pPr>
      <w:r>
        <w:rPr>
          <w:rFonts w:hint="eastAsia" w:ascii="宋体" w:hAnsi="宋体" w:eastAsia="宋体" w:cs="Times New Roman"/>
          <w:sz w:val="24"/>
        </w:rPr>
        <w:t>评标委员会编写评审报告，向招标人推荐中标候选人。</w:t>
      </w:r>
    </w:p>
    <w:p w14:paraId="58481187">
      <w:pPr>
        <w:pStyle w:val="3"/>
        <w:numPr>
          <w:ilvl w:val="0"/>
          <w:numId w:val="42"/>
        </w:numPr>
        <w:adjustRightInd w:val="0"/>
        <w:snapToGrid w:val="0"/>
        <w:spacing w:before="0" w:after="0" w:line="360" w:lineRule="auto"/>
        <w:jc w:val="left"/>
        <w:rPr>
          <w:rFonts w:ascii="宋体" w:hAnsi="宋体" w:eastAsia="宋体" w:cs="宋体"/>
          <w:sz w:val="24"/>
          <w:szCs w:val="24"/>
          <w:lang w:val="zh-CN"/>
        </w:rPr>
      </w:pPr>
      <w:bookmarkStart w:id="168" w:name="_Toc9811"/>
      <w:bookmarkStart w:id="169" w:name="_Toc29918"/>
      <w:bookmarkStart w:id="170" w:name="_Toc30393"/>
      <w:bookmarkStart w:id="171" w:name="_Toc12069"/>
      <w:bookmarkStart w:id="172" w:name="_Toc332"/>
      <w:r>
        <w:rPr>
          <w:rFonts w:hint="eastAsia" w:ascii="宋体" w:hAnsi="宋体" w:eastAsia="宋体" w:cs="宋体"/>
          <w:sz w:val="24"/>
          <w:szCs w:val="24"/>
          <w:lang w:val="zh-CN"/>
        </w:rPr>
        <w:t>初步评审</w:t>
      </w:r>
      <w:bookmarkEnd w:id="168"/>
      <w:bookmarkEnd w:id="169"/>
      <w:bookmarkEnd w:id="170"/>
      <w:bookmarkEnd w:id="171"/>
      <w:bookmarkEnd w:id="172"/>
    </w:p>
    <w:p w14:paraId="17D58B39">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b/>
          <w:bCs/>
          <w:sz w:val="24"/>
        </w:rPr>
        <w:t>投标文件的资格性审查</w:t>
      </w:r>
    </w:p>
    <w:p w14:paraId="2134A72C">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w:t>
      </w:r>
      <w:r>
        <w:rPr>
          <w:rFonts w:hint="eastAsia" w:ascii="宋体" w:hAnsi="宋体"/>
          <w:sz w:val="24"/>
        </w:rPr>
        <w:t>1</w:t>
      </w:r>
      <w:r>
        <w:rPr>
          <w:rFonts w:hint="eastAsia" w:ascii="宋体" w:hAnsi="宋体"/>
          <w:sz w:val="24"/>
          <w:lang w:val="zh-CN"/>
        </w:rPr>
        <w:t>）招标人或招标代理机构根据《资格性审查表》（见附表1）对投标人的资格逐项进行审查。</w:t>
      </w:r>
    </w:p>
    <w:p w14:paraId="530441D9">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（2）只有通过资格审查的投标人才能进入有效性审查。</w:t>
      </w:r>
    </w:p>
    <w:p w14:paraId="44A6E993">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（3）如评标委员会成员的评审意见不一致时，以评标委员会过半数成员的意见作为评标委员会对该情形的认定结论。</w:t>
      </w:r>
    </w:p>
    <w:p w14:paraId="14480009">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（4）资格审查不合格的投标文件不参加下一阶段的评标，不参与评标参考价的计算。未通过资格性审查的投标为无效投标，招标代理机构将及时告知投标人。</w:t>
      </w:r>
    </w:p>
    <w:p w14:paraId="2CA9F870">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（5）资审合格后，投标人的资格发生变化而不满足投标人合格条件，在发出中标通知书前，资格问题仍未解决的，招标人将取消其中标资格。</w:t>
      </w:r>
    </w:p>
    <w:p w14:paraId="73372FDF">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（6）资格审查合格的投标人少于3名的，则本项目招标失败。</w:t>
      </w:r>
    </w:p>
    <w:p w14:paraId="33BC6A4F">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b/>
          <w:bCs/>
          <w:sz w:val="24"/>
        </w:rPr>
        <w:t>投标文件的有效性审查</w:t>
      </w:r>
    </w:p>
    <w:p w14:paraId="19B596BD">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（1）评标委员会根据《有效性审查表》（见附表2）对投标人的有效性逐项进行审查。</w:t>
      </w:r>
    </w:p>
    <w:p w14:paraId="230EA56C">
      <w:pPr>
        <w:numPr>
          <w:ilvl w:val="255"/>
          <w:numId w:val="0"/>
        </w:numPr>
        <w:tabs>
          <w:tab w:val="left" w:pos="1220"/>
        </w:tabs>
        <w:adjustRightInd w:val="0"/>
        <w:snapToGrid w:val="0"/>
        <w:spacing w:line="360" w:lineRule="auto"/>
        <w:ind w:left="1125" w:leftChars="250" w:hanging="600" w:hangingChars="250"/>
        <w:rPr>
          <w:rFonts w:ascii="宋体" w:hAnsi="宋体"/>
          <w:sz w:val="24"/>
          <w:lang w:val="zh-CN"/>
        </w:rPr>
      </w:pPr>
      <w:r>
        <w:rPr>
          <w:rFonts w:hint="eastAsia" w:ascii="宋体" w:hAnsi="宋体"/>
          <w:sz w:val="24"/>
          <w:lang w:val="zh-CN"/>
        </w:rPr>
        <w:t>（2）投标文件中没有任一种列于本办法附表2《有效性审查》中情形的，为有效标书。否则为无效标书，经评标委员会认定后，其投标文件将被拒绝。如评标委员会成员的评审意见不一致时，以评标委员会过半数成员的意见作为评标委员会对该情形的认定结论。</w:t>
      </w:r>
    </w:p>
    <w:p w14:paraId="34AF7112">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b/>
          <w:bCs/>
          <w:sz w:val="24"/>
        </w:rPr>
        <w:t>投标文件算术校核</w:t>
      </w:r>
    </w:p>
    <w:p w14:paraId="0CCC20F1">
      <w:pPr>
        <w:tabs>
          <w:tab w:val="left" w:pos="1220"/>
        </w:tabs>
        <w:adjustRightInd w:val="0"/>
        <w:snapToGrid w:val="0"/>
        <w:spacing w:line="360" w:lineRule="auto"/>
        <w:ind w:left="840" w:leftChars="400" w:firstLine="480" w:firstLineChars="200"/>
        <w:rPr>
          <w:rFonts w:ascii="宋体" w:hAnsi="宋体"/>
          <w:color w:val="000000"/>
          <w:sz w:val="24"/>
        </w:rPr>
      </w:pPr>
      <w:r>
        <w:rPr>
          <w:rFonts w:hint="eastAsia" w:ascii="宋体" w:hAnsi="宋体"/>
          <w:color w:val="000000"/>
          <w:sz w:val="24"/>
        </w:rPr>
        <w:t>评标委员会将对通过有效性审查的投标文件投标报价按照就低不就高的原则进行算术校核，具体标准如下：</w:t>
      </w:r>
    </w:p>
    <w:p w14:paraId="3066A6C9">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（1）如果数字表示的金额和用文字表示的金额不一致时，应以文字表示的金额为准；</w:t>
      </w:r>
    </w:p>
    <w:p w14:paraId="7964F816">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（2）经算术复核的中标候选人报价与其投标报价不一致时，按就低不就高原则确定其最终报价；</w:t>
      </w:r>
    </w:p>
    <w:p w14:paraId="08B44200">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E88A5E5">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（4）当合价、金额累加错误时，按就低不就高原则，如果累加修正值小于原累加值，则按累加修正值；如果累加修正值大于原累加值，则按原累加值；</w:t>
      </w:r>
    </w:p>
    <w:p w14:paraId="77F2F0F2">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（5）如果投标人的有关规费、暂列金额、暂估价、绿色施工安全防护措施费等未按招标文件规定的金额填写的，由评标委员会按照招标文件规定的金额进行修正； 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DDB43DC">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（7）按就低不就高原则，当修正后报价小于原报价，总价按修正后报价；当修正后报价大于原报价，总价按原报价，并在签订合同时载明在结算价中扣除修正报价与原报价的差额。</w:t>
      </w:r>
    </w:p>
    <w:p w14:paraId="1BE91215">
      <w:pPr>
        <w:numPr>
          <w:ilvl w:val="255"/>
          <w:numId w:val="0"/>
        </w:numPr>
        <w:tabs>
          <w:tab w:val="left" w:pos="1220"/>
        </w:tabs>
        <w:adjustRightInd w:val="0"/>
        <w:snapToGrid w:val="0"/>
        <w:spacing w:line="360" w:lineRule="auto"/>
        <w:ind w:left="1230" w:leftChars="300" w:hanging="600" w:hangingChars="250"/>
        <w:rPr>
          <w:rFonts w:ascii="宋体" w:hAnsi="宋体"/>
          <w:sz w:val="24"/>
          <w:lang w:val="zh-CN"/>
        </w:rPr>
      </w:pPr>
      <w:r>
        <w:rPr>
          <w:rFonts w:hint="eastAsia" w:ascii="宋体" w:hAnsi="宋体"/>
          <w:sz w:val="24"/>
          <w:lang w:val="zh-CN"/>
        </w:rPr>
        <w:t>（8）按上述修正错误的原则及方法调整或修正投标文件的投标报价，调整后的投标报价对投标人起约束作用。如果投标人不接受修正后的报价，则取消其投标资格，并且其投标保证金也将不予退还。</w:t>
      </w:r>
    </w:p>
    <w:p w14:paraId="089DA6A8">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标处理。</w:t>
      </w:r>
    </w:p>
    <w:p w14:paraId="42A24E83">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对于投标文件中不构成实质性偏差的不正规、不一致或不规则，评标委员会可以接受，但这种接受不能损害或影响任何投标人的相对排序。</w:t>
      </w:r>
    </w:p>
    <w:p w14:paraId="55CD5CA5">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417CCAD8">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有下列情形之一的，评标委员会应当否决其投标：</w:t>
      </w:r>
    </w:p>
    <w:p w14:paraId="32E50DE4">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（一）投标文件未经投标单位盖章和单位负责人签字；</w:t>
      </w:r>
    </w:p>
    <w:p w14:paraId="6E858FB6">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（二）投标联合体没有提交共同投标协议；</w:t>
      </w:r>
    </w:p>
    <w:p w14:paraId="6C38807F">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（三）投标人不符合国家或者招标文件规定的资格条件；</w:t>
      </w:r>
    </w:p>
    <w:p w14:paraId="5FEDF162">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（四）同一投标人提交两个以上不同的投标文件或者投标报价，但招标文件要求提交备选投标的除外；</w:t>
      </w:r>
    </w:p>
    <w:p w14:paraId="19FC1751">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（五）投标报价低于成本或者高于招标文件设定的最高投标限价；</w:t>
      </w:r>
    </w:p>
    <w:p w14:paraId="6F70167D">
      <w:pPr>
        <w:numPr>
          <w:ilvl w:val="255"/>
          <w:numId w:val="0"/>
        </w:numPr>
        <w:tabs>
          <w:tab w:val="left" w:pos="1220"/>
        </w:tabs>
        <w:adjustRightInd w:val="0"/>
        <w:snapToGrid w:val="0"/>
        <w:spacing w:line="360" w:lineRule="auto"/>
        <w:ind w:left="1650" w:leftChars="500" w:hanging="600" w:hangingChars="250"/>
        <w:rPr>
          <w:rFonts w:ascii="宋体" w:hAnsi="宋体"/>
          <w:sz w:val="24"/>
          <w:lang w:val="zh-CN"/>
        </w:rPr>
      </w:pPr>
      <w:r>
        <w:rPr>
          <w:rFonts w:hint="eastAsia" w:ascii="宋体" w:hAnsi="宋体"/>
          <w:sz w:val="24"/>
          <w:lang w:val="zh-CN"/>
        </w:rPr>
        <w:t>（六）投标文件没有对招标文件的实质性要求和条件作出响应；</w:t>
      </w:r>
    </w:p>
    <w:p w14:paraId="08A98402">
      <w:pPr>
        <w:tabs>
          <w:tab w:val="left" w:pos="975"/>
          <w:tab w:val="left" w:pos="1240"/>
        </w:tabs>
        <w:adjustRightInd w:val="0"/>
        <w:snapToGrid w:val="0"/>
        <w:spacing w:line="360" w:lineRule="auto"/>
        <w:ind w:left="636" w:leftChars="303" w:firstLine="480" w:firstLineChars="200"/>
        <w:rPr>
          <w:rFonts w:ascii="宋体" w:hAnsi="宋体" w:eastAsia="宋体" w:cs="宋体"/>
          <w:sz w:val="24"/>
        </w:rPr>
      </w:pPr>
      <w:r>
        <w:rPr>
          <w:rFonts w:hint="eastAsia" w:ascii="宋体" w:hAnsi="宋体"/>
          <w:sz w:val="24"/>
          <w:lang w:val="zh-CN"/>
        </w:rPr>
        <w:t>（七）投标人有串通投标、弄虚作假、行贿等违法行为。</w:t>
      </w:r>
    </w:p>
    <w:p w14:paraId="5B94391C">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如发生下列情形之一的，本项目废标：</w:t>
      </w:r>
    </w:p>
    <w:p w14:paraId="40512B5E">
      <w:pPr>
        <w:numPr>
          <w:ilvl w:val="0"/>
          <w:numId w:val="45"/>
        </w:numPr>
        <w:tabs>
          <w:tab w:val="left" w:pos="975"/>
          <w:tab w:val="left" w:pos="1240"/>
        </w:tabs>
        <w:adjustRightInd w:val="0"/>
        <w:snapToGrid w:val="0"/>
        <w:spacing w:line="360" w:lineRule="auto"/>
        <w:ind w:left="1296" w:leftChars="303" w:hanging="660"/>
        <w:rPr>
          <w:rFonts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5546D19E">
      <w:pPr>
        <w:numPr>
          <w:ilvl w:val="0"/>
          <w:numId w:val="45"/>
        </w:numPr>
        <w:tabs>
          <w:tab w:val="left" w:pos="975"/>
          <w:tab w:val="left" w:pos="1240"/>
        </w:tabs>
        <w:adjustRightInd w:val="0"/>
        <w:snapToGrid w:val="0"/>
        <w:spacing w:line="360" w:lineRule="auto"/>
        <w:ind w:left="1296" w:leftChars="303" w:hanging="660"/>
        <w:rPr>
          <w:rFonts w:ascii="宋体" w:hAnsi="宋体" w:eastAsia="宋体" w:cs="宋体"/>
          <w:sz w:val="24"/>
        </w:rPr>
      </w:pPr>
      <w:r>
        <w:rPr>
          <w:rFonts w:hint="eastAsia" w:ascii="宋体" w:hAnsi="宋体" w:eastAsia="宋体" w:cs="宋体"/>
          <w:sz w:val="24"/>
        </w:rPr>
        <w:t>出现影响采购公正的违法、违规行为的；</w:t>
      </w:r>
    </w:p>
    <w:p w14:paraId="312B5F8F">
      <w:pPr>
        <w:numPr>
          <w:ilvl w:val="0"/>
          <w:numId w:val="45"/>
        </w:numPr>
        <w:tabs>
          <w:tab w:val="left" w:pos="975"/>
          <w:tab w:val="left" w:pos="1240"/>
        </w:tabs>
        <w:adjustRightInd w:val="0"/>
        <w:snapToGrid w:val="0"/>
        <w:spacing w:line="360" w:lineRule="auto"/>
        <w:ind w:left="1296" w:leftChars="303" w:hanging="660"/>
        <w:rPr>
          <w:rFonts w:ascii="宋体" w:hAnsi="宋体" w:eastAsia="宋体" w:cs="宋体"/>
          <w:sz w:val="24"/>
        </w:rPr>
      </w:pPr>
      <w:r>
        <w:rPr>
          <w:rFonts w:hint="eastAsia" w:ascii="宋体" w:hAnsi="宋体" w:eastAsia="宋体" w:cs="宋体"/>
          <w:sz w:val="24"/>
        </w:rPr>
        <w:t>投标人的报价均超过了采购预算，招标人不能支付的；</w:t>
      </w:r>
    </w:p>
    <w:p w14:paraId="51449951">
      <w:pPr>
        <w:numPr>
          <w:ilvl w:val="0"/>
          <w:numId w:val="45"/>
        </w:numPr>
        <w:tabs>
          <w:tab w:val="left" w:pos="975"/>
          <w:tab w:val="left" w:pos="1240"/>
        </w:tabs>
        <w:adjustRightInd w:val="0"/>
        <w:snapToGrid w:val="0"/>
        <w:spacing w:line="360" w:lineRule="auto"/>
        <w:ind w:left="1296" w:leftChars="303" w:hanging="660"/>
        <w:rPr>
          <w:rFonts w:ascii="宋体" w:hAnsi="宋体" w:eastAsia="宋体" w:cs="宋体"/>
          <w:sz w:val="24"/>
        </w:rPr>
      </w:pPr>
      <w:r>
        <w:rPr>
          <w:rFonts w:hint="eastAsia" w:ascii="宋体" w:hAnsi="宋体" w:eastAsia="宋体" w:cs="宋体"/>
          <w:sz w:val="24"/>
        </w:rPr>
        <w:t>因重大变故，采购任务取消的。</w:t>
      </w:r>
    </w:p>
    <w:p w14:paraId="74B491EE">
      <w:pPr>
        <w:numPr>
          <w:ilvl w:val="1"/>
          <w:numId w:val="44"/>
        </w:numPr>
        <w:tabs>
          <w:tab w:val="left" w:pos="1220"/>
          <w:tab w:val="clear" w:pos="907"/>
        </w:tabs>
        <w:adjustRightInd w:val="0"/>
        <w:snapToGrid w:val="0"/>
        <w:spacing w:line="360" w:lineRule="auto"/>
        <w:ind w:left="1187" w:hanging="547"/>
        <w:rPr>
          <w:rFonts w:ascii="宋体" w:hAnsi="宋体" w:eastAsia="宋体" w:cs="宋体"/>
          <w:sz w:val="24"/>
          <w:lang w:val="zh-CN"/>
        </w:rPr>
      </w:pPr>
      <w:r>
        <w:rPr>
          <w:rFonts w:hint="eastAsia" w:ascii="宋体" w:hAnsi="宋体" w:eastAsia="宋体" w:cs="宋体"/>
          <w:sz w:val="24"/>
          <w:lang w:val="zh-CN"/>
        </w:rPr>
        <w:t>投标文件的澄清</w:t>
      </w:r>
    </w:p>
    <w:p w14:paraId="116E0773">
      <w:pPr>
        <w:numPr>
          <w:ilvl w:val="0"/>
          <w:numId w:val="46"/>
        </w:numPr>
        <w:tabs>
          <w:tab w:val="left" w:pos="975"/>
          <w:tab w:val="left" w:pos="1240"/>
        </w:tabs>
        <w:adjustRightInd w:val="0"/>
        <w:snapToGrid w:val="0"/>
        <w:spacing w:line="360" w:lineRule="auto"/>
        <w:ind w:left="1296" w:leftChars="303" w:hanging="660"/>
        <w:rPr>
          <w:rFonts w:ascii="宋体" w:hAnsi="宋体" w:eastAsia="宋体" w:cs="宋体"/>
          <w:sz w:val="24"/>
          <w:lang w:val="zh-CN"/>
        </w:rPr>
      </w:pPr>
      <w:r>
        <w:rPr>
          <w:rFonts w:hint="eastAsia" w:ascii="宋体" w:hAnsi="宋体" w:eastAsia="宋体" w:cs="宋体"/>
          <w:sz w:val="24"/>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r>
        <w:rPr>
          <w:rFonts w:hint="eastAsia" w:ascii="宋体" w:hAnsi="宋体"/>
          <w:color w:val="000000"/>
          <w:sz w:val="24"/>
        </w:rPr>
        <w:t>超出部分不作为评标委员会评审的依据。</w:t>
      </w:r>
    </w:p>
    <w:p w14:paraId="71DC1E74">
      <w:pPr>
        <w:numPr>
          <w:ilvl w:val="0"/>
          <w:numId w:val="46"/>
        </w:numPr>
        <w:tabs>
          <w:tab w:val="left" w:pos="975"/>
          <w:tab w:val="left" w:pos="1240"/>
        </w:tabs>
        <w:adjustRightInd w:val="0"/>
        <w:snapToGrid w:val="0"/>
        <w:spacing w:line="360" w:lineRule="auto"/>
        <w:ind w:left="1296" w:leftChars="303" w:hanging="660"/>
        <w:rPr>
          <w:rFonts w:ascii="宋体" w:hAnsi="宋体" w:eastAsia="宋体" w:cs="宋体"/>
          <w:sz w:val="24"/>
          <w:lang w:val="zh-CN"/>
        </w:rPr>
      </w:pPr>
      <w:r>
        <w:rPr>
          <w:rFonts w:hint="eastAsia" w:ascii="宋体" w:hAnsi="宋体" w:eastAsia="宋体" w:cs="宋体"/>
          <w:sz w:val="24"/>
          <w:lang w:val="zh-CN"/>
        </w:rPr>
        <w:t>投标人的澄清文件是其投标文件的组成部分。</w:t>
      </w:r>
    </w:p>
    <w:p w14:paraId="6EF1E30C">
      <w:pPr>
        <w:pStyle w:val="3"/>
        <w:numPr>
          <w:ilvl w:val="0"/>
          <w:numId w:val="42"/>
        </w:numPr>
        <w:adjustRightInd w:val="0"/>
        <w:snapToGrid w:val="0"/>
        <w:spacing w:before="0" w:after="0" w:line="360" w:lineRule="auto"/>
        <w:jc w:val="left"/>
        <w:rPr>
          <w:rFonts w:ascii="宋体" w:hAnsi="宋体" w:eastAsia="宋体" w:cs="宋体"/>
          <w:sz w:val="24"/>
          <w:szCs w:val="24"/>
          <w:lang w:val="zh-CN"/>
        </w:rPr>
      </w:pPr>
      <w:bookmarkStart w:id="173" w:name="_Toc152"/>
      <w:bookmarkStart w:id="174" w:name="_Toc21936"/>
      <w:bookmarkStart w:id="175" w:name="_Toc8047"/>
      <w:bookmarkStart w:id="176" w:name="_Toc23079"/>
      <w:bookmarkStart w:id="177" w:name="_Toc31958"/>
      <w:r>
        <w:rPr>
          <w:rFonts w:hint="eastAsia" w:ascii="宋体" w:hAnsi="宋体" w:eastAsia="宋体" w:cs="宋体"/>
          <w:sz w:val="24"/>
          <w:szCs w:val="24"/>
          <w:lang w:val="zh-CN"/>
        </w:rPr>
        <w:t>价格评审</w:t>
      </w:r>
      <w:bookmarkEnd w:id="173"/>
      <w:bookmarkEnd w:id="174"/>
      <w:bookmarkEnd w:id="175"/>
      <w:bookmarkEnd w:id="176"/>
      <w:bookmarkEnd w:id="177"/>
    </w:p>
    <w:p w14:paraId="0CFC7718">
      <w:pPr>
        <w:numPr>
          <w:ilvl w:val="1"/>
          <w:numId w:val="47"/>
        </w:numPr>
        <w:tabs>
          <w:tab w:val="left" w:pos="1220"/>
          <w:tab w:val="clear" w:pos="907"/>
        </w:tabs>
        <w:adjustRightInd w:val="0"/>
        <w:snapToGrid w:val="0"/>
        <w:spacing w:line="360" w:lineRule="auto"/>
        <w:ind w:left="1207" w:hanging="567"/>
        <w:rPr>
          <w:rFonts w:ascii="宋体" w:hAnsi="宋体" w:eastAsia="宋体" w:cs="宋体"/>
          <w:sz w:val="24"/>
          <w:lang w:val="zh-CN"/>
        </w:rPr>
      </w:pPr>
      <w:r>
        <w:rPr>
          <w:rFonts w:hint="eastAsia" w:ascii="宋体" w:hAnsi="宋体" w:eastAsia="宋体" w:cs="宋体"/>
          <w:sz w:val="24"/>
          <w:lang w:val="zh-CN"/>
        </w:rPr>
        <w:t>价格评审：评标委员会对各个有效投标人的投标报价进行校核、评审或作出必要的修正，并按价格评分办法计算其价格评分。</w:t>
      </w:r>
      <w:r>
        <w:rPr>
          <w:rFonts w:ascii="宋体" w:hAnsi="宋体" w:eastAsia="宋体" w:cs="宋体"/>
          <w:sz w:val="24"/>
        </w:rPr>
        <w:t>价格评审采用低价优先法计算，即满足招标文件要求（通过</w:t>
      </w:r>
      <w:r>
        <w:rPr>
          <w:rFonts w:hint="eastAsia" w:ascii="宋体" w:hAnsi="宋体" w:eastAsia="宋体" w:cs="宋体"/>
          <w:sz w:val="24"/>
        </w:rPr>
        <w:t>资格性审查及符合性</w:t>
      </w:r>
      <w:r>
        <w:rPr>
          <w:rFonts w:ascii="宋体" w:hAnsi="宋体" w:eastAsia="宋体" w:cs="宋体"/>
          <w:sz w:val="24"/>
        </w:rPr>
        <w:t>审查）且</w:t>
      </w:r>
      <w:r>
        <w:rPr>
          <w:rFonts w:hint="eastAsia" w:ascii="宋体" w:hAnsi="宋体" w:eastAsia="宋体" w:cs="宋体"/>
          <w:sz w:val="24"/>
        </w:rPr>
        <w:t>各分项</w:t>
      </w:r>
      <w:r>
        <w:rPr>
          <w:rFonts w:ascii="宋体" w:hAnsi="宋体" w:eastAsia="宋体" w:cs="宋体"/>
          <w:sz w:val="24"/>
        </w:rPr>
        <w:t>报价最低的报价（指修正后报价）为评标基准价，其</w:t>
      </w:r>
      <w:r>
        <w:rPr>
          <w:rFonts w:hint="eastAsia" w:ascii="宋体" w:hAnsi="宋体" w:eastAsia="宋体" w:cs="宋体"/>
          <w:sz w:val="24"/>
        </w:rPr>
        <w:t>分项</w:t>
      </w:r>
      <w:r>
        <w:rPr>
          <w:rFonts w:ascii="宋体" w:hAnsi="宋体" w:eastAsia="宋体" w:cs="宋体"/>
          <w:sz w:val="24"/>
        </w:rPr>
        <w:t>价格分为满分。</w:t>
      </w:r>
    </w:p>
    <w:p w14:paraId="4A554F28">
      <w:pPr>
        <w:numPr>
          <w:ilvl w:val="0"/>
          <w:numId w:val="48"/>
        </w:numPr>
        <w:tabs>
          <w:tab w:val="left" w:pos="1280"/>
        </w:tabs>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投标报价的校核及对报价错误的处理与修正原则：评标委员会详细分析、核准供应商价格表，检查其是否存在计算上或累加上的算术错误，并按以下原则进行修正：</w:t>
      </w:r>
    </w:p>
    <w:p w14:paraId="1E7FA6D9">
      <w:pPr>
        <w:numPr>
          <w:ilvl w:val="0"/>
          <w:numId w:val="49"/>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投标文件的大写金额与小写金额不一致的，以大写金额为准。</w:t>
      </w:r>
    </w:p>
    <w:p w14:paraId="0C3570C8">
      <w:pPr>
        <w:numPr>
          <w:ilvl w:val="0"/>
          <w:numId w:val="49"/>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总价金额与按单价汇总金额不一致的，以单价金额计算结果为准。</w:t>
      </w:r>
    </w:p>
    <w:p w14:paraId="4628F22A">
      <w:pPr>
        <w:numPr>
          <w:ilvl w:val="0"/>
          <w:numId w:val="49"/>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单价金额小数点有明显错位的，以总价为准，并修改单价。</w:t>
      </w:r>
    </w:p>
    <w:p w14:paraId="374133DB">
      <w:pPr>
        <w:numPr>
          <w:ilvl w:val="0"/>
          <w:numId w:val="48"/>
        </w:numPr>
        <w:tabs>
          <w:tab w:val="left" w:pos="1280"/>
        </w:tabs>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投标报价缺漏项的处理：对投标货物投标报价缺漏项的，评标委员会将以其他投标人对应项的最高投标报价补充计入其评标总价；若其中标，有关该内容的合同价格不予调整。</w:t>
      </w:r>
    </w:p>
    <w:p w14:paraId="2A3A6534">
      <w:pPr>
        <w:numPr>
          <w:ilvl w:val="0"/>
          <w:numId w:val="48"/>
        </w:numPr>
        <w:tabs>
          <w:tab w:val="left" w:pos="1280"/>
        </w:tabs>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评标价的确定：按上述条款校核修正后的价格为评标价。</w:t>
      </w:r>
    </w:p>
    <w:p w14:paraId="5548E511">
      <w:pPr>
        <w:numPr>
          <w:ilvl w:val="0"/>
          <w:numId w:val="48"/>
        </w:numPr>
        <w:tabs>
          <w:tab w:val="left" w:pos="1280"/>
        </w:tabs>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中标价的确定：中标价将根据投标人的报价及招标文件评标办法按照下述原则修正，但无论如何修正，中标价不能大于投标人的报价。</w:t>
      </w:r>
    </w:p>
    <w:p w14:paraId="3C91479B">
      <w:pPr>
        <w:numPr>
          <w:ilvl w:val="0"/>
          <w:numId w:val="50"/>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以投标报价总表中的投标总价大写表述为准；</w:t>
      </w:r>
    </w:p>
    <w:p w14:paraId="0784047E">
      <w:pPr>
        <w:numPr>
          <w:ilvl w:val="0"/>
          <w:numId w:val="50"/>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单价与数量之积与合价不一致时以小者为准；</w:t>
      </w:r>
    </w:p>
    <w:p w14:paraId="1ECE92A3">
      <w:pPr>
        <w:numPr>
          <w:ilvl w:val="0"/>
          <w:numId w:val="50"/>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缺项、漏项时视为包含在其他项目中；</w:t>
      </w:r>
    </w:p>
    <w:p w14:paraId="467B00BA">
      <w:pPr>
        <w:numPr>
          <w:ilvl w:val="0"/>
          <w:numId w:val="50"/>
        </w:numPr>
        <w:tabs>
          <w:tab w:val="left" w:pos="1134"/>
        </w:tabs>
        <w:adjustRightInd w:val="0"/>
        <w:snapToGrid w:val="0"/>
        <w:spacing w:line="360" w:lineRule="auto"/>
        <w:rPr>
          <w:rFonts w:ascii="宋体" w:hAnsi="宋体" w:eastAsia="宋体" w:cs="宋体"/>
          <w:sz w:val="24"/>
        </w:rPr>
      </w:pPr>
      <w:r>
        <w:rPr>
          <w:rFonts w:hint="eastAsia" w:ascii="宋体" w:hAnsi="宋体" w:eastAsia="宋体" w:cs="宋体"/>
          <w:sz w:val="24"/>
        </w:rPr>
        <w:t>其他情况按照靠小不靠大的原则予以修正调整。</w:t>
      </w:r>
    </w:p>
    <w:p w14:paraId="3B035E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按照上述原则修正后的总价如果超出投标人的报价，则将中标价调整至投标人的报价；如果总价小于投标人的报价，则修正后的总价为中标价。</w:t>
      </w:r>
    </w:p>
    <w:p w14:paraId="3012FB3D">
      <w:pPr>
        <w:numPr>
          <w:ilvl w:val="0"/>
          <w:numId w:val="48"/>
        </w:numPr>
        <w:tabs>
          <w:tab w:val="left" w:pos="1280"/>
        </w:tabs>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推荐意见</w:t>
      </w:r>
    </w:p>
    <w:p w14:paraId="3C0F9C8F">
      <w:pPr>
        <w:tabs>
          <w:tab w:val="left" w:pos="1220"/>
        </w:tabs>
        <w:adjustRightInd w:val="0"/>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按照投标人价格得分从高至低，确定最终排序。总得分相同的投标文件，由评标委员会采用随机抽取方式，确定中标候选人的排序。</w:t>
      </w:r>
    </w:p>
    <w:p w14:paraId="7995C266">
      <w:pPr>
        <w:pStyle w:val="3"/>
        <w:numPr>
          <w:ilvl w:val="0"/>
          <w:numId w:val="42"/>
        </w:numPr>
        <w:adjustRightInd w:val="0"/>
        <w:snapToGrid w:val="0"/>
        <w:spacing w:before="0" w:after="0" w:line="360" w:lineRule="auto"/>
        <w:jc w:val="left"/>
        <w:rPr>
          <w:rFonts w:ascii="宋体" w:hAnsi="宋体" w:eastAsia="宋体" w:cs="宋体"/>
          <w:sz w:val="24"/>
          <w:szCs w:val="24"/>
          <w:lang w:val="zh-CN"/>
        </w:rPr>
      </w:pPr>
      <w:bookmarkStart w:id="178" w:name="_Toc30220"/>
      <w:bookmarkStart w:id="179" w:name="_Toc25275"/>
      <w:bookmarkStart w:id="180" w:name="_Toc30584"/>
      <w:bookmarkStart w:id="181" w:name="_Toc25504"/>
      <w:bookmarkStart w:id="182" w:name="_Toc17517"/>
      <w:r>
        <w:rPr>
          <w:rFonts w:hint="eastAsia" w:ascii="宋体" w:hAnsi="宋体" w:eastAsia="宋体" w:cs="宋体"/>
          <w:sz w:val="24"/>
          <w:szCs w:val="24"/>
          <w:lang w:val="zh-CN"/>
        </w:rPr>
        <w:t>附表</w:t>
      </w:r>
      <w:bookmarkEnd w:id="178"/>
      <w:bookmarkEnd w:id="179"/>
      <w:bookmarkEnd w:id="180"/>
      <w:bookmarkEnd w:id="181"/>
      <w:bookmarkEnd w:id="182"/>
    </w:p>
    <w:p w14:paraId="7D9DAE65">
      <w:pPr>
        <w:numPr>
          <w:ilvl w:val="1"/>
          <w:numId w:val="51"/>
        </w:numPr>
        <w:tabs>
          <w:tab w:val="left" w:pos="1220"/>
        </w:tabs>
        <w:adjustRightInd w:val="0"/>
        <w:snapToGrid w:val="0"/>
        <w:spacing w:line="360" w:lineRule="auto"/>
        <w:ind w:hanging="267"/>
        <w:rPr>
          <w:rFonts w:ascii="宋体" w:hAnsi="宋体" w:eastAsia="宋体" w:cs="宋体"/>
          <w:sz w:val="24"/>
          <w:lang w:val="zh-CN"/>
        </w:rPr>
      </w:pPr>
      <w:r>
        <w:rPr>
          <w:rFonts w:hint="eastAsia" w:ascii="宋体" w:hAnsi="宋体" w:eastAsia="宋体" w:cs="宋体"/>
          <w:sz w:val="24"/>
          <w:lang w:val="zh-CN"/>
        </w:rPr>
        <w:t>附表</w:t>
      </w:r>
      <w:r>
        <w:rPr>
          <w:rFonts w:hint="eastAsia" w:ascii="宋体" w:hAnsi="宋体" w:eastAsia="宋体" w:cs="宋体"/>
          <w:sz w:val="24"/>
        </w:rPr>
        <w:t>1：</w:t>
      </w:r>
      <w:r>
        <w:rPr>
          <w:rFonts w:hint="eastAsia" w:ascii="宋体" w:hAnsi="宋体" w:eastAsia="宋体" w:cs="宋体"/>
          <w:sz w:val="24"/>
          <w:lang w:val="zh-CN"/>
        </w:rPr>
        <w:t>资格性审查表</w:t>
      </w:r>
    </w:p>
    <w:p w14:paraId="6EBC17F1">
      <w:pPr>
        <w:numPr>
          <w:ilvl w:val="1"/>
          <w:numId w:val="51"/>
        </w:numPr>
        <w:tabs>
          <w:tab w:val="left" w:pos="1220"/>
        </w:tabs>
        <w:adjustRightInd w:val="0"/>
        <w:snapToGrid w:val="0"/>
        <w:spacing w:line="360" w:lineRule="auto"/>
        <w:ind w:hanging="267"/>
        <w:rPr>
          <w:rFonts w:ascii="宋体" w:hAnsi="宋体" w:eastAsia="宋体" w:cs="宋体"/>
          <w:sz w:val="24"/>
          <w:lang w:val="zh-CN"/>
        </w:rPr>
      </w:pPr>
      <w:r>
        <w:rPr>
          <w:rFonts w:hint="eastAsia" w:ascii="宋体" w:hAnsi="宋体" w:eastAsia="宋体" w:cs="宋体"/>
          <w:sz w:val="24"/>
          <w:lang w:val="zh-CN"/>
        </w:rPr>
        <w:t>附件2：符合性审查表</w:t>
      </w:r>
    </w:p>
    <w:p w14:paraId="5E43E54C">
      <w:pPr>
        <w:numPr>
          <w:ilvl w:val="1"/>
          <w:numId w:val="51"/>
        </w:numPr>
        <w:tabs>
          <w:tab w:val="left" w:pos="1220"/>
        </w:tabs>
        <w:adjustRightInd w:val="0"/>
        <w:snapToGrid w:val="0"/>
        <w:spacing w:line="360" w:lineRule="auto"/>
        <w:ind w:hanging="267"/>
        <w:rPr>
          <w:rFonts w:ascii="宋体" w:hAnsi="宋体" w:eastAsia="宋体" w:cs="宋体"/>
          <w:sz w:val="24"/>
          <w:lang w:val="zh-CN"/>
        </w:rPr>
      </w:pPr>
      <w:r>
        <w:rPr>
          <w:rFonts w:hint="eastAsia" w:ascii="宋体" w:hAnsi="宋体" w:eastAsia="宋体" w:cs="宋体"/>
          <w:sz w:val="24"/>
          <w:lang w:val="zh-CN"/>
        </w:rPr>
        <w:t>附件3：价格评审表</w:t>
      </w:r>
    </w:p>
    <w:p w14:paraId="6CCCA7A7">
      <w:pPr>
        <w:tabs>
          <w:tab w:val="left" w:pos="1220"/>
        </w:tabs>
        <w:spacing w:line="360" w:lineRule="auto"/>
        <w:rPr>
          <w:rFonts w:ascii="宋体" w:hAnsi="宋体" w:eastAsia="宋体" w:cs="宋体"/>
          <w:sz w:val="24"/>
          <w:lang w:val="zh-CN"/>
        </w:rPr>
        <w:sectPr>
          <w:pgSz w:w="11905" w:h="16838"/>
          <w:pgMar w:top="1440" w:right="1440" w:bottom="1440" w:left="1440" w:header="850" w:footer="822" w:gutter="0"/>
          <w:cols w:space="0" w:num="1"/>
          <w:docGrid w:linePitch="312" w:charSpace="0"/>
        </w:sectPr>
      </w:pPr>
    </w:p>
    <w:p w14:paraId="51B4F1F0">
      <w:pPr>
        <w:tabs>
          <w:tab w:val="left" w:pos="360"/>
          <w:tab w:val="left" w:pos="1030"/>
        </w:tabs>
        <w:spacing w:before="120" w:line="360" w:lineRule="auto"/>
        <w:rPr>
          <w:rFonts w:ascii="宋体" w:hAnsi="宋体" w:eastAsia="宋体" w:cs="宋体"/>
          <w:b/>
          <w:sz w:val="24"/>
        </w:rPr>
      </w:pPr>
      <w:r>
        <w:rPr>
          <w:rFonts w:hint="eastAsia" w:ascii="宋体" w:hAnsi="宋体" w:eastAsia="宋体" w:cs="宋体"/>
          <w:b/>
          <w:sz w:val="24"/>
        </w:rPr>
        <w:t>附表1：资格性审查表</w:t>
      </w:r>
    </w:p>
    <w:tbl>
      <w:tblPr>
        <w:tblStyle w:val="24"/>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865"/>
        <w:gridCol w:w="4537"/>
      </w:tblGrid>
      <w:tr w14:paraId="325E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837" w:type="dxa"/>
            <w:shd w:val="clear" w:color="auto" w:fill="D8D8D8"/>
            <w:vAlign w:val="center"/>
          </w:tcPr>
          <w:p w14:paraId="6CB69E49">
            <w:pPr>
              <w:spacing w:line="440" w:lineRule="exact"/>
              <w:jc w:val="center"/>
              <w:rPr>
                <w:rFonts w:ascii="宋体" w:hAnsi="宋体"/>
                <w:b/>
                <w:sz w:val="24"/>
              </w:rPr>
            </w:pPr>
            <w:r>
              <w:rPr>
                <w:rFonts w:hint="eastAsia" w:ascii="宋体" w:hAnsi="宋体"/>
                <w:b/>
                <w:sz w:val="24"/>
              </w:rPr>
              <w:t>序号</w:t>
            </w:r>
          </w:p>
        </w:tc>
        <w:tc>
          <w:tcPr>
            <w:tcW w:w="3865" w:type="dxa"/>
            <w:shd w:val="clear" w:color="auto" w:fill="D8D8D8"/>
            <w:vAlign w:val="center"/>
          </w:tcPr>
          <w:p w14:paraId="503E51BD">
            <w:pPr>
              <w:spacing w:line="440" w:lineRule="exact"/>
              <w:jc w:val="center"/>
              <w:rPr>
                <w:rFonts w:ascii="宋体" w:hAnsi="宋体"/>
                <w:b/>
                <w:sz w:val="24"/>
              </w:rPr>
            </w:pPr>
            <w:r>
              <w:rPr>
                <w:rFonts w:hint="eastAsia" w:ascii="宋体" w:hAnsi="宋体"/>
                <w:b/>
                <w:sz w:val="24"/>
              </w:rPr>
              <w:t>审查内容</w:t>
            </w:r>
          </w:p>
        </w:tc>
        <w:tc>
          <w:tcPr>
            <w:tcW w:w="4537" w:type="dxa"/>
            <w:shd w:val="clear" w:color="auto" w:fill="D8D8D8"/>
            <w:vAlign w:val="center"/>
          </w:tcPr>
          <w:p w14:paraId="26A41C8E">
            <w:pPr>
              <w:spacing w:line="440" w:lineRule="exact"/>
              <w:jc w:val="center"/>
              <w:rPr>
                <w:rFonts w:ascii="宋体" w:hAnsi="宋体"/>
                <w:b/>
                <w:sz w:val="24"/>
              </w:rPr>
            </w:pPr>
            <w:r>
              <w:rPr>
                <w:rFonts w:hint="eastAsia" w:ascii="宋体" w:hAnsi="宋体"/>
                <w:b/>
                <w:sz w:val="24"/>
              </w:rPr>
              <w:t>审查标准</w:t>
            </w:r>
          </w:p>
        </w:tc>
      </w:tr>
      <w:tr w14:paraId="4F0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3331147E">
            <w:pPr>
              <w:spacing w:line="440" w:lineRule="exact"/>
              <w:jc w:val="center"/>
              <w:rPr>
                <w:rFonts w:ascii="宋体" w:hAnsi="宋体"/>
                <w:sz w:val="24"/>
              </w:rPr>
            </w:pPr>
            <w:r>
              <w:rPr>
                <w:rFonts w:hint="eastAsia" w:ascii="宋体" w:hAnsi="宋体"/>
                <w:sz w:val="24"/>
              </w:rPr>
              <w:t>1</w:t>
            </w:r>
          </w:p>
        </w:tc>
        <w:tc>
          <w:tcPr>
            <w:tcW w:w="3865" w:type="dxa"/>
            <w:vAlign w:val="center"/>
          </w:tcPr>
          <w:p w14:paraId="0E1E3401">
            <w:pPr>
              <w:spacing w:line="440" w:lineRule="exact"/>
              <w:jc w:val="left"/>
              <w:rPr>
                <w:rFonts w:ascii="宋体" w:hAnsi="宋体" w:cs="Tahoma"/>
                <w:sz w:val="24"/>
              </w:rPr>
            </w:pPr>
            <w:r>
              <w:rPr>
                <w:rFonts w:hint="eastAsia" w:ascii="宋体" w:hAnsi="宋体" w:cs="宋体"/>
                <w:sz w:val="24"/>
              </w:rPr>
              <w:t>供应商具有独立承担民事责任能力的在中华人民共和国境内注册的法人或其他组织。</w:t>
            </w:r>
          </w:p>
        </w:tc>
        <w:tc>
          <w:tcPr>
            <w:tcW w:w="4537" w:type="dxa"/>
            <w:vAlign w:val="center"/>
          </w:tcPr>
          <w:p w14:paraId="5E795777">
            <w:pPr>
              <w:spacing w:line="440" w:lineRule="exact"/>
              <w:jc w:val="left"/>
              <w:rPr>
                <w:rFonts w:ascii="宋体" w:hAnsi="宋体" w:cs="宋体"/>
                <w:sz w:val="24"/>
              </w:rPr>
            </w:pPr>
            <w:r>
              <w:rPr>
                <w:rFonts w:hint="eastAsia" w:ascii="宋体" w:hAnsi="宋体" w:cs="宋体"/>
                <w:sz w:val="24"/>
              </w:rPr>
              <w:t>提供企业法人或者其他组织的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tc>
      </w:tr>
      <w:tr w14:paraId="3353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0573BDEE">
            <w:pPr>
              <w:spacing w:line="440" w:lineRule="exact"/>
              <w:jc w:val="center"/>
              <w:rPr>
                <w:rFonts w:ascii="宋体" w:hAnsi="宋体"/>
                <w:sz w:val="24"/>
              </w:rPr>
            </w:pPr>
            <w:r>
              <w:rPr>
                <w:rFonts w:hint="eastAsia" w:ascii="宋体" w:hAnsi="宋体"/>
                <w:sz w:val="24"/>
              </w:rPr>
              <w:t>2</w:t>
            </w:r>
          </w:p>
        </w:tc>
        <w:tc>
          <w:tcPr>
            <w:tcW w:w="3865" w:type="dxa"/>
            <w:vAlign w:val="center"/>
          </w:tcPr>
          <w:p w14:paraId="4721613D">
            <w:pPr>
              <w:spacing w:line="440" w:lineRule="exact"/>
              <w:jc w:val="left"/>
              <w:rPr>
                <w:rFonts w:ascii="宋体" w:hAnsi="宋体" w:cs="宋体"/>
                <w:sz w:val="24"/>
              </w:rPr>
            </w:pPr>
            <w:r>
              <w:rPr>
                <w:rFonts w:hint="eastAsia" w:ascii="宋体" w:hAnsi="宋体"/>
                <w:sz w:val="24"/>
              </w:rPr>
              <w:t>供应商必须具有良好的商业信誉和健全的财务会计制度</w:t>
            </w:r>
            <w:r>
              <w:rPr>
                <w:rFonts w:hint="eastAsia" w:ascii="宋体" w:hAnsi="宋体" w:cs="宋体"/>
                <w:sz w:val="24"/>
              </w:rPr>
              <w:t>。</w:t>
            </w:r>
          </w:p>
        </w:tc>
        <w:tc>
          <w:tcPr>
            <w:tcW w:w="4537" w:type="dxa"/>
            <w:vAlign w:val="center"/>
          </w:tcPr>
          <w:p w14:paraId="7AF9451D">
            <w:pPr>
              <w:spacing w:line="440" w:lineRule="exact"/>
              <w:jc w:val="left"/>
              <w:rPr>
                <w:rFonts w:ascii="宋体" w:hAnsi="宋体" w:eastAsia="宋体" w:cs="宋体"/>
                <w:sz w:val="24"/>
              </w:rPr>
            </w:pPr>
            <w:r>
              <w:rPr>
                <w:rFonts w:hint="eastAsia" w:ascii="宋体" w:hAnsi="宋体"/>
                <w:sz w:val="24"/>
              </w:rPr>
              <w:t>提供书面声明函。</w:t>
            </w:r>
          </w:p>
        </w:tc>
      </w:tr>
      <w:tr w14:paraId="5164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588F61C2">
            <w:pPr>
              <w:spacing w:line="440" w:lineRule="exact"/>
              <w:jc w:val="center"/>
              <w:rPr>
                <w:rFonts w:ascii="宋体" w:hAnsi="宋体"/>
                <w:sz w:val="24"/>
              </w:rPr>
            </w:pPr>
            <w:r>
              <w:rPr>
                <w:rFonts w:hint="eastAsia" w:ascii="宋体" w:hAnsi="宋体"/>
                <w:sz w:val="24"/>
              </w:rPr>
              <w:t>3</w:t>
            </w:r>
          </w:p>
        </w:tc>
        <w:tc>
          <w:tcPr>
            <w:tcW w:w="3865" w:type="dxa"/>
            <w:vAlign w:val="center"/>
          </w:tcPr>
          <w:p w14:paraId="6D7C854F">
            <w:pPr>
              <w:spacing w:line="440" w:lineRule="exact"/>
              <w:jc w:val="left"/>
              <w:rPr>
                <w:rFonts w:ascii="宋体" w:hAnsi="宋体"/>
                <w:sz w:val="24"/>
              </w:rPr>
            </w:pPr>
            <w:r>
              <w:rPr>
                <w:rFonts w:hint="eastAsia" w:ascii="宋体" w:hAnsi="宋体"/>
                <w:sz w:val="24"/>
              </w:rPr>
              <w:t>供应商有依法缴纳税收和社会保障资金的良好记录</w:t>
            </w:r>
            <w:r>
              <w:rPr>
                <w:rFonts w:hint="eastAsia" w:ascii="宋体" w:hAnsi="宋体" w:cs="宋体"/>
                <w:sz w:val="24"/>
              </w:rPr>
              <w:t>。</w:t>
            </w:r>
          </w:p>
        </w:tc>
        <w:tc>
          <w:tcPr>
            <w:tcW w:w="4537" w:type="dxa"/>
            <w:vAlign w:val="center"/>
          </w:tcPr>
          <w:p w14:paraId="0931A4FC">
            <w:pPr>
              <w:spacing w:line="440" w:lineRule="exact"/>
              <w:jc w:val="left"/>
              <w:rPr>
                <w:rFonts w:ascii="宋体" w:hAnsi="宋体" w:eastAsia="宋体" w:cs="宋体"/>
                <w:sz w:val="24"/>
              </w:rPr>
            </w:pPr>
            <w:r>
              <w:rPr>
                <w:rFonts w:hint="eastAsia" w:ascii="宋体" w:hAnsi="宋体"/>
                <w:sz w:val="24"/>
              </w:rPr>
              <w:t>提供书面声明函。</w:t>
            </w:r>
          </w:p>
        </w:tc>
      </w:tr>
      <w:tr w14:paraId="3D06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14:paraId="2C1E8D33">
            <w:pPr>
              <w:spacing w:line="440" w:lineRule="exact"/>
              <w:jc w:val="center"/>
              <w:rPr>
                <w:rFonts w:ascii="宋体" w:hAnsi="宋体"/>
                <w:sz w:val="24"/>
              </w:rPr>
            </w:pPr>
            <w:r>
              <w:rPr>
                <w:rFonts w:hint="eastAsia" w:ascii="宋体" w:hAnsi="宋体"/>
                <w:sz w:val="24"/>
              </w:rPr>
              <w:t>4</w:t>
            </w:r>
          </w:p>
        </w:tc>
        <w:tc>
          <w:tcPr>
            <w:tcW w:w="3865" w:type="dxa"/>
            <w:vAlign w:val="center"/>
          </w:tcPr>
          <w:p w14:paraId="0A2436F7">
            <w:pPr>
              <w:spacing w:line="440" w:lineRule="exact"/>
              <w:jc w:val="left"/>
              <w:rPr>
                <w:rFonts w:ascii="宋体" w:hAnsi="宋体"/>
                <w:sz w:val="24"/>
              </w:rPr>
            </w:pPr>
            <w:r>
              <w:rPr>
                <w:rFonts w:hint="eastAsia" w:ascii="宋体" w:hAnsi="宋体"/>
                <w:sz w:val="24"/>
              </w:rPr>
              <w:t>供应商具备履行合同所必需的设备和专业技术能力</w:t>
            </w:r>
            <w:r>
              <w:rPr>
                <w:rFonts w:hint="eastAsia" w:ascii="宋体" w:hAnsi="宋体" w:cs="宋体"/>
                <w:sz w:val="24"/>
              </w:rPr>
              <w:t>。</w:t>
            </w:r>
          </w:p>
        </w:tc>
        <w:tc>
          <w:tcPr>
            <w:tcW w:w="4537" w:type="dxa"/>
            <w:vAlign w:val="center"/>
          </w:tcPr>
          <w:p w14:paraId="3B3E4AFD">
            <w:pPr>
              <w:spacing w:line="440" w:lineRule="exact"/>
              <w:jc w:val="left"/>
              <w:rPr>
                <w:rFonts w:ascii="宋体" w:hAnsi="宋体" w:eastAsia="宋体" w:cs="宋体"/>
                <w:sz w:val="24"/>
              </w:rPr>
            </w:pPr>
            <w:r>
              <w:rPr>
                <w:rFonts w:hint="eastAsia" w:ascii="宋体" w:hAnsi="宋体"/>
                <w:sz w:val="24"/>
              </w:rPr>
              <w:t>提供书面声明函。</w:t>
            </w:r>
          </w:p>
        </w:tc>
      </w:tr>
      <w:tr w14:paraId="2FB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2D64642D">
            <w:pPr>
              <w:spacing w:line="440" w:lineRule="exact"/>
              <w:jc w:val="center"/>
              <w:rPr>
                <w:rFonts w:ascii="宋体" w:hAnsi="宋体"/>
                <w:sz w:val="24"/>
              </w:rPr>
            </w:pPr>
            <w:r>
              <w:rPr>
                <w:rFonts w:hint="eastAsia" w:ascii="宋体" w:hAnsi="宋体"/>
                <w:sz w:val="24"/>
              </w:rPr>
              <w:t>5</w:t>
            </w:r>
          </w:p>
        </w:tc>
        <w:tc>
          <w:tcPr>
            <w:tcW w:w="3865" w:type="dxa"/>
            <w:vAlign w:val="center"/>
          </w:tcPr>
          <w:p w14:paraId="6123E264">
            <w:pPr>
              <w:spacing w:line="440" w:lineRule="exact"/>
              <w:jc w:val="left"/>
              <w:rPr>
                <w:rFonts w:ascii="宋体" w:hAnsi="宋体"/>
                <w:sz w:val="24"/>
              </w:rPr>
            </w:pPr>
            <w:r>
              <w:rPr>
                <w:rFonts w:hint="eastAsia" w:ascii="宋体" w:hAnsi="宋体"/>
                <w:sz w:val="24"/>
              </w:rPr>
              <w:t>供应商参加招标活动前三年内，在经营活动中没有重大违法记录。</w:t>
            </w:r>
          </w:p>
        </w:tc>
        <w:tc>
          <w:tcPr>
            <w:tcW w:w="4537" w:type="dxa"/>
            <w:vAlign w:val="center"/>
          </w:tcPr>
          <w:p w14:paraId="0FCDCA90">
            <w:pPr>
              <w:spacing w:line="440" w:lineRule="exact"/>
              <w:jc w:val="left"/>
              <w:rPr>
                <w:rFonts w:ascii="宋体" w:hAnsi="宋体" w:eastAsia="宋体" w:cs="宋体"/>
                <w:sz w:val="24"/>
              </w:rPr>
            </w:pPr>
            <w:r>
              <w:rPr>
                <w:rFonts w:hint="eastAsia" w:ascii="宋体" w:hAnsi="宋体"/>
                <w:sz w:val="24"/>
              </w:rPr>
              <w:t>提供书面声明函。</w:t>
            </w:r>
          </w:p>
        </w:tc>
      </w:tr>
      <w:tr w14:paraId="605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049C3469">
            <w:pPr>
              <w:spacing w:line="440" w:lineRule="exact"/>
              <w:jc w:val="center"/>
              <w:rPr>
                <w:rFonts w:ascii="宋体" w:hAnsi="宋体"/>
                <w:sz w:val="24"/>
              </w:rPr>
            </w:pPr>
            <w:r>
              <w:rPr>
                <w:rFonts w:hint="eastAsia" w:ascii="宋体" w:hAnsi="宋体"/>
                <w:sz w:val="24"/>
              </w:rPr>
              <w:t>6</w:t>
            </w:r>
          </w:p>
        </w:tc>
        <w:tc>
          <w:tcPr>
            <w:tcW w:w="3865" w:type="dxa"/>
            <w:vAlign w:val="center"/>
          </w:tcPr>
          <w:p w14:paraId="06DAA61D">
            <w:pPr>
              <w:spacing w:line="440" w:lineRule="exact"/>
              <w:rPr>
                <w:rFonts w:ascii="宋体" w:hAnsi="宋体"/>
                <w:sz w:val="24"/>
              </w:rPr>
            </w:pPr>
            <w:r>
              <w:rPr>
                <w:rFonts w:hint="eastAsia" w:ascii="宋体" w:hAnsi="宋体" w:cs="宋体"/>
                <w:sz w:val="24"/>
              </w:rPr>
              <w:t>供应商必须符合法律、行政法规规定的其他条件。</w:t>
            </w:r>
          </w:p>
        </w:tc>
        <w:tc>
          <w:tcPr>
            <w:tcW w:w="4537" w:type="dxa"/>
            <w:vAlign w:val="center"/>
          </w:tcPr>
          <w:p w14:paraId="730B362D">
            <w:pPr>
              <w:spacing w:line="440" w:lineRule="exact"/>
              <w:jc w:val="left"/>
              <w:rPr>
                <w:rFonts w:ascii="宋体" w:hAnsi="宋体" w:eastAsia="宋体" w:cs="宋体"/>
                <w:sz w:val="24"/>
              </w:rPr>
            </w:pPr>
            <w:r>
              <w:rPr>
                <w:rFonts w:hint="eastAsia" w:ascii="宋体" w:hAnsi="宋体"/>
                <w:sz w:val="24"/>
              </w:rPr>
              <w:t>提供书面声明函。</w:t>
            </w:r>
          </w:p>
        </w:tc>
      </w:tr>
      <w:tr w14:paraId="0C0B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1F429FE7">
            <w:pPr>
              <w:spacing w:line="440" w:lineRule="exact"/>
              <w:jc w:val="center"/>
              <w:rPr>
                <w:rFonts w:ascii="宋体" w:hAnsi="宋体"/>
                <w:sz w:val="24"/>
              </w:rPr>
            </w:pPr>
            <w:r>
              <w:rPr>
                <w:rFonts w:hint="eastAsia" w:ascii="宋体" w:hAnsi="宋体"/>
                <w:sz w:val="24"/>
              </w:rPr>
              <w:t>7</w:t>
            </w:r>
          </w:p>
        </w:tc>
        <w:tc>
          <w:tcPr>
            <w:tcW w:w="3865" w:type="dxa"/>
            <w:vAlign w:val="center"/>
          </w:tcPr>
          <w:p w14:paraId="06FA43EA">
            <w:pPr>
              <w:spacing w:line="440" w:lineRule="exact"/>
              <w:jc w:val="left"/>
              <w:rPr>
                <w:rFonts w:ascii="宋体" w:hAnsi="宋体" w:cs="宋体"/>
                <w:sz w:val="24"/>
              </w:rPr>
            </w:pPr>
            <w:r>
              <w:rPr>
                <w:rFonts w:ascii="宋体" w:hAnsi="宋体" w:cs="宋体"/>
                <w:sz w:val="24"/>
              </w:rPr>
              <w:t>供应商未被列入“中国执行信息公开网”（zxgk.court.gov.cn）“记录失信被执行人”</w:t>
            </w:r>
            <w:r>
              <w:rPr>
                <w:rFonts w:hint="eastAsia" w:ascii="宋体" w:hAnsi="宋体" w:cs="宋体"/>
                <w:sz w:val="24"/>
              </w:rPr>
              <w:t>名单</w:t>
            </w:r>
            <w:r>
              <w:rPr>
                <w:rFonts w:ascii="宋体" w:hAnsi="宋体" w:cs="宋体"/>
                <w:sz w:val="24"/>
              </w:rPr>
              <w:t>；</w:t>
            </w:r>
            <w:r>
              <w:rPr>
                <w:rFonts w:hint="eastAsia" w:ascii="宋体" w:hAnsi="宋体" w:cs="宋体"/>
                <w:sz w:val="24"/>
              </w:rPr>
              <w:t>未被列入</w:t>
            </w:r>
            <w:r>
              <w:rPr>
                <w:rFonts w:ascii="宋体" w:hAnsi="宋体" w:cs="宋体"/>
                <w:sz w:val="24"/>
              </w:rPr>
              <w:t>“信用中国”网站(www.creditchina.gov.cn)“重大税收违法失信主体</w:t>
            </w:r>
            <w:r>
              <w:rPr>
                <w:rFonts w:hint="eastAsia" w:ascii="宋体" w:hAnsi="宋体" w:cs="宋体"/>
                <w:sz w:val="24"/>
              </w:rPr>
              <w:t>、</w:t>
            </w:r>
            <w:r>
              <w:rPr>
                <w:rFonts w:ascii="宋体" w:hAnsi="宋体" w:cs="宋体"/>
                <w:sz w:val="24"/>
              </w:rPr>
              <w:t>政府采购严重违法失信行为”记录名单；不处于中国政府采购网(www.ccgp.gov.cn)“政府采购严重违法失信行为信息记录”中的禁止参加政府采购活动期间</w:t>
            </w:r>
            <w:r>
              <w:rPr>
                <w:rFonts w:hint="eastAsia" w:ascii="宋体" w:hAnsi="宋体" w:cs="宋体"/>
                <w:sz w:val="24"/>
              </w:rPr>
              <w:t>。</w:t>
            </w:r>
          </w:p>
        </w:tc>
        <w:tc>
          <w:tcPr>
            <w:tcW w:w="4537" w:type="dxa"/>
            <w:vAlign w:val="center"/>
          </w:tcPr>
          <w:p w14:paraId="0BAA529C">
            <w:pPr>
              <w:spacing w:line="440" w:lineRule="exact"/>
              <w:jc w:val="left"/>
              <w:rPr>
                <w:rFonts w:ascii="宋体" w:hAnsi="宋体" w:cs="宋体"/>
                <w:sz w:val="24"/>
              </w:rPr>
            </w:pPr>
            <w:r>
              <w:rPr>
                <w:rFonts w:ascii="宋体" w:hAnsi="宋体" w:cs="宋体"/>
                <w:sz w:val="24"/>
              </w:rPr>
              <w:t>以采购代理机构于投标截止日当天在</w:t>
            </w:r>
            <w:r>
              <w:rPr>
                <w:rFonts w:hint="eastAsia" w:ascii="宋体" w:hAnsi="宋体" w:cs="宋体"/>
                <w:sz w:val="24"/>
              </w:rPr>
              <w:t>上述网站</w:t>
            </w:r>
            <w:r>
              <w:rPr>
                <w:rFonts w:ascii="宋体" w:hAnsi="宋体" w:cs="宋体"/>
                <w:sz w:val="24"/>
              </w:rPr>
              <w:t>查询结果为准，如相关失信记录已失效，供应商需提供相关证明资料</w:t>
            </w:r>
            <w:r>
              <w:rPr>
                <w:rFonts w:hint="eastAsia" w:ascii="宋体" w:hAnsi="宋体"/>
                <w:sz w:val="24"/>
              </w:rPr>
              <w:t>。</w:t>
            </w:r>
          </w:p>
        </w:tc>
      </w:tr>
      <w:tr w14:paraId="06D6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1366C6F6">
            <w:pPr>
              <w:spacing w:line="440" w:lineRule="exact"/>
              <w:jc w:val="center"/>
              <w:rPr>
                <w:rFonts w:ascii="宋体" w:hAnsi="宋体"/>
                <w:sz w:val="24"/>
              </w:rPr>
            </w:pPr>
            <w:r>
              <w:rPr>
                <w:rFonts w:hint="eastAsia" w:ascii="宋体" w:hAnsi="宋体"/>
                <w:sz w:val="24"/>
              </w:rPr>
              <w:t>8</w:t>
            </w:r>
          </w:p>
        </w:tc>
        <w:tc>
          <w:tcPr>
            <w:tcW w:w="3865" w:type="dxa"/>
            <w:vAlign w:val="center"/>
          </w:tcPr>
          <w:p w14:paraId="29600BA3">
            <w:pPr>
              <w:tabs>
                <w:tab w:val="left" w:pos="1092"/>
              </w:tabs>
              <w:adjustRightInd w:val="0"/>
              <w:snapToGrid w:val="0"/>
              <w:spacing w:line="440" w:lineRule="exact"/>
              <w:jc w:val="left"/>
              <w:rPr>
                <w:rFonts w:ascii="宋体" w:hAnsi="宋体" w:cs="宋体"/>
                <w:sz w:val="24"/>
              </w:rPr>
            </w:pPr>
            <w:r>
              <w:rPr>
                <w:rFonts w:hint="eastAsia" w:ascii="宋体" w:hAnsi="宋体"/>
                <w:sz w:val="24"/>
              </w:rPr>
              <w:t>单位负责人为同一人或者存在直接控股、管理关系的不同供应商，不得同时参加本采购项目投标。</w:t>
            </w:r>
          </w:p>
        </w:tc>
        <w:tc>
          <w:tcPr>
            <w:tcW w:w="4537" w:type="dxa"/>
            <w:vAlign w:val="center"/>
          </w:tcPr>
          <w:p w14:paraId="1545A464">
            <w:pPr>
              <w:adjustRightInd w:val="0"/>
              <w:snapToGrid w:val="0"/>
              <w:spacing w:line="440" w:lineRule="exact"/>
              <w:jc w:val="left"/>
              <w:rPr>
                <w:rFonts w:ascii="宋体" w:hAnsi="宋体" w:eastAsia="宋体"/>
                <w:sz w:val="24"/>
              </w:rPr>
            </w:pPr>
            <w:r>
              <w:rPr>
                <w:rFonts w:hint="eastAsia" w:ascii="宋体" w:hAnsi="宋体"/>
                <w:sz w:val="24"/>
              </w:rPr>
              <w:t>提供书面声明函。</w:t>
            </w:r>
          </w:p>
        </w:tc>
      </w:tr>
      <w:tr w14:paraId="1B1F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48716C20">
            <w:pPr>
              <w:adjustRightInd w:val="0"/>
              <w:snapToGrid w:val="0"/>
              <w:spacing w:line="440" w:lineRule="exact"/>
              <w:jc w:val="center"/>
              <w:rPr>
                <w:rFonts w:ascii="宋体" w:hAnsi="宋体"/>
                <w:sz w:val="24"/>
              </w:rPr>
            </w:pPr>
            <w:r>
              <w:rPr>
                <w:rFonts w:hint="eastAsia" w:ascii="宋体" w:hAnsi="宋体"/>
                <w:sz w:val="24"/>
              </w:rPr>
              <w:t>9</w:t>
            </w:r>
          </w:p>
        </w:tc>
        <w:tc>
          <w:tcPr>
            <w:tcW w:w="3865" w:type="dxa"/>
            <w:vAlign w:val="center"/>
          </w:tcPr>
          <w:p w14:paraId="287FE84E">
            <w:pPr>
              <w:tabs>
                <w:tab w:val="left" w:pos="1092"/>
              </w:tabs>
              <w:adjustRightInd w:val="0"/>
              <w:snapToGrid w:val="0"/>
              <w:spacing w:line="440" w:lineRule="exact"/>
              <w:jc w:val="left"/>
              <w:rPr>
                <w:rFonts w:ascii="宋体" w:hAnsi="宋体" w:cs="宋体"/>
                <w:sz w:val="24"/>
              </w:rPr>
            </w:pPr>
            <w:r>
              <w:rPr>
                <w:rFonts w:hint="eastAsia" w:ascii="宋体" w:hAnsi="宋体"/>
                <w:sz w:val="24"/>
              </w:rPr>
              <w:t>为本项目提供整体设计、规范编制或者项目管理、监理、检测等服务的供应商，不得再参与本项目投标。</w:t>
            </w:r>
          </w:p>
        </w:tc>
        <w:tc>
          <w:tcPr>
            <w:tcW w:w="4537" w:type="dxa"/>
            <w:vAlign w:val="center"/>
          </w:tcPr>
          <w:p w14:paraId="777DAB1D">
            <w:pPr>
              <w:adjustRightInd w:val="0"/>
              <w:snapToGrid w:val="0"/>
              <w:spacing w:line="440" w:lineRule="exact"/>
              <w:jc w:val="left"/>
              <w:rPr>
                <w:rFonts w:ascii="宋体" w:hAnsi="宋体" w:eastAsia="宋体"/>
                <w:sz w:val="24"/>
              </w:rPr>
            </w:pPr>
            <w:r>
              <w:rPr>
                <w:rFonts w:hint="eastAsia" w:ascii="宋体" w:hAnsi="宋体"/>
                <w:sz w:val="24"/>
              </w:rPr>
              <w:t>提供书面声明函。</w:t>
            </w:r>
          </w:p>
        </w:tc>
      </w:tr>
      <w:tr w14:paraId="34D4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36615FD1">
            <w:pPr>
              <w:adjustRightInd w:val="0"/>
              <w:snapToGrid w:val="0"/>
              <w:spacing w:line="440" w:lineRule="exact"/>
              <w:jc w:val="center"/>
              <w:rPr>
                <w:rFonts w:ascii="宋体" w:hAnsi="宋体"/>
                <w:sz w:val="24"/>
              </w:rPr>
            </w:pPr>
            <w:r>
              <w:rPr>
                <w:rFonts w:hint="eastAsia" w:ascii="宋体" w:hAnsi="宋体"/>
                <w:sz w:val="24"/>
              </w:rPr>
              <w:t>10</w:t>
            </w:r>
          </w:p>
        </w:tc>
        <w:tc>
          <w:tcPr>
            <w:tcW w:w="3865" w:type="dxa"/>
            <w:vAlign w:val="center"/>
          </w:tcPr>
          <w:p w14:paraId="6A2C7F50">
            <w:pPr>
              <w:tabs>
                <w:tab w:val="left" w:pos="1092"/>
              </w:tabs>
              <w:adjustRightInd w:val="0"/>
              <w:snapToGrid w:val="0"/>
              <w:spacing w:line="440" w:lineRule="exact"/>
              <w:jc w:val="left"/>
              <w:rPr>
                <w:rFonts w:ascii="宋体" w:hAnsi="宋体"/>
                <w:sz w:val="24"/>
              </w:rPr>
            </w:pPr>
            <w:r>
              <w:rPr>
                <w:rFonts w:hint="eastAsia" w:ascii="宋体" w:hAnsi="宋体"/>
                <w:sz w:val="24"/>
              </w:rPr>
              <w:t>本项目不接受联合体投标。</w:t>
            </w:r>
          </w:p>
        </w:tc>
        <w:tc>
          <w:tcPr>
            <w:tcW w:w="4537" w:type="dxa"/>
            <w:vAlign w:val="center"/>
          </w:tcPr>
          <w:p w14:paraId="38FA6B2A">
            <w:pPr>
              <w:adjustRightInd w:val="0"/>
              <w:snapToGrid w:val="0"/>
              <w:spacing w:line="440" w:lineRule="exact"/>
              <w:jc w:val="left"/>
              <w:rPr>
                <w:rFonts w:ascii="宋体" w:hAnsi="宋体"/>
                <w:sz w:val="24"/>
              </w:rPr>
            </w:pPr>
            <w:r>
              <w:rPr>
                <w:rFonts w:hint="eastAsia" w:ascii="宋体" w:hAnsi="宋体" w:cs="宋体"/>
                <w:sz w:val="24"/>
              </w:rPr>
              <w:t>以采购代理机构登记为准。</w:t>
            </w:r>
          </w:p>
        </w:tc>
      </w:tr>
      <w:tr w14:paraId="3E29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7" w:type="dxa"/>
            <w:vAlign w:val="center"/>
          </w:tcPr>
          <w:p w14:paraId="245C6460">
            <w:pPr>
              <w:adjustRightInd w:val="0"/>
              <w:snapToGrid w:val="0"/>
              <w:spacing w:line="440" w:lineRule="exact"/>
              <w:jc w:val="center"/>
              <w:rPr>
                <w:rFonts w:ascii="宋体" w:hAnsi="宋体"/>
                <w:sz w:val="24"/>
              </w:rPr>
            </w:pPr>
            <w:r>
              <w:rPr>
                <w:rFonts w:hint="eastAsia" w:ascii="宋体" w:hAnsi="宋体"/>
                <w:sz w:val="24"/>
              </w:rPr>
              <w:t>11</w:t>
            </w:r>
          </w:p>
        </w:tc>
        <w:tc>
          <w:tcPr>
            <w:tcW w:w="3865" w:type="dxa"/>
            <w:vAlign w:val="center"/>
          </w:tcPr>
          <w:p w14:paraId="7912546A">
            <w:pPr>
              <w:spacing w:line="440" w:lineRule="exact"/>
              <w:rPr>
                <w:rFonts w:ascii="宋体" w:hAnsi="宋体"/>
                <w:sz w:val="24"/>
              </w:rPr>
            </w:pPr>
            <w:r>
              <w:rPr>
                <w:rFonts w:hint="eastAsia" w:ascii="宋体" w:hAnsi="宋体" w:cs="宋体"/>
                <w:sz w:val="24"/>
              </w:rPr>
              <w:t>供应商已领购本项目招标文件。</w:t>
            </w:r>
          </w:p>
        </w:tc>
        <w:tc>
          <w:tcPr>
            <w:tcW w:w="4537" w:type="dxa"/>
            <w:vAlign w:val="center"/>
          </w:tcPr>
          <w:p w14:paraId="435EE29A">
            <w:pPr>
              <w:spacing w:line="440" w:lineRule="exact"/>
              <w:jc w:val="left"/>
              <w:rPr>
                <w:rFonts w:ascii="宋体" w:hAnsi="宋体" w:cs="宋体"/>
                <w:sz w:val="24"/>
              </w:rPr>
            </w:pPr>
            <w:r>
              <w:rPr>
                <w:rFonts w:hint="eastAsia" w:ascii="宋体" w:hAnsi="宋体" w:cs="宋体"/>
                <w:sz w:val="24"/>
              </w:rPr>
              <w:t>以采购代理机构登记为准。</w:t>
            </w:r>
          </w:p>
        </w:tc>
      </w:tr>
    </w:tbl>
    <w:p w14:paraId="5F141277">
      <w:pPr>
        <w:spacing w:line="360" w:lineRule="auto"/>
        <w:rPr>
          <w:rFonts w:ascii="宋体" w:hAnsi="宋体" w:eastAsia="宋体" w:cs="宋体"/>
          <w:sz w:val="24"/>
        </w:rPr>
      </w:pPr>
      <w:r>
        <w:rPr>
          <w:rFonts w:hint="eastAsia" w:ascii="宋体" w:hAnsi="宋体" w:eastAsia="宋体" w:cs="宋体"/>
          <w:sz w:val="24"/>
        </w:rPr>
        <w:t>备注：</w:t>
      </w:r>
    </w:p>
    <w:p w14:paraId="5648AB9F">
      <w:pPr>
        <w:numPr>
          <w:ilvl w:val="0"/>
          <w:numId w:val="52"/>
        </w:numPr>
        <w:spacing w:line="360" w:lineRule="auto"/>
        <w:rPr>
          <w:rFonts w:ascii="宋体" w:hAnsi="宋体" w:eastAsia="宋体" w:cs="宋体"/>
          <w:sz w:val="24"/>
        </w:rPr>
      </w:pPr>
      <w:r>
        <w:rPr>
          <w:rFonts w:hint="eastAsia" w:ascii="宋体" w:hAnsi="宋体" w:eastAsia="宋体" w:cs="宋体"/>
          <w:sz w:val="24"/>
        </w:rPr>
        <w:t>每一项符合的打“○”，不符合的打“×”。</w:t>
      </w:r>
    </w:p>
    <w:p w14:paraId="237F97C0">
      <w:pPr>
        <w:numPr>
          <w:ilvl w:val="0"/>
          <w:numId w:val="52"/>
        </w:numPr>
        <w:spacing w:line="360" w:lineRule="auto"/>
        <w:rPr>
          <w:rFonts w:ascii="宋体" w:hAnsi="宋体" w:eastAsia="宋体" w:cs="宋体"/>
          <w:sz w:val="24"/>
        </w:rPr>
      </w:pPr>
      <w:r>
        <w:rPr>
          <w:rFonts w:hint="eastAsia" w:ascii="宋体" w:hAnsi="宋体" w:eastAsia="宋体" w:cs="宋体"/>
          <w:sz w:val="24"/>
        </w:rPr>
        <w:t>“结论”一栏填写“通过”或“不通过”；任何一项出现“×”的，结论为不通过。不通过的投标为无效投标。</w:t>
      </w:r>
    </w:p>
    <w:p w14:paraId="2B5645F0">
      <w:pPr>
        <w:numPr>
          <w:ilvl w:val="0"/>
          <w:numId w:val="52"/>
        </w:numPr>
        <w:spacing w:line="360" w:lineRule="auto"/>
        <w:rPr>
          <w:rFonts w:ascii="宋体" w:hAnsi="宋体" w:eastAsia="宋体" w:cs="宋体"/>
          <w:sz w:val="24"/>
        </w:rPr>
      </w:pPr>
      <w:r>
        <w:rPr>
          <w:rFonts w:hint="eastAsia" w:ascii="宋体" w:hAnsi="宋体" w:eastAsia="宋体" w:cs="宋体"/>
          <w:sz w:val="24"/>
        </w:rPr>
        <w:t>汇总时出现不同意见的，评标委员会按简单多数原则表决决定。</w:t>
      </w:r>
    </w:p>
    <w:p w14:paraId="39E4DDA2">
      <w:pPr>
        <w:spacing w:line="360" w:lineRule="auto"/>
        <w:rPr>
          <w:rFonts w:ascii="宋体" w:hAnsi="宋体" w:eastAsia="宋体" w:cs="宋体"/>
          <w:sz w:val="24"/>
        </w:rPr>
      </w:pPr>
    </w:p>
    <w:p w14:paraId="50E5C184">
      <w:pPr>
        <w:spacing w:line="360" w:lineRule="auto"/>
        <w:rPr>
          <w:rFonts w:ascii="宋体" w:hAnsi="宋体" w:eastAsia="宋体" w:cs="宋体"/>
          <w:sz w:val="24"/>
        </w:rPr>
      </w:pPr>
    </w:p>
    <w:p w14:paraId="36A7CBA7">
      <w:pPr>
        <w:spacing w:line="360" w:lineRule="auto"/>
        <w:rPr>
          <w:rFonts w:ascii="宋体" w:hAnsi="宋体" w:eastAsia="宋体" w:cs="宋体"/>
          <w:sz w:val="24"/>
        </w:rPr>
      </w:pPr>
    </w:p>
    <w:p w14:paraId="6728D890">
      <w:pPr>
        <w:spacing w:line="360" w:lineRule="auto"/>
        <w:rPr>
          <w:rFonts w:ascii="宋体" w:hAnsi="宋体" w:eastAsia="宋体" w:cs="宋体"/>
          <w:sz w:val="24"/>
        </w:rPr>
      </w:pPr>
    </w:p>
    <w:p w14:paraId="7E6424F0">
      <w:pPr>
        <w:spacing w:line="360" w:lineRule="auto"/>
        <w:rPr>
          <w:rFonts w:ascii="宋体" w:hAnsi="宋体" w:eastAsia="宋体" w:cs="宋体"/>
          <w:sz w:val="24"/>
        </w:rPr>
      </w:pPr>
    </w:p>
    <w:p w14:paraId="430381E8">
      <w:pPr>
        <w:spacing w:line="360" w:lineRule="auto"/>
        <w:rPr>
          <w:rFonts w:ascii="宋体" w:hAnsi="宋体" w:eastAsia="宋体" w:cs="宋体"/>
          <w:sz w:val="24"/>
        </w:rPr>
      </w:pPr>
    </w:p>
    <w:p w14:paraId="5EA1093E">
      <w:pPr>
        <w:spacing w:line="360" w:lineRule="auto"/>
        <w:rPr>
          <w:rFonts w:ascii="宋体" w:hAnsi="宋体" w:eastAsia="宋体" w:cs="宋体"/>
          <w:sz w:val="24"/>
        </w:rPr>
      </w:pPr>
    </w:p>
    <w:p w14:paraId="67A4C664">
      <w:pPr>
        <w:spacing w:line="360" w:lineRule="auto"/>
        <w:rPr>
          <w:rFonts w:ascii="宋体" w:hAnsi="宋体" w:eastAsia="宋体" w:cs="宋体"/>
          <w:sz w:val="24"/>
        </w:rPr>
      </w:pPr>
    </w:p>
    <w:p w14:paraId="43F2F476">
      <w:pPr>
        <w:spacing w:line="360" w:lineRule="auto"/>
        <w:rPr>
          <w:rFonts w:ascii="宋体" w:hAnsi="宋体" w:eastAsia="宋体" w:cs="宋体"/>
          <w:sz w:val="24"/>
        </w:rPr>
      </w:pPr>
    </w:p>
    <w:p w14:paraId="7194E677">
      <w:pPr>
        <w:spacing w:line="360" w:lineRule="auto"/>
        <w:rPr>
          <w:rFonts w:ascii="宋体" w:hAnsi="宋体" w:eastAsia="宋体" w:cs="宋体"/>
          <w:sz w:val="24"/>
        </w:rPr>
      </w:pPr>
    </w:p>
    <w:p w14:paraId="283BD85F">
      <w:pPr>
        <w:spacing w:line="360" w:lineRule="auto"/>
        <w:rPr>
          <w:rFonts w:ascii="宋体" w:hAnsi="宋体" w:eastAsia="宋体" w:cs="宋体"/>
          <w:sz w:val="24"/>
        </w:rPr>
      </w:pPr>
    </w:p>
    <w:p w14:paraId="36F98BB9">
      <w:pPr>
        <w:spacing w:line="360" w:lineRule="auto"/>
        <w:rPr>
          <w:rFonts w:ascii="宋体" w:hAnsi="宋体" w:eastAsia="宋体" w:cs="宋体"/>
          <w:sz w:val="24"/>
        </w:rPr>
      </w:pPr>
    </w:p>
    <w:p w14:paraId="481F1B8A">
      <w:pPr>
        <w:spacing w:line="360" w:lineRule="auto"/>
        <w:rPr>
          <w:rFonts w:ascii="宋体" w:hAnsi="宋体" w:eastAsia="宋体" w:cs="宋体"/>
          <w:sz w:val="24"/>
        </w:rPr>
      </w:pPr>
    </w:p>
    <w:p w14:paraId="57DF73CF">
      <w:pPr>
        <w:spacing w:line="360" w:lineRule="auto"/>
        <w:rPr>
          <w:rFonts w:ascii="宋体" w:hAnsi="宋体" w:eastAsia="宋体" w:cs="宋体"/>
          <w:sz w:val="24"/>
        </w:rPr>
      </w:pPr>
    </w:p>
    <w:p w14:paraId="5C6E903D">
      <w:pPr>
        <w:tabs>
          <w:tab w:val="left" w:pos="360"/>
          <w:tab w:val="left" w:pos="1030"/>
        </w:tabs>
        <w:spacing w:before="120" w:line="360" w:lineRule="auto"/>
        <w:rPr>
          <w:rFonts w:ascii="宋体" w:hAnsi="宋体" w:eastAsia="宋体" w:cs="宋体"/>
          <w:b/>
          <w:sz w:val="24"/>
        </w:rPr>
      </w:pPr>
      <w:bookmarkStart w:id="183" w:name="_Toc423021951"/>
      <w:r>
        <w:rPr>
          <w:rFonts w:hint="eastAsia" w:ascii="宋体" w:hAnsi="宋体" w:eastAsia="宋体" w:cs="宋体"/>
          <w:b/>
          <w:sz w:val="24"/>
        </w:rPr>
        <w:t>附件2：有效性审查表</w:t>
      </w:r>
    </w:p>
    <w:tbl>
      <w:tblPr>
        <w:tblStyle w:val="24"/>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0"/>
        <w:gridCol w:w="5588"/>
      </w:tblGrid>
      <w:tr w14:paraId="675B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6" w:type="dxa"/>
            <w:shd w:val="clear" w:color="auto" w:fill="D8D8D8"/>
            <w:vAlign w:val="center"/>
          </w:tcPr>
          <w:p w14:paraId="654FD1FA">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序号</w:t>
            </w:r>
          </w:p>
        </w:tc>
        <w:tc>
          <w:tcPr>
            <w:tcW w:w="2830" w:type="dxa"/>
            <w:shd w:val="clear" w:color="auto" w:fill="D8D8D8"/>
            <w:vAlign w:val="center"/>
          </w:tcPr>
          <w:p w14:paraId="2E02BCEF">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审查内容</w:t>
            </w:r>
          </w:p>
        </w:tc>
        <w:tc>
          <w:tcPr>
            <w:tcW w:w="5588" w:type="dxa"/>
            <w:shd w:val="clear" w:color="auto" w:fill="D8D8D8"/>
            <w:vAlign w:val="center"/>
          </w:tcPr>
          <w:p w14:paraId="598B90E9">
            <w:pPr>
              <w:adjustRightInd w:val="0"/>
              <w:snapToGrid w:val="0"/>
              <w:spacing w:line="440" w:lineRule="exact"/>
              <w:jc w:val="center"/>
              <w:rPr>
                <w:rFonts w:ascii="宋体" w:hAnsi="宋体" w:eastAsia="宋体" w:cs="宋体"/>
                <w:b/>
                <w:sz w:val="24"/>
              </w:rPr>
            </w:pPr>
            <w:r>
              <w:rPr>
                <w:rFonts w:hint="eastAsia" w:ascii="宋体" w:hAnsi="宋体" w:eastAsia="宋体" w:cs="宋体"/>
                <w:b/>
                <w:sz w:val="24"/>
              </w:rPr>
              <w:t>审查标准</w:t>
            </w:r>
          </w:p>
        </w:tc>
      </w:tr>
      <w:tr w14:paraId="4E4A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Align w:val="center"/>
          </w:tcPr>
          <w:p w14:paraId="4E385B9E">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1</w:t>
            </w:r>
          </w:p>
        </w:tc>
        <w:tc>
          <w:tcPr>
            <w:tcW w:w="2830" w:type="dxa"/>
            <w:vAlign w:val="center"/>
          </w:tcPr>
          <w:p w14:paraId="2C53CBF6">
            <w:pPr>
              <w:adjustRightInd w:val="0"/>
              <w:snapToGrid w:val="0"/>
              <w:spacing w:line="440" w:lineRule="exact"/>
              <w:jc w:val="left"/>
              <w:rPr>
                <w:rFonts w:ascii="宋体" w:hAnsi="宋体" w:eastAsia="宋体" w:cs="宋体"/>
                <w:sz w:val="24"/>
              </w:rPr>
            </w:pPr>
            <w:r>
              <w:rPr>
                <w:rFonts w:hint="eastAsia" w:ascii="宋体" w:hAnsi="宋体" w:eastAsia="宋体" w:cs="宋体"/>
                <w:sz w:val="24"/>
              </w:rPr>
              <w:t>投标函(原件)</w:t>
            </w:r>
          </w:p>
        </w:tc>
        <w:tc>
          <w:tcPr>
            <w:tcW w:w="5588" w:type="dxa"/>
            <w:vAlign w:val="center"/>
          </w:tcPr>
          <w:p w14:paraId="63A93720">
            <w:pPr>
              <w:adjustRightInd w:val="0"/>
              <w:snapToGrid w:val="0"/>
              <w:spacing w:line="440" w:lineRule="exact"/>
              <w:ind w:left="40" w:leftChars="19"/>
              <w:rPr>
                <w:rFonts w:ascii="宋体" w:hAnsi="宋体" w:eastAsia="宋体" w:cs="宋体"/>
                <w:sz w:val="24"/>
              </w:rPr>
            </w:pPr>
            <w:r>
              <w:rPr>
                <w:rFonts w:hint="eastAsia" w:ascii="宋体" w:hAnsi="宋体" w:eastAsia="宋体" w:cs="宋体"/>
                <w:sz w:val="24"/>
              </w:rPr>
              <w:t>按对应格式文件填写、签署、盖章。</w:t>
            </w:r>
          </w:p>
        </w:tc>
      </w:tr>
      <w:tr w14:paraId="2277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6" w:type="dxa"/>
            <w:vAlign w:val="center"/>
          </w:tcPr>
          <w:p w14:paraId="561EE680">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2</w:t>
            </w:r>
          </w:p>
        </w:tc>
        <w:tc>
          <w:tcPr>
            <w:tcW w:w="2830" w:type="dxa"/>
            <w:vAlign w:val="center"/>
          </w:tcPr>
          <w:p w14:paraId="484C6E4E">
            <w:pPr>
              <w:adjustRightInd w:val="0"/>
              <w:snapToGrid w:val="0"/>
              <w:spacing w:line="400" w:lineRule="exact"/>
              <w:jc w:val="left"/>
              <w:rPr>
                <w:rFonts w:ascii="宋体" w:hAnsi="宋体" w:eastAsia="宋体" w:cs="宋体"/>
                <w:sz w:val="24"/>
              </w:rPr>
            </w:pPr>
            <w:r>
              <w:rPr>
                <w:rFonts w:hint="eastAsia" w:ascii="宋体" w:hAnsi="宋体" w:eastAsia="宋体" w:cs="宋体"/>
                <w:sz w:val="24"/>
              </w:rPr>
              <w:t>法定代表人证明书及授权委托书</w:t>
            </w:r>
            <w:r>
              <w:rPr>
                <w:rFonts w:ascii="宋体" w:hAnsi="宋体" w:eastAsia="宋体" w:cs="宋体"/>
                <w:sz w:val="24"/>
              </w:rPr>
              <w:t>(</w:t>
            </w:r>
            <w:r>
              <w:rPr>
                <w:rFonts w:hint="eastAsia" w:ascii="宋体" w:hAnsi="宋体" w:eastAsia="宋体" w:cs="宋体"/>
                <w:sz w:val="24"/>
              </w:rPr>
              <w:t>原件</w:t>
            </w:r>
            <w:r>
              <w:rPr>
                <w:rFonts w:ascii="宋体" w:hAnsi="宋体" w:eastAsia="宋体" w:cs="宋体"/>
                <w:sz w:val="24"/>
              </w:rPr>
              <w:t>)</w:t>
            </w:r>
          </w:p>
          <w:p w14:paraId="52891D21">
            <w:pPr>
              <w:adjustRightInd w:val="0"/>
              <w:snapToGrid w:val="0"/>
              <w:spacing w:line="400" w:lineRule="exact"/>
              <w:jc w:val="left"/>
              <w:rPr>
                <w:rFonts w:ascii="宋体" w:hAnsi="宋体" w:eastAsia="宋体" w:cs="宋体"/>
                <w:sz w:val="24"/>
              </w:rPr>
            </w:pPr>
            <w:r>
              <w:rPr>
                <w:rFonts w:hint="eastAsia" w:ascii="宋体" w:hAnsi="宋体" w:eastAsia="宋体" w:cs="宋体"/>
                <w:sz w:val="24"/>
              </w:rPr>
              <w:t>注：法定代表人投标只须提供法定代表人证明书</w:t>
            </w:r>
            <w:r>
              <w:rPr>
                <w:rFonts w:ascii="宋体" w:hAnsi="宋体" w:eastAsia="宋体" w:cs="宋体"/>
                <w:sz w:val="24"/>
              </w:rPr>
              <w:t>(</w:t>
            </w:r>
            <w:r>
              <w:rPr>
                <w:rFonts w:hint="eastAsia" w:ascii="宋体" w:hAnsi="宋体" w:eastAsia="宋体" w:cs="宋体"/>
                <w:sz w:val="24"/>
              </w:rPr>
              <w:t>原件</w:t>
            </w:r>
            <w:r>
              <w:rPr>
                <w:rFonts w:ascii="宋体" w:hAnsi="宋体" w:eastAsia="宋体" w:cs="宋体"/>
                <w:sz w:val="24"/>
              </w:rPr>
              <w:t>)</w:t>
            </w:r>
          </w:p>
        </w:tc>
        <w:tc>
          <w:tcPr>
            <w:tcW w:w="5588" w:type="dxa"/>
            <w:vAlign w:val="center"/>
          </w:tcPr>
          <w:p w14:paraId="14EA8574">
            <w:pPr>
              <w:adjustRightInd w:val="0"/>
              <w:snapToGrid w:val="0"/>
              <w:spacing w:line="440" w:lineRule="exact"/>
              <w:ind w:left="40" w:leftChars="19"/>
              <w:rPr>
                <w:rFonts w:ascii="宋体" w:hAnsi="宋体" w:eastAsia="宋体" w:cs="宋体"/>
                <w:sz w:val="24"/>
              </w:rPr>
            </w:pPr>
            <w:r>
              <w:rPr>
                <w:rFonts w:hint="eastAsia" w:ascii="宋体" w:hAnsi="宋体" w:eastAsia="宋体" w:cs="宋体"/>
                <w:sz w:val="24"/>
              </w:rPr>
              <w:t>按对应格式文件填写、签署、盖章。</w:t>
            </w:r>
          </w:p>
        </w:tc>
      </w:tr>
      <w:tr w14:paraId="3D39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restart"/>
            <w:vAlign w:val="center"/>
          </w:tcPr>
          <w:p w14:paraId="7FE92E05">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3</w:t>
            </w:r>
          </w:p>
        </w:tc>
        <w:tc>
          <w:tcPr>
            <w:tcW w:w="2830" w:type="dxa"/>
            <w:vMerge w:val="restart"/>
            <w:vAlign w:val="center"/>
          </w:tcPr>
          <w:p w14:paraId="67EC39A6">
            <w:pPr>
              <w:adjustRightInd w:val="0"/>
              <w:snapToGrid w:val="0"/>
              <w:spacing w:line="440" w:lineRule="exact"/>
              <w:jc w:val="left"/>
              <w:rPr>
                <w:rFonts w:ascii="宋体" w:hAnsi="宋体" w:eastAsia="宋体" w:cs="宋体"/>
                <w:sz w:val="24"/>
              </w:rPr>
            </w:pPr>
            <w:r>
              <w:rPr>
                <w:rFonts w:hint="eastAsia" w:ascii="宋体" w:hAnsi="宋体" w:eastAsia="宋体" w:cs="宋体"/>
                <w:sz w:val="24"/>
              </w:rPr>
              <w:t>报价要求</w:t>
            </w:r>
          </w:p>
        </w:tc>
        <w:tc>
          <w:tcPr>
            <w:tcW w:w="5588" w:type="dxa"/>
            <w:vAlign w:val="center"/>
          </w:tcPr>
          <w:p w14:paraId="2DAA6680">
            <w:pPr>
              <w:tabs>
                <w:tab w:val="left" w:pos="2880"/>
              </w:tabs>
              <w:adjustRightInd w:val="0"/>
              <w:snapToGrid w:val="0"/>
              <w:spacing w:line="440" w:lineRule="exact"/>
              <w:ind w:left="40" w:leftChars="19"/>
              <w:rPr>
                <w:rFonts w:ascii="宋体" w:hAnsi="宋体" w:eastAsia="宋体" w:cs="宋体"/>
                <w:sz w:val="24"/>
              </w:rPr>
            </w:pPr>
            <w:r>
              <w:rPr>
                <w:rFonts w:hint="eastAsia" w:ascii="宋体" w:hAnsi="宋体" w:eastAsia="宋体" w:cs="宋体"/>
                <w:kern w:val="28"/>
                <w:sz w:val="24"/>
              </w:rPr>
              <w:t>投标报价是固定价且是唯一的，投标下浮率报价范围0≥下浮率＜100。</w:t>
            </w:r>
          </w:p>
        </w:tc>
      </w:tr>
      <w:tr w14:paraId="7853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vAlign w:val="center"/>
          </w:tcPr>
          <w:p w14:paraId="76C10FC8">
            <w:pPr>
              <w:adjustRightInd w:val="0"/>
              <w:snapToGrid w:val="0"/>
              <w:spacing w:line="440" w:lineRule="exact"/>
              <w:jc w:val="center"/>
              <w:rPr>
                <w:rFonts w:ascii="宋体" w:hAnsi="宋体" w:eastAsia="宋体" w:cs="宋体"/>
                <w:sz w:val="24"/>
              </w:rPr>
            </w:pPr>
          </w:p>
        </w:tc>
        <w:tc>
          <w:tcPr>
            <w:tcW w:w="2830" w:type="dxa"/>
            <w:vMerge w:val="continue"/>
            <w:vAlign w:val="center"/>
          </w:tcPr>
          <w:p w14:paraId="5BDE13E0">
            <w:pPr>
              <w:adjustRightInd w:val="0"/>
              <w:snapToGrid w:val="0"/>
              <w:spacing w:line="440" w:lineRule="exact"/>
              <w:jc w:val="left"/>
              <w:rPr>
                <w:rFonts w:ascii="宋体" w:hAnsi="宋体" w:eastAsia="宋体" w:cs="宋体"/>
                <w:sz w:val="24"/>
              </w:rPr>
            </w:pPr>
          </w:p>
        </w:tc>
        <w:tc>
          <w:tcPr>
            <w:tcW w:w="5588" w:type="dxa"/>
            <w:vAlign w:val="center"/>
          </w:tcPr>
          <w:p w14:paraId="42E43033">
            <w:pPr>
              <w:tabs>
                <w:tab w:val="left" w:pos="2880"/>
              </w:tabs>
              <w:adjustRightInd w:val="0"/>
              <w:snapToGrid w:val="0"/>
              <w:spacing w:line="440" w:lineRule="exact"/>
              <w:ind w:left="40" w:leftChars="19"/>
              <w:rPr>
                <w:rFonts w:ascii="宋体" w:hAnsi="宋体" w:eastAsia="宋体" w:cs="宋体"/>
                <w:kern w:val="28"/>
                <w:sz w:val="24"/>
              </w:rPr>
            </w:pPr>
            <w:r>
              <w:rPr>
                <w:rFonts w:hint="eastAsia" w:ascii="宋体" w:hAnsi="宋体" w:eastAsia="宋体" w:cs="宋体"/>
                <w:kern w:val="28"/>
                <w:sz w:val="24"/>
              </w:rPr>
              <w:t>招标文件不接受提交备选方案.</w:t>
            </w:r>
          </w:p>
        </w:tc>
      </w:tr>
      <w:tr w14:paraId="37F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Align w:val="center"/>
          </w:tcPr>
          <w:p w14:paraId="77FB60BD">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4</w:t>
            </w:r>
          </w:p>
        </w:tc>
        <w:tc>
          <w:tcPr>
            <w:tcW w:w="2830" w:type="dxa"/>
            <w:vAlign w:val="center"/>
          </w:tcPr>
          <w:p w14:paraId="1A6BC6B6">
            <w:pPr>
              <w:adjustRightInd w:val="0"/>
              <w:snapToGrid w:val="0"/>
              <w:spacing w:line="400" w:lineRule="exact"/>
              <w:jc w:val="left"/>
              <w:rPr>
                <w:rFonts w:ascii="宋体" w:hAnsi="宋体" w:eastAsia="宋体" w:cs="宋体"/>
                <w:sz w:val="24"/>
              </w:rPr>
            </w:pPr>
            <w:r>
              <w:rPr>
                <w:rFonts w:hint="eastAsia" w:ascii="宋体" w:hAnsi="宋体" w:eastAsia="宋体" w:cs="宋体"/>
                <w:sz w:val="24"/>
              </w:rPr>
              <w:t>投标文件的完整性</w:t>
            </w:r>
          </w:p>
        </w:tc>
        <w:tc>
          <w:tcPr>
            <w:tcW w:w="5588" w:type="dxa"/>
            <w:vAlign w:val="center"/>
          </w:tcPr>
          <w:p w14:paraId="507149FB">
            <w:pPr>
              <w:adjustRightInd w:val="0"/>
              <w:snapToGrid w:val="0"/>
              <w:spacing w:line="400" w:lineRule="exact"/>
              <w:rPr>
                <w:rFonts w:ascii="宋体" w:hAnsi="宋体" w:eastAsia="宋体" w:cs="宋体"/>
                <w:kern w:val="28"/>
                <w:sz w:val="24"/>
              </w:rPr>
            </w:pPr>
            <w:r>
              <w:rPr>
                <w:rFonts w:hint="eastAsia" w:ascii="宋体" w:hAnsi="宋体" w:eastAsia="宋体" w:cs="宋体"/>
                <w:kern w:val="28"/>
                <w:sz w:val="24"/>
              </w:rPr>
              <w:t>投标文件完整且编排有序，投标内容基本完整，无重大错漏，并按要求密封、签署、盖章。</w:t>
            </w:r>
          </w:p>
        </w:tc>
      </w:tr>
      <w:tr w14:paraId="00AE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Align w:val="center"/>
          </w:tcPr>
          <w:p w14:paraId="76E88B05">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5</w:t>
            </w:r>
          </w:p>
        </w:tc>
        <w:tc>
          <w:tcPr>
            <w:tcW w:w="2830" w:type="dxa"/>
            <w:vAlign w:val="center"/>
          </w:tcPr>
          <w:p w14:paraId="28233FDE">
            <w:pPr>
              <w:adjustRightInd w:val="0"/>
              <w:snapToGrid w:val="0"/>
              <w:spacing w:line="400" w:lineRule="exact"/>
              <w:jc w:val="left"/>
              <w:rPr>
                <w:rFonts w:ascii="宋体" w:hAnsi="宋体" w:eastAsia="宋体" w:cs="宋体"/>
                <w:sz w:val="24"/>
              </w:rPr>
            </w:pPr>
            <w:r>
              <w:rPr>
                <w:rFonts w:hint="eastAsia" w:ascii="宋体" w:hAnsi="宋体" w:eastAsia="宋体" w:cs="宋体"/>
                <w:sz w:val="24"/>
              </w:rPr>
              <w:t>投标有效期</w:t>
            </w:r>
          </w:p>
        </w:tc>
        <w:tc>
          <w:tcPr>
            <w:tcW w:w="5588" w:type="dxa"/>
            <w:vAlign w:val="center"/>
          </w:tcPr>
          <w:p w14:paraId="16A90B2D">
            <w:pPr>
              <w:adjustRightInd w:val="0"/>
              <w:snapToGrid w:val="0"/>
              <w:spacing w:line="400" w:lineRule="exact"/>
              <w:rPr>
                <w:rFonts w:ascii="宋体" w:hAnsi="宋体" w:eastAsia="宋体" w:cs="宋体"/>
                <w:sz w:val="24"/>
              </w:rPr>
            </w:pPr>
            <w:r>
              <w:rPr>
                <w:rFonts w:hint="eastAsia" w:ascii="宋体" w:hAnsi="宋体" w:eastAsia="宋体" w:cs="宋体"/>
                <w:sz w:val="24"/>
              </w:rPr>
              <w:t>递交投标文件截止之日起90天</w:t>
            </w:r>
          </w:p>
        </w:tc>
      </w:tr>
      <w:tr w14:paraId="13F7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Align w:val="center"/>
          </w:tcPr>
          <w:p w14:paraId="7B4EA908">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6</w:t>
            </w:r>
          </w:p>
        </w:tc>
        <w:tc>
          <w:tcPr>
            <w:tcW w:w="2830" w:type="dxa"/>
            <w:vAlign w:val="center"/>
          </w:tcPr>
          <w:p w14:paraId="0021C9BD">
            <w:pPr>
              <w:adjustRightInd w:val="0"/>
              <w:snapToGrid w:val="0"/>
              <w:spacing w:line="400" w:lineRule="exact"/>
              <w:jc w:val="left"/>
              <w:rPr>
                <w:rFonts w:ascii="宋体" w:hAnsi="宋体" w:eastAsia="宋体" w:cs="宋体"/>
                <w:sz w:val="24"/>
              </w:rPr>
            </w:pPr>
            <w:r>
              <w:rPr>
                <w:rFonts w:hint="eastAsia" w:ascii="宋体" w:hAnsi="宋体" w:eastAsia="宋体" w:cs="宋体"/>
                <w:sz w:val="24"/>
              </w:rPr>
              <w:t>服务期限</w:t>
            </w:r>
          </w:p>
        </w:tc>
        <w:tc>
          <w:tcPr>
            <w:tcW w:w="5588" w:type="dxa"/>
            <w:vAlign w:val="center"/>
          </w:tcPr>
          <w:p w14:paraId="29277A9B">
            <w:pPr>
              <w:adjustRightInd w:val="0"/>
              <w:snapToGrid w:val="0"/>
              <w:spacing w:line="400" w:lineRule="exact"/>
              <w:rPr>
                <w:rFonts w:ascii="宋体" w:hAnsi="宋体" w:eastAsia="宋体" w:cs="宋体"/>
                <w:kern w:val="0"/>
                <w:sz w:val="24"/>
              </w:rPr>
            </w:pPr>
            <w:r>
              <w:rPr>
                <w:rFonts w:hint="eastAsia" w:ascii="宋体" w:hAnsi="宋体" w:eastAsia="宋体" w:cs="宋体"/>
                <w:sz w:val="24"/>
              </w:rPr>
              <w:t>满足招标文件要求</w:t>
            </w:r>
          </w:p>
        </w:tc>
      </w:tr>
      <w:tr w14:paraId="76EC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16" w:type="dxa"/>
            <w:vAlign w:val="center"/>
          </w:tcPr>
          <w:p w14:paraId="7C22E02F">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7</w:t>
            </w:r>
          </w:p>
        </w:tc>
        <w:tc>
          <w:tcPr>
            <w:tcW w:w="2830" w:type="dxa"/>
            <w:vAlign w:val="center"/>
          </w:tcPr>
          <w:p w14:paraId="7F432306">
            <w:pPr>
              <w:adjustRightInd w:val="0"/>
              <w:snapToGrid w:val="0"/>
              <w:spacing w:line="400" w:lineRule="exact"/>
              <w:jc w:val="left"/>
              <w:rPr>
                <w:rFonts w:ascii="宋体" w:hAnsi="宋体" w:eastAsia="宋体" w:cs="宋体"/>
                <w:sz w:val="24"/>
              </w:rPr>
            </w:pPr>
            <w:r>
              <w:rPr>
                <w:rFonts w:hint="eastAsia" w:ascii="宋体" w:hAnsi="宋体" w:eastAsia="宋体" w:cs="宋体"/>
                <w:sz w:val="24"/>
              </w:rPr>
              <w:t>招标代理服务费支付承诺书</w:t>
            </w:r>
          </w:p>
        </w:tc>
        <w:tc>
          <w:tcPr>
            <w:tcW w:w="5588" w:type="dxa"/>
            <w:vAlign w:val="center"/>
          </w:tcPr>
          <w:p w14:paraId="2D0099F6">
            <w:pPr>
              <w:adjustRightInd w:val="0"/>
              <w:snapToGrid w:val="0"/>
              <w:spacing w:line="400" w:lineRule="exact"/>
              <w:jc w:val="left"/>
              <w:rPr>
                <w:rFonts w:ascii="宋体" w:hAnsi="宋体" w:eastAsia="宋体" w:cs="宋体"/>
                <w:sz w:val="24"/>
              </w:rPr>
            </w:pPr>
            <w:r>
              <w:rPr>
                <w:rFonts w:hint="eastAsia" w:ascii="宋体" w:hAnsi="宋体" w:eastAsia="宋体" w:cs="宋体"/>
                <w:sz w:val="24"/>
              </w:rPr>
              <w:t>已按招标文件要求提交招标代理服务费支付承诺书。</w:t>
            </w:r>
          </w:p>
        </w:tc>
      </w:tr>
      <w:tr w14:paraId="372F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16" w:type="dxa"/>
            <w:vAlign w:val="center"/>
          </w:tcPr>
          <w:p w14:paraId="78115BC5">
            <w:pPr>
              <w:adjustRightInd w:val="0"/>
              <w:snapToGrid w:val="0"/>
              <w:spacing w:line="440" w:lineRule="exact"/>
              <w:jc w:val="center"/>
              <w:rPr>
                <w:rFonts w:ascii="宋体" w:hAnsi="宋体" w:eastAsia="宋体" w:cs="宋体"/>
                <w:sz w:val="24"/>
              </w:rPr>
            </w:pPr>
            <w:r>
              <w:rPr>
                <w:rFonts w:hint="eastAsia" w:ascii="宋体" w:hAnsi="宋体" w:eastAsia="宋体" w:cs="宋体"/>
                <w:sz w:val="24"/>
              </w:rPr>
              <w:t>8</w:t>
            </w:r>
          </w:p>
        </w:tc>
        <w:tc>
          <w:tcPr>
            <w:tcW w:w="2830" w:type="dxa"/>
            <w:vAlign w:val="center"/>
          </w:tcPr>
          <w:p w14:paraId="76D4C05E">
            <w:pPr>
              <w:adjustRightInd w:val="0"/>
              <w:snapToGrid w:val="0"/>
              <w:spacing w:line="400" w:lineRule="exact"/>
              <w:jc w:val="left"/>
              <w:rPr>
                <w:rFonts w:ascii="宋体" w:hAnsi="宋体" w:eastAsia="宋体" w:cs="宋体"/>
                <w:sz w:val="24"/>
              </w:rPr>
            </w:pPr>
            <w:r>
              <w:rPr>
                <w:rFonts w:hint="eastAsia" w:ascii="宋体" w:hAnsi="宋体" w:eastAsia="宋体" w:cs="宋体"/>
                <w:sz w:val="24"/>
              </w:rPr>
              <w:t>其它</w:t>
            </w:r>
          </w:p>
        </w:tc>
        <w:tc>
          <w:tcPr>
            <w:tcW w:w="5588" w:type="dxa"/>
            <w:vAlign w:val="center"/>
          </w:tcPr>
          <w:p w14:paraId="5895CBAB">
            <w:pPr>
              <w:adjustRightInd w:val="0"/>
              <w:snapToGrid w:val="0"/>
              <w:spacing w:line="320" w:lineRule="exact"/>
              <w:rPr>
                <w:rFonts w:ascii="宋体" w:hAnsi="宋体" w:eastAsia="宋体" w:cs="宋体"/>
                <w:sz w:val="24"/>
              </w:rPr>
            </w:pPr>
            <w:r>
              <w:rPr>
                <w:rFonts w:hint="eastAsia" w:ascii="宋体" w:hAnsi="宋体" w:eastAsia="宋体" w:cs="宋体"/>
                <w:sz w:val="24"/>
              </w:rPr>
              <w:t>法律、法规和招标文件规定的其他投标无效情形</w:t>
            </w:r>
          </w:p>
        </w:tc>
      </w:tr>
    </w:tbl>
    <w:p w14:paraId="1F3079D5">
      <w:pPr>
        <w:spacing w:line="360" w:lineRule="auto"/>
        <w:rPr>
          <w:rFonts w:ascii="宋体" w:hAnsi="宋体" w:eastAsia="宋体" w:cs="宋体"/>
          <w:sz w:val="24"/>
        </w:rPr>
      </w:pPr>
      <w:r>
        <w:rPr>
          <w:rFonts w:hint="eastAsia" w:ascii="宋体" w:hAnsi="宋体" w:eastAsia="宋体" w:cs="宋体"/>
          <w:sz w:val="24"/>
        </w:rPr>
        <w:t>备注：</w:t>
      </w:r>
    </w:p>
    <w:p w14:paraId="716C2D25">
      <w:pPr>
        <w:numPr>
          <w:ilvl w:val="0"/>
          <w:numId w:val="53"/>
        </w:numPr>
        <w:spacing w:line="360" w:lineRule="auto"/>
        <w:rPr>
          <w:rFonts w:ascii="宋体" w:hAnsi="宋体" w:eastAsia="宋体" w:cs="宋体"/>
          <w:sz w:val="24"/>
        </w:rPr>
      </w:pPr>
      <w:r>
        <w:rPr>
          <w:rFonts w:hint="eastAsia" w:ascii="宋体" w:hAnsi="宋体" w:eastAsia="宋体" w:cs="宋体"/>
          <w:sz w:val="24"/>
        </w:rPr>
        <w:t>每一项符合的打“○”，不符合的打“×”。</w:t>
      </w:r>
    </w:p>
    <w:p w14:paraId="6F9C1DEC">
      <w:pPr>
        <w:numPr>
          <w:ilvl w:val="0"/>
          <w:numId w:val="53"/>
        </w:numPr>
        <w:spacing w:line="360" w:lineRule="auto"/>
        <w:rPr>
          <w:rFonts w:ascii="宋体" w:hAnsi="宋体" w:eastAsia="宋体" w:cs="宋体"/>
          <w:sz w:val="24"/>
        </w:rPr>
      </w:pPr>
      <w:r>
        <w:rPr>
          <w:rFonts w:hint="eastAsia" w:ascii="宋体" w:hAnsi="宋体" w:eastAsia="宋体" w:cs="宋体"/>
          <w:sz w:val="24"/>
        </w:rPr>
        <w:t>“结论”一栏填写“通过”或“不通过”；任何一项出现“×”的，结论为不通过。不通过的投标为无效投标。</w:t>
      </w:r>
    </w:p>
    <w:p w14:paraId="64A5583A">
      <w:pPr>
        <w:numPr>
          <w:ilvl w:val="0"/>
          <w:numId w:val="53"/>
        </w:numPr>
        <w:spacing w:line="360" w:lineRule="auto"/>
        <w:rPr>
          <w:rFonts w:ascii="宋体" w:hAnsi="宋体" w:eastAsia="宋体" w:cs="宋体"/>
          <w:sz w:val="24"/>
        </w:rPr>
      </w:pPr>
      <w:r>
        <w:rPr>
          <w:rFonts w:hint="eastAsia" w:ascii="宋体" w:hAnsi="宋体" w:eastAsia="宋体" w:cs="宋体"/>
          <w:sz w:val="24"/>
        </w:rPr>
        <w:t>汇总时出现不同意见的，评标委员会按简单多数原则表决决定。</w:t>
      </w:r>
    </w:p>
    <w:p w14:paraId="00E09458">
      <w:pPr>
        <w:tabs>
          <w:tab w:val="left" w:pos="360"/>
          <w:tab w:val="left" w:pos="1030"/>
        </w:tabs>
        <w:spacing w:before="120" w:line="360" w:lineRule="auto"/>
        <w:rPr>
          <w:rFonts w:ascii="宋体" w:hAnsi="宋体" w:eastAsia="宋体" w:cs="宋体"/>
          <w:b/>
          <w:sz w:val="24"/>
        </w:rPr>
      </w:pPr>
    </w:p>
    <w:p w14:paraId="004501EF">
      <w:pPr>
        <w:tabs>
          <w:tab w:val="left" w:pos="360"/>
          <w:tab w:val="left" w:pos="1030"/>
        </w:tabs>
        <w:spacing w:before="120" w:line="360" w:lineRule="auto"/>
        <w:rPr>
          <w:rFonts w:ascii="宋体" w:hAnsi="宋体" w:eastAsia="宋体" w:cs="宋体"/>
          <w:b/>
          <w:sz w:val="24"/>
        </w:rPr>
      </w:pPr>
    </w:p>
    <w:p w14:paraId="56F642EF">
      <w:pPr>
        <w:tabs>
          <w:tab w:val="left" w:pos="360"/>
          <w:tab w:val="left" w:pos="1030"/>
        </w:tabs>
        <w:spacing w:before="120" w:line="360" w:lineRule="auto"/>
        <w:rPr>
          <w:rFonts w:ascii="宋体" w:hAnsi="宋体" w:eastAsia="宋体" w:cs="宋体"/>
          <w:b/>
          <w:sz w:val="24"/>
        </w:rPr>
      </w:pPr>
    </w:p>
    <w:p w14:paraId="3F4E27C3">
      <w:pPr>
        <w:tabs>
          <w:tab w:val="left" w:pos="360"/>
          <w:tab w:val="left" w:pos="1030"/>
        </w:tabs>
        <w:spacing w:before="120" w:line="360" w:lineRule="auto"/>
        <w:rPr>
          <w:rFonts w:ascii="宋体" w:hAnsi="宋体" w:eastAsia="宋体" w:cs="宋体"/>
          <w:b/>
          <w:sz w:val="24"/>
        </w:rPr>
      </w:pPr>
    </w:p>
    <w:p w14:paraId="3003C3B3">
      <w:pPr>
        <w:tabs>
          <w:tab w:val="left" w:pos="360"/>
          <w:tab w:val="left" w:pos="1030"/>
        </w:tabs>
        <w:spacing w:before="120" w:line="360" w:lineRule="auto"/>
        <w:rPr>
          <w:rFonts w:ascii="宋体" w:hAnsi="宋体" w:eastAsia="宋体" w:cs="宋体"/>
          <w:b/>
          <w:sz w:val="24"/>
        </w:rPr>
      </w:pPr>
    </w:p>
    <w:p w14:paraId="18CE3578">
      <w:pPr>
        <w:tabs>
          <w:tab w:val="left" w:pos="360"/>
          <w:tab w:val="left" w:pos="1030"/>
        </w:tabs>
        <w:spacing w:before="120" w:line="360" w:lineRule="auto"/>
        <w:rPr>
          <w:rFonts w:ascii="宋体" w:hAnsi="宋体" w:eastAsia="宋体" w:cs="宋体"/>
          <w:b/>
          <w:sz w:val="24"/>
        </w:rPr>
      </w:pPr>
    </w:p>
    <w:p w14:paraId="79CF0D0D">
      <w:pPr>
        <w:tabs>
          <w:tab w:val="left" w:pos="360"/>
          <w:tab w:val="left" w:pos="1030"/>
        </w:tabs>
        <w:spacing w:before="120" w:line="360" w:lineRule="auto"/>
      </w:pPr>
      <w:r>
        <w:rPr>
          <w:rFonts w:hint="eastAsia" w:ascii="宋体" w:hAnsi="宋体" w:eastAsia="宋体" w:cs="宋体"/>
          <w:b/>
          <w:sz w:val="24"/>
        </w:rPr>
        <w:t>附件3：价格评审表（总分100分）</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424"/>
        <w:gridCol w:w="955"/>
      </w:tblGrid>
      <w:tr w14:paraId="2CD0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17" w:type="dxa"/>
            <w:tcBorders>
              <w:top w:val="single" w:color="auto" w:sz="4" w:space="0"/>
              <w:left w:val="single" w:color="auto" w:sz="4" w:space="0"/>
              <w:right w:val="single" w:color="auto" w:sz="4" w:space="0"/>
            </w:tcBorders>
            <w:vAlign w:val="center"/>
          </w:tcPr>
          <w:p w14:paraId="7AF09D79">
            <w:pPr>
              <w:spacing w:line="440" w:lineRule="exact"/>
              <w:jc w:val="center"/>
              <w:rPr>
                <w:rFonts w:ascii="宋体" w:hAnsi="宋体"/>
                <w:b/>
                <w:color w:val="000000"/>
                <w:sz w:val="24"/>
              </w:rPr>
            </w:pPr>
            <w:r>
              <w:rPr>
                <w:rFonts w:hint="eastAsia" w:ascii="宋体" w:hAnsi="宋体"/>
                <w:b/>
                <w:color w:val="000000"/>
                <w:sz w:val="24"/>
              </w:rPr>
              <w:t>序号</w:t>
            </w:r>
          </w:p>
        </w:tc>
        <w:tc>
          <w:tcPr>
            <w:tcW w:w="1843" w:type="dxa"/>
            <w:tcBorders>
              <w:top w:val="single" w:color="auto" w:sz="4" w:space="0"/>
              <w:left w:val="single" w:color="auto" w:sz="4" w:space="0"/>
              <w:right w:val="single" w:color="auto" w:sz="4" w:space="0"/>
            </w:tcBorders>
            <w:vAlign w:val="center"/>
          </w:tcPr>
          <w:p w14:paraId="455AE878">
            <w:pPr>
              <w:adjustRightInd w:val="0"/>
              <w:snapToGrid w:val="0"/>
              <w:spacing w:line="440" w:lineRule="exact"/>
              <w:jc w:val="center"/>
              <w:rPr>
                <w:rFonts w:ascii="宋体" w:hAnsi="宋体"/>
                <w:b/>
                <w:color w:val="000000"/>
                <w:sz w:val="24"/>
              </w:rPr>
            </w:pPr>
            <w:r>
              <w:rPr>
                <w:rFonts w:hint="eastAsia" w:ascii="宋体" w:hAnsi="宋体"/>
                <w:b/>
                <w:color w:val="000000"/>
                <w:sz w:val="24"/>
              </w:rPr>
              <w:t>评分项目</w:t>
            </w:r>
          </w:p>
        </w:tc>
        <w:tc>
          <w:tcPr>
            <w:tcW w:w="5424" w:type="dxa"/>
            <w:tcBorders>
              <w:top w:val="single" w:color="auto" w:sz="4" w:space="0"/>
              <w:left w:val="single" w:color="auto" w:sz="4" w:space="0"/>
              <w:right w:val="single" w:color="auto" w:sz="4" w:space="0"/>
            </w:tcBorders>
            <w:vAlign w:val="center"/>
          </w:tcPr>
          <w:p w14:paraId="371CBA01">
            <w:pPr>
              <w:adjustRightInd w:val="0"/>
              <w:snapToGrid w:val="0"/>
              <w:spacing w:line="440" w:lineRule="exact"/>
              <w:jc w:val="center"/>
              <w:rPr>
                <w:rFonts w:ascii="宋体" w:hAnsi="宋体"/>
                <w:b/>
                <w:color w:val="000000"/>
                <w:sz w:val="24"/>
              </w:rPr>
            </w:pPr>
            <w:r>
              <w:rPr>
                <w:rFonts w:hint="eastAsia" w:ascii="宋体" w:hAnsi="宋体"/>
                <w:b/>
                <w:color w:val="000000"/>
                <w:sz w:val="24"/>
              </w:rPr>
              <w:t>评分标准</w:t>
            </w:r>
          </w:p>
        </w:tc>
        <w:tc>
          <w:tcPr>
            <w:tcW w:w="955" w:type="dxa"/>
            <w:tcBorders>
              <w:top w:val="single" w:color="auto" w:sz="4" w:space="0"/>
              <w:left w:val="single" w:color="auto" w:sz="4" w:space="0"/>
              <w:right w:val="single" w:color="auto" w:sz="4" w:space="0"/>
            </w:tcBorders>
            <w:vAlign w:val="center"/>
          </w:tcPr>
          <w:p w14:paraId="032FE4D5">
            <w:pPr>
              <w:spacing w:line="440" w:lineRule="exact"/>
              <w:jc w:val="center"/>
              <w:rPr>
                <w:rFonts w:ascii="宋体" w:hAnsi="宋体"/>
                <w:b/>
                <w:color w:val="000000"/>
                <w:sz w:val="24"/>
              </w:rPr>
            </w:pPr>
            <w:r>
              <w:rPr>
                <w:rFonts w:hint="eastAsia" w:ascii="宋体" w:hAnsi="宋体"/>
                <w:b/>
                <w:color w:val="000000"/>
                <w:sz w:val="24"/>
              </w:rPr>
              <w:t>分值</w:t>
            </w:r>
          </w:p>
        </w:tc>
      </w:tr>
      <w:tr w14:paraId="2EA6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exact"/>
        </w:trPr>
        <w:tc>
          <w:tcPr>
            <w:tcW w:w="817" w:type="dxa"/>
            <w:tcBorders>
              <w:left w:val="single" w:color="auto" w:sz="4" w:space="0"/>
              <w:right w:val="single" w:color="auto" w:sz="4" w:space="0"/>
            </w:tcBorders>
            <w:vAlign w:val="center"/>
          </w:tcPr>
          <w:p w14:paraId="4F0E8A72">
            <w:pPr>
              <w:jc w:val="center"/>
              <w:rPr>
                <w:rFonts w:ascii="宋体" w:hAnsi="宋体"/>
                <w:color w:val="auto"/>
                <w:sz w:val="24"/>
              </w:rPr>
            </w:pPr>
            <w:r>
              <w:rPr>
                <w:rFonts w:hint="eastAsia" w:ascii="宋体" w:hAnsi="宋体"/>
                <w:color w:val="auto"/>
                <w:sz w:val="24"/>
              </w:rPr>
              <w:t>1</w:t>
            </w:r>
          </w:p>
        </w:tc>
        <w:tc>
          <w:tcPr>
            <w:tcW w:w="1843" w:type="dxa"/>
            <w:tcBorders>
              <w:top w:val="single" w:color="auto" w:sz="4" w:space="0"/>
              <w:left w:val="single" w:color="auto" w:sz="4" w:space="0"/>
              <w:right w:val="single" w:color="auto" w:sz="4" w:space="0"/>
            </w:tcBorders>
            <w:vAlign w:val="center"/>
          </w:tcPr>
          <w:p w14:paraId="616C26C5">
            <w:pPr>
              <w:spacing w:line="360" w:lineRule="auto"/>
              <w:jc w:val="center"/>
              <w:rPr>
                <w:rFonts w:ascii="宋体" w:hAnsi="宋体"/>
                <w:color w:val="auto"/>
                <w:sz w:val="24"/>
              </w:rPr>
            </w:pPr>
            <w:r>
              <w:rPr>
                <w:rFonts w:hint="eastAsia" w:ascii="宋体" w:hAnsi="宋体"/>
                <w:color w:val="auto"/>
                <w:sz w:val="24"/>
              </w:rPr>
              <w:t>投标报价</w:t>
            </w:r>
          </w:p>
          <w:p w14:paraId="760C5842">
            <w:pPr>
              <w:spacing w:line="360" w:lineRule="auto"/>
              <w:jc w:val="center"/>
              <w:rPr>
                <w:rFonts w:ascii="宋体" w:hAnsi="宋体"/>
                <w:color w:val="auto"/>
                <w:sz w:val="24"/>
              </w:rPr>
            </w:pPr>
            <w:r>
              <w:rPr>
                <w:rFonts w:hint="eastAsia" w:ascii="宋体" w:hAnsi="宋体"/>
                <w:color w:val="auto"/>
                <w:sz w:val="24"/>
              </w:rPr>
              <w:t>（</w:t>
            </w:r>
            <w:r>
              <w:rPr>
                <w:rFonts w:hint="eastAsia" w:ascii="宋体" w:hAnsi="宋体"/>
                <w:color w:val="auto"/>
                <w:sz w:val="24"/>
                <w:lang w:bidi="ar"/>
              </w:rPr>
              <w:t>投标下浮率</w:t>
            </w:r>
            <w:r>
              <w:rPr>
                <w:rFonts w:hint="eastAsia" w:ascii="宋体" w:hAnsi="宋体"/>
                <w:color w:val="auto"/>
                <w:sz w:val="24"/>
              </w:rPr>
              <w:t>）</w:t>
            </w:r>
          </w:p>
        </w:tc>
        <w:tc>
          <w:tcPr>
            <w:tcW w:w="5424" w:type="dxa"/>
            <w:tcBorders>
              <w:top w:val="single" w:color="auto" w:sz="4" w:space="0"/>
              <w:left w:val="single" w:color="auto" w:sz="4" w:space="0"/>
              <w:bottom w:val="single" w:color="auto" w:sz="4" w:space="0"/>
              <w:right w:val="single" w:color="auto" w:sz="4" w:space="0"/>
            </w:tcBorders>
            <w:vAlign w:val="center"/>
          </w:tcPr>
          <w:p w14:paraId="637EEE8F">
            <w:pPr>
              <w:widowControl/>
              <w:spacing w:line="440" w:lineRule="exact"/>
              <w:rPr>
                <w:rFonts w:ascii="宋体" w:hAnsi="宋体"/>
                <w:color w:val="auto"/>
                <w:sz w:val="24"/>
                <w:lang w:bidi="ar"/>
              </w:rPr>
            </w:pPr>
            <w:r>
              <w:rPr>
                <w:rFonts w:hint="eastAsia" w:ascii="宋体" w:hAnsi="宋体"/>
                <w:color w:val="auto"/>
                <w:sz w:val="24"/>
                <w:lang w:bidi="ar"/>
              </w:rPr>
              <w:t>1.投标报价以1-投标下浮率进行计算。</w:t>
            </w:r>
          </w:p>
          <w:p w14:paraId="1DFBBDA0">
            <w:pPr>
              <w:widowControl/>
              <w:spacing w:line="440" w:lineRule="exact"/>
              <w:rPr>
                <w:rFonts w:ascii="宋体" w:hAnsi="宋体"/>
                <w:color w:val="auto"/>
                <w:sz w:val="24"/>
              </w:rPr>
            </w:pPr>
            <w:r>
              <w:rPr>
                <w:rFonts w:hint="eastAsia" w:ascii="宋体" w:hAnsi="宋体"/>
                <w:color w:val="auto"/>
                <w:sz w:val="24"/>
                <w:lang w:bidi="ar"/>
              </w:rPr>
              <w:t>2.</w:t>
            </w:r>
            <w:r>
              <w:rPr>
                <w:rFonts w:ascii="宋体" w:hAnsi="宋体"/>
                <w:color w:val="auto"/>
                <w:sz w:val="24"/>
                <w:lang w:bidi="ar"/>
              </w:rPr>
              <w:t>采用低价优先法计算</w:t>
            </w:r>
            <w:r>
              <w:rPr>
                <w:rFonts w:hint="eastAsia" w:ascii="宋体" w:hAnsi="宋体"/>
                <w:color w:val="auto"/>
                <w:sz w:val="24"/>
                <w:lang w:bidi="ar"/>
              </w:rPr>
              <w:t>，</w:t>
            </w:r>
            <w:r>
              <w:rPr>
                <w:rFonts w:ascii="宋体" w:hAnsi="宋体"/>
                <w:color w:val="auto"/>
                <w:sz w:val="24"/>
                <w:lang w:bidi="ar"/>
              </w:rPr>
              <w:t>即通过资格、</w:t>
            </w:r>
            <w:r>
              <w:rPr>
                <w:rFonts w:hint="eastAsia" w:ascii="宋体" w:hAnsi="宋体"/>
                <w:color w:val="auto"/>
                <w:sz w:val="24"/>
                <w:lang w:bidi="ar"/>
              </w:rPr>
              <w:t>有效</w:t>
            </w:r>
            <w:r>
              <w:rPr>
                <w:rFonts w:ascii="宋体" w:hAnsi="宋体"/>
                <w:color w:val="auto"/>
                <w:sz w:val="24"/>
                <w:lang w:bidi="ar"/>
              </w:rPr>
              <w:t>性评审且</w:t>
            </w:r>
            <w:r>
              <w:rPr>
                <w:rFonts w:hint="eastAsia" w:ascii="宋体" w:hAnsi="宋体"/>
                <w:color w:val="auto"/>
                <w:sz w:val="24"/>
                <w:lang w:bidi="ar"/>
              </w:rPr>
              <w:t>投标报价最低（即投标下浮率最大）</w:t>
            </w:r>
            <w:r>
              <w:rPr>
                <w:rFonts w:ascii="宋体" w:hAnsi="宋体"/>
                <w:color w:val="auto"/>
                <w:sz w:val="24"/>
                <w:lang w:bidi="ar"/>
              </w:rPr>
              <w:t>的为</w:t>
            </w:r>
            <w:r>
              <w:rPr>
                <w:rFonts w:hint="eastAsia" w:ascii="宋体" w:hAnsi="宋体"/>
                <w:color w:val="auto"/>
                <w:sz w:val="24"/>
                <w:lang w:bidi="ar"/>
              </w:rPr>
              <w:t>评标</w:t>
            </w:r>
            <w:r>
              <w:rPr>
                <w:rFonts w:ascii="宋体" w:hAnsi="宋体"/>
                <w:color w:val="auto"/>
                <w:sz w:val="24"/>
                <w:lang w:bidi="ar"/>
              </w:rPr>
              <w:t>基准</w:t>
            </w:r>
            <w:r>
              <w:rPr>
                <w:rFonts w:hint="eastAsia" w:ascii="宋体" w:hAnsi="宋体"/>
                <w:color w:val="auto"/>
                <w:sz w:val="24"/>
                <w:lang w:bidi="ar"/>
              </w:rPr>
              <w:t>价</w:t>
            </w:r>
            <w:r>
              <w:rPr>
                <w:rFonts w:ascii="宋体" w:hAnsi="宋体"/>
                <w:color w:val="auto"/>
                <w:sz w:val="24"/>
                <w:lang w:bidi="ar"/>
              </w:rPr>
              <w:t>，其价格得分为</w:t>
            </w:r>
            <w:r>
              <w:rPr>
                <w:rFonts w:hint="eastAsia" w:ascii="宋体" w:hAnsi="宋体"/>
                <w:color w:val="auto"/>
                <w:sz w:val="24"/>
                <w:lang w:bidi="ar"/>
              </w:rPr>
              <w:t>100</w:t>
            </w:r>
            <w:r>
              <w:rPr>
                <w:rFonts w:ascii="宋体" w:hAnsi="宋体"/>
                <w:color w:val="auto"/>
                <w:sz w:val="24"/>
                <w:lang w:bidi="ar"/>
              </w:rPr>
              <w:t>分；其他</w:t>
            </w:r>
            <w:r>
              <w:rPr>
                <w:rFonts w:hint="eastAsia" w:ascii="宋体" w:hAnsi="宋体"/>
                <w:color w:val="auto"/>
                <w:sz w:val="24"/>
                <w:lang w:bidi="ar"/>
              </w:rPr>
              <w:t>供应商</w:t>
            </w:r>
            <w:r>
              <w:rPr>
                <w:rFonts w:ascii="宋体" w:hAnsi="宋体"/>
                <w:color w:val="auto"/>
                <w:sz w:val="24"/>
                <w:lang w:bidi="ar"/>
              </w:rPr>
              <w:t>的价格得分按如下公式计算：</w:t>
            </w:r>
            <w:r>
              <w:rPr>
                <w:rFonts w:hint="eastAsia" w:ascii="宋体" w:hAnsi="宋体"/>
                <w:color w:val="auto"/>
                <w:sz w:val="24"/>
              </w:rPr>
              <w:t>报价</w:t>
            </w:r>
            <w:r>
              <w:rPr>
                <w:rFonts w:ascii="宋体" w:hAnsi="宋体"/>
                <w:color w:val="auto"/>
                <w:sz w:val="24"/>
                <w:lang w:bidi="ar"/>
              </w:rPr>
              <w:t>得分﹦</w:t>
            </w:r>
            <w:r>
              <w:rPr>
                <w:rFonts w:hint="eastAsia" w:ascii="宋体" w:hAnsi="宋体"/>
                <w:color w:val="auto"/>
                <w:sz w:val="24"/>
                <w:lang w:bidi="ar"/>
              </w:rPr>
              <w:t>评标基准价/投标报价</w:t>
            </w:r>
            <w:r>
              <w:rPr>
                <w:rFonts w:ascii="宋体" w:hAnsi="宋体"/>
                <w:color w:val="auto"/>
                <w:sz w:val="24"/>
                <w:lang w:bidi="ar"/>
              </w:rPr>
              <w:t>×</w:t>
            </w:r>
            <w:r>
              <w:rPr>
                <w:rFonts w:hint="eastAsia" w:ascii="宋体" w:hAnsi="宋体"/>
                <w:color w:val="auto"/>
                <w:sz w:val="24"/>
                <w:lang w:bidi="ar"/>
              </w:rPr>
              <w:t>100</w:t>
            </w:r>
            <w:r>
              <w:rPr>
                <w:rFonts w:ascii="宋体" w:hAnsi="宋体"/>
                <w:color w:val="auto"/>
                <w:sz w:val="24"/>
                <w:lang w:bidi="ar"/>
              </w:rPr>
              <w:t>分</w:t>
            </w:r>
            <w:r>
              <w:rPr>
                <w:rFonts w:hint="eastAsia" w:ascii="宋体" w:hAnsi="宋体"/>
                <w:color w:val="auto"/>
                <w:sz w:val="24"/>
                <w:lang w:bidi="ar"/>
              </w:rPr>
              <w:t>。</w:t>
            </w:r>
          </w:p>
        </w:tc>
        <w:tc>
          <w:tcPr>
            <w:tcW w:w="955" w:type="dxa"/>
            <w:tcBorders>
              <w:top w:val="single" w:color="auto" w:sz="4" w:space="0"/>
              <w:left w:val="single" w:color="auto" w:sz="4" w:space="0"/>
              <w:bottom w:val="single" w:color="auto" w:sz="4" w:space="0"/>
              <w:right w:val="single" w:color="auto" w:sz="4" w:space="0"/>
            </w:tcBorders>
            <w:vAlign w:val="center"/>
          </w:tcPr>
          <w:p w14:paraId="26335776">
            <w:pPr>
              <w:jc w:val="center"/>
              <w:rPr>
                <w:rFonts w:ascii="宋体" w:hAnsi="宋体"/>
                <w:color w:val="auto"/>
                <w:sz w:val="24"/>
              </w:rPr>
            </w:pPr>
            <w:r>
              <w:rPr>
                <w:rFonts w:hint="eastAsia" w:ascii="宋体" w:hAnsi="宋体"/>
                <w:color w:val="auto"/>
                <w:sz w:val="24"/>
              </w:rPr>
              <w:t>100</w:t>
            </w:r>
          </w:p>
        </w:tc>
      </w:tr>
    </w:tbl>
    <w:p w14:paraId="0F7E4156">
      <w:pPr>
        <w:ind w:left="420"/>
      </w:pPr>
    </w:p>
    <w:p w14:paraId="7813FAC2">
      <w:pPr>
        <w:ind w:left="420"/>
      </w:pPr>
    </w:p>
    <w:p w14:paraId="14CD8C8F">
      <w:pPr>
        <w:ind w:left="420"/>
      </w:pPr>
    </w:p>
    <w:p w14:paraId="1E65792C">
      <w:pPr>
        <w:ind w:left="420"/>
      </w:pPr>
    </w:p>
    <w:p w14:paraId="01B8A61C">
      <w:pPr>
        <w:ind w:left="420"/>
      </w:pPr>
    </w:p>
    <w:p w14:paraId="00C0DAE0">
      <w:pPr>
        <w:ind w:left="420"/>
      </w:pPr>
    </w:p>
    <w:p w14:paraId="0DF76184">
      <w:pPr>
        <w:ind w:left="420"/>
      </w:pPr>
    </w:p>
    <w:p w14:paraId="450D83C6">
      <w:pPr>
        <w:ind w:left="420"/>
      </w:pPr>
    </w:p>
    <w:p w14:paraId="238C88CF">
      <w:pPr>
        <w:ind w:left="420"/>
      </w:pPr>
    </w:p>
    <w:p w14:paraId="14693CE7">
      <w:pPr>
        <w:ind w:left="420"/>
      </w:pPr>
    </w:p>
    <w:p w14:paraId="58F5E60A">
      <w:pPr>
        <w:ind w:left="420"/>
      </w:pPr>
    </w:p>
    <w:p w14:paraId="6904F787">
      <w:pPr>
        <w:ind w:left="420"/>
      </w:pPr>
    </w:p>
    <w:p w14:paraId="73F02634">
      <w:pPr>
        <w:ind w:left="420"/>
      </w:pPr>
    </w:p>
    <w:p w14:paraId="10A0D0B7">
      <w:pPr>
        <w:ind w:left="420"/>
      </w:pPr>
    </w:p>
    <w:p w14:paraId="667B33F1">
      <w:pPr>
        <w:ind w:left="420"/>
      </w:pPr>
    </w:p>
    <w:p w14:paraId="6C247718">
      <w:pPr>
        <w:ind w:left="420"/>
      </w:pPr>
    </w:p>
    <w:p w14:paraId="348BA510">
      <w:pPr>
        <w:ind w:left="420"/>
      </w:pPr>
    </w:p>
    <w:p w14:paraId="587ED7A3">
      <w:pPr>
        <w:ind w:left="420"/>
      </w:pPr>
    </w:p>
    <w:p w14:paraId="499A1B49">
      <w:pPr>
        <w:ind w:left="420"/>
      </w:pPr>
    </w:p>
    <w:p w14:paraId="55F930F6">
      <w:pPr>
        <w:ind w:left="420"/>
      </w:pPr>
    </w:p>
    <w:p w14:paraId="3AEB94BE">
      <w:pPr>
        <w:ind w:left="420"/>
      </w:pPr>
    </w:p>
    <w:p w14:paraId="1102E051">
      <w:pPr>
        <w:ind w:left="420"/>
      </w:pPr>
    </w:p>
    <w:p w14:paraId="21523325">
      <w:pPr>
        <w:ind w:left="420"/>
      </w:pPr>
    </w:p>
    <w:p w14:paraId="783B2F22">
      <w:pPr>
        <w:ind w:left="420"/>
      </w:pPr>
    </w:p>
    <w:p w14:paraId="1F01C9BD">
      <w:pPr>
        <w:ind w:left="420"/>
      </w:pPr>
    </w:p>
    <w:p w14:paraId="0FDDEBA6">
      <w:pPr>
        <w:ind w:left="420"/>
      </w:pPr>
    </w:p>
    <w:p w14:paraId="0350715F">
      <w:pPr>
        <w:ind w:left="420"/>
      </w:pPr>
    </w:p>
    <w:p w14:paraId="280F39A6">
      <w:pPr>
        <w:ind w:left="420"/>
      </w:pPr>
    </w:p>
    <w:p w14:paraId="34EBCE16">
      <w:pPr>
        <w:ind w:left="420"/>
      </w:pPr>
    </w:p>
    <w:p w14:paraId="6C77E32A">
      <w:pPr>
        <w:ind w:left="420"/>
      </w:pPr>
    </w:p>
    <w:p w14:paraId="337BBB36">
      <w:pPr>
        <w:ind w:left="420"/>
      </w:pPr>
    </w:p>
    <w:p w14:paraId="10E86A30">
      <w:pPr>
        <w:ind w:left="420"/>
      </w:pPr>
    </w:p>
    <w:p w14:paraId="2EF82DEA">
      <w:pPr>
        <w:ind w:left="420"/>
      </w:pPr>
    </w:p>
    <w:p w14:paraId="67F6B46D">
      <w:pPr>
        <w:ind w:left="420"/>
      </w:pPr>
    </w:p>
    <w:p w14:paraId="7E9080E0">
      <w:pPr>
        <w:ind w:left="420"/>
      </w:pPr>
    </w:p>
    <w:p w14:paraId="5653A390">
      <w:pPr>
        <w:ind w:left="420"/>
      </w:pPr>
    </w:p>
    <w:p w14:paraId="308210B4">
      <w:pPr>
        <w:ind w:left="420"/>
      </w:pPr>
    </w:p>
    <w:p w14:paraId="341E6F2F">
      <w:pPr>
        <w:ind w:left="420"/>
      </w:pPr>
    </w:p>
    <w:p w14:paraId="2457A042">
      <w:pPr>
        <w:ind w:left="420"/>
      </w:pPr>
    </w:p>
    <w:p w14:paraId="794A130A">
      <w:pPr>
        <w:ind w:left="420"/>
      </w:pPr>
    </w:p>
    <w:p w14:paraId="40103D28">
      <w:pPr>
        <w:ind w:left="420"/>
      </w:pPr>
    </w:p>
    <w:p w14:paraId="3B7A11A8">
      <w:pPr>
        <w:ind w:left="420"/>
      </w:pPr>
    </w:p>
    <w:p w14:paraId="2E4D1AB9">
      <w:pPr>
        <w:ind w:left="420"/>
      </w:pPr>
    </w:p>
    <w:p w14:paraId="29C1EE76">
      <w:pPr>
        <w:ind w:left="420"/>
      </w:pPr>
    </w:p>
    <w:p w14:paraId="3ABD455E">
      <w:pPr>
        <w:ind w:left="420"/>
      </w:pPr>
    </w:p>
    <w:p w14:paraId="3714BB93">
      <w:pPr>
        <w:ind w:left="420"/>
      </w:pPr>
    </w:p>
    <w:p w14:paraId="7FEE5B9E">
      <w:pPr>
        <w:ind w:left="420"/>
      </w:pPr>
    </w:p>
    <w:p w14:paraId="345D388E">
      <w:pPr>
        <w:ind w:left="420"/>
      </w:pPr>
    </w:p>
    <w:p w14:paraId="27596E4A">
      <w:pPr>
        <w:ind w:left="420"/>
      </w:pPr>
    </w:p>
    <w:p w14:paraId="5D667057">
      <w:pPr>
        <w:ind w:left="420"/>
      </w:pPr>
    </w:p>
    <w:p w14:paraId="55BA2730">
      <w:pPr>
        <w:ind w:left="420"/>
      </w:pPr>
    </w:p>
    <w:p w14:paraId="6C5877F0">
      <w:pPr>
        <w:ind w:left="420"/>
      </w:pPr>
    </w:p>
    <w:p w14:paraId="3C301FC4">
      <w:pPr>
        <w:ind w:left="420"/>
      </w:pPr>
    </w:p>
    <w:p w14:paraId="58AA2933">
      <w:pPr>
        <w:ind w:left="420"/>
      </w:pPr>
    </w:p>
    <w:p w14:paraId="2DDAB93D">
      <w:pPr>
        <w:ind w:left="420"/>
      </w:pPr>
    </w:p>
    <w:p w14:paraId="60CACF26">
      <w:pPr>
        <w:ind w:left="420"/>
      </w:pPr>
    </w:p>
    <w:p w14:paraId="4A6FA780">
      <w:pPr>
        <w:ind w:left="420"/>
      </w:pPr>
    </w:p>
    <w:p w14:paraId="418092C0">
      <w:pPr>
        <w:ind w:left="420"/>
      </w:pPr>
    </w:p>
    <w:p w14:paraId="12D2E38F">
      <w:pPr>
        <w:ind w:left="420"/>
      </w:pPr>
    </w:p>
    <w:p w14:paraId="077782BC">
      <w:pPr>
        <w:ind w:left="420"/>
      </w:pPr>
    </w:p>
    <w:p w14:paraId="427533C6">
      <w:pPr>
        <w:ind w:left="420"/>
      </w:pPr>
    </w:p>
    <w:p w14:paraId="25A90D59">
      <w:pPr>
        <w:ind w:left="420"/>
      </w:pPr>
    </w:p>
    <w:p w14:paraId="302C4CAF">
      <w:pPr>
        <w:ind w:left="420"/>
      </w:pPr>
    </w:p>
    <w:p w14:paraId="2029D761">
      <w:pPr>
        <w:ind w:left="420"/>
      </w:pPr>
    </w:p>
    <w:p w14:paraId="6C613E20">
      <w:pPr>
        <w:ind w:left="420"/>
      </w:pPr>
    </w:p>
    <w:p w14:paraId="1D69B12B">
      <w:pPr>
        <w:pStyle w:val="2"/>
        <w:jc w:val="center"/>
      </w:pPr>
      <w:bookmarkStart w:id="184" w:name="_Toc4008"/>
      <w:bookmarkStart w:id="185" w:name="_Toc20843"/>
      <w:bookmarkStart w:id="186" w:name="_Toc14045"/>
      <w:r>
        <w:rPr>
          <w:rFonts w:hint="eastAsia"/>
        </w:rPr>
        <w:t>第四章 用户需求书</w:t>
      </w:r>
      <w:bookmarkEnd w:id="183"/>
      <w:bookmarkEnd w:id="184"/>
      <w:bookmarkEnd w:id="185"/>
      <w:bookmarkEnd w:id="186"/>
    </w:p>
    <w:p w14:paraId="1A624F7D">
      <w:r>
        <w:rPr>
          <w:rFonts w:hint="eastAsia"/>
        </w:rPr>
        <w:br w:type="page"/>
      </w:r>
    </w:p>
    <w:p w14:paraId="79B4470B">
      <w:pPr>
        <w:spacing w:before="120" w:beforeLines="50" w:after="120" w:afterLines="50" w:line="360" w:lineRule="auto"/>
        <w:jc w:val="center"/>
        <w:rPr>
          <w:rFonts w:ascii="宋体" w:hAnsi="宋体" w:eastAsia="宋体" w:cs="宋体"/>
          <w:b/>
          <w:bCs/>
          <w:sz w:val="30"/>
          <w:szCs w:val="30"/>
        </w:rPr>
      </w:pPr>
      <w:r>
        <w:rPr>
          <w:rFonts w:hint="eastAsia" w:ascii="宋体" w:hAnsi="宋体" w:eastAsia="宋体" w:cs="宋体"/>
          <w:b/>
          <w:bCs/>
          <w:sz w:val="30"/>
          <w:szCs w:val="30"/>
        </w:rPr>
        <w:t>用户需求书</w:t>
      </w:r>
    </w:p>
    <w:p w14:paraId="053B7262">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187" w:name="_Toc29203979"/>
      <w:bookmarkStart w:id="188" w:name="_Toc32111"/>
      <w:bookmarkStart w:id="189" w:name="_Toc15914"/>
      <w:bookmarkStart w:id="190" w:name="_Toc21825"/>
      <w:bookmarkStart w:id="191" w:name="_Toc89077641"/>
      <w:bookmarkStart w:id="192" w:name="_Toc78470060"/>
      <w:bookmarkStart w:id="193" w:name="_Toc46253216"/>
      <w:r>
        <w:rPr>
          <w:rFonts w:hint="eastAsia" w:ascii="宋体" w:hAnsi="宋体" w:eastAsia="宋体" w:cs="宋体"/>
          <w:b/>
          <w:bCs/>
          <w:sz w:val="24"/>
        </w:rPr>
        <w:t>项目概况</w:t>
      </w:r>
      <w:bookmarkEnd w:id="187"/>
      <w:bookmarkEnd w:id="188"/>
      <w:bookmarkEnd w:id="189"/>
      <w:bookmarkEnd w:id="190"/>
      <w:bookmarkEnd w:id="191"/>
      <w:bookmarkEnd w:id="192"/>
      <w:bookmarkEnd w:id="193"/>
    </w:p>
    <w:p w14:paraId="09457312">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1、项目名称：广东省广裕集团英德工贸实业有限公司2024-2026年生产零配件、耗材定点采购项目。</w:t>
      </w:r>
    </w:p>
    <w:p w14:paraId="23B7C46A">
      <w:pPr>
        <w:spacing w:line="360" w:lineRule="auto"/>
        <w:ind w:firstLine="480" w:firstLineChars="200"/>
        <w:jc w:val="left"/>
        <w:rPr>
          <w:rFonts w:ascii="宋体" w:hAnsi="宋体" w:eastAsia="宋体" w:cs="宋体"/>
          <w:sz w:val="24"/>
        </w:rPr>
      </w:pPr>
      <w:r>
        <w:rPr>
          <w:rFonts w:hint="eastAsia" w:ascii="宋体" w:hAnsi="宋体" w:eastAsia="宋体" w:cs="宋体"/>
          <w:sz w:val="24"/>
        </w:rPr>
        <w:t>2、项目内容：生产零配件、耗材和设备维修服务。</w:t>
      </w:r>
    </w:p>
    <w:p w14:paraId="2D73B7E5">
      <w:pPr>
        <w:spacing w:line="360" w:lineRule="auto"/>
        <w:ind w:firstLine="480" w:firstLineChars="200"/>
        <w:rPr>
          <w:rFonts w:ascii="宋体" w:hAnsi="宋体" w:eastAsia="宋体" w:cs="宋体"/>
          <w:sz w:val="24"/>
        </w:rPr>
      </w:pPr>
      <w:r>
        <w:rPr>
          <w:rFonts w:hint="eastAsia" w:ascii="宋体" w:hAnsi="宋体" w:eastAsia="宋体" w:cs="宋体"/>
          <w:sz w:val="24"/>
        </w:rPr>
        <w:t>3、服务地点：广东省广裕集团英德工贸实业有限公司。</w:t>
      </w:r>
    </w:p>
    <w:p w14:paraId="4708F43B">
      <w:pPr>
        <w:spacing w:line="360" w:lineRule="auto"/>
        <w:ind w:firstLine="480" w:firstLineChars="200"/>
        <w:rPr>
          <w:rFonts w:ascii="宋体" w:hAnsi="宋体" w:eastAsia="宋体" w:cs="宋体"/>
          <w:sz w:val="24"/>
        </w:rPr>
      </w:pPr>
      <w:r>
        <w:rPr>
          <w:rFonts w:hint="eastAsia" w:ascii="宋体" w:hAnsi="宋体" w:eastAsia="宋体" w:cs="宋体"/>
          <w:sz w:val="24"/>
        </w:rPr>
        <w:t>4、采购项目预金额：人民币399.6万元（包含所有费用）。</w:t>
      </w:r>
    </w:p>
    <w:p w14:paraId="584BAC0C">
      <w:pPr>
        <w:spacing w:line="360" w:lineRule="auto"/>
        <w:ind w:firstLine="480" w:firstLineChars="200"/>
        <w:rPr>
          <w:rFonts w:ascii="宋体" w:hAnsi="宋体" w:eastAsia="宋体" w:cs="宋体"/>
          <w:sz w:val="24"/>
        </w:rPr>
      </w:pPr>
      <w:r>
        <w:rPr>
          <w:rFonts w:hint="eastAsia" w:ascii="宋体" w:hAnsi="宋体" w:eastAsia="宋体" w:cs="宋体"/>
          <w:sz w:val="24"/>
        </w:rPr>
        <w:t>5、投标人应对同一个项目的全部货物和服务投标，不允许对项目内部分内容进行投标。</w:t>
      </w:r>
    </w:p>
    <w:p w14:paraId="5613350E">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194" w:name="_Toc9892"/>
      <w:bookmarkStart w:id="195" w:name="_Toc7867"/>
      <w:r>
        <w:rPr>
          <w:rFonts w:hint="eastAsia" w:ascii="宋体" w:hAnsi="宋体" w:eastAsia="宋体" w:cs="宋体"/>
          <w:b/>
          <w:bCs/>
          <w:sz w:val="24"/>
        </w:rPr>
        <w:t>项目需求一览表</w:t>
      </w:r>
      <w:bookmarkEnd w:id="194"/>
      <w:bookmarkEnd w:id="195"/>
    </w:p>
    <w:tbl>
      <w:tblPr>
        <w:tblStyle w:val="2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3743"/>
        <w:gridCol w:w="1767"/>
        <w:gridCol w:w="1344"/>
      </w:tblGrid>
      <w:tr w14:paraId="4F63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738700D2">
            <w:pPr>
              <w:spacing w:line="440" w:lineRule="exact"/>
              <w:jc w:val="center"/>
              <w:rPr>
                <w:rFonts w:ascii="宋体" w:hAnsi="宋体" w:eastAsia="宋体" w:cs="宋体"/>
                <w:b/>
                <w:sz w:val="24"/>
              </w:rPr>
            </w:pPr>
            <w:r>
              <w:rPr>
                <w:rFonts w:hint="eastAsia" w:ascii="宋体" w:hAnsi="宋体" w:eastAsia="宋体" w:cs="宋体"/>
                <w:b/>
                <w:sz w:val="24"/>
              </w:rPr>
              <w:t>标的名称</w:t>
            </w:r>
          </w:p>
        </w:tc>
        <w:tc>
          <w:tcPr>
            <w:tcW w:w="3743" w:type="dxa"/>
            <w:tcBorders>
              <w:top w:val="single" w:color="auto" w:sz="4" w:space="0"/>
              <w:left w:val="single" w:color="auto" w:sz="4" w:space="0"/>
              <w:bottom w:val="single" w:color="auto" w:sz="4" w:space="0"/>
              <w:right w:val="single" w:color="auto" w:sz="4" w:space="0"/>
            </w:tcBorders>
            <w:vAlign w:val="center"/>
          </w:tcPr>
          <w:p w14:paraId="65F659EC">
            <w:pPr>
              <w:widowControl/>
              <w:spacing w:line="440" w:lineRule="exact"/>
              <w:jc w:val="center"/>
              <w:rPr>
                <w:rFonts w:ascii="宋体" w:hAnsi="宋体" w:eastAsia="宋体" w:cs="宋体"/>
                <w:b/>
                <w:sz w:val="24"/>
              </w:rPr>
            </w:pPr>
            <w:r>
              <w:rPr>
                <w:rFonts w:hint="eastAsia" w:ascii="宋体" w:hAnsi="宋体" w:eastAsia="宋体" w:cs="宋体"/>
                <w:b/>
                <w:sz w:val="24"/>
              </w:rPr>
              <w:t>服务期限</w:t>
            </w:r>
          </w:p>
        </w:tc>
        <w:tc>
          <w:tcPr>
            <w:tcW w:w="1767" w:type="dxa"/>
            <w:tcBorders>
              <w:top w:val="single" w:color="auto" w:sz="4" w:space="0"/>
              <w:left w:val="single" w:color="auto" w:sz="4" w:space="0"/>
              <w:bottom w:val="single" w:color="auto" w:sz="4" w:space="0"/>
              <w:right w:val="single" w:color="auto" w:sz="4" w:space="0"/>
            </w:tcBorders>
            <w:vAlign w:val="center"/>
          </w:tcPr>
          <w:p w14:paraId="5D9FE004">
            <w:pPr>
              <w:widowControl/>
              <w:spacing w:line="440" w:lineRule="exact"/>
              <w:jc w:val="center"/>
              <w:rPr>
                <w:rFonts w:ascii="宋体" w:hAnsi="宋体" w:eastAsia="宋体" w:cs="宋体"/>
                <w:b/>
                <w:sz w:val="24"/>
              </w:rPr>
            </w:pPr>
            <w:r>
              <w:rPr>
                <w:rFonts w:hint="eastAsia" w:ascii="宋体" w:hAnsi="宋体" w:eastAsia="宋体" w:cs="宋体"/>
                <w:b/>
                <w:sz w:val="24"/>
              </w:rPr>
              <w:t>供应商数量</w:t>
            </w:r>
          </w:p>
        </w:tc>
        <w:tc>
          <w:tcPr>
            <w:tcW w:w="1344" w:type="dxa"/>
            <w:tcBorders>
              <w:top w:val="single" w:color="auto" w:sz="4" w:space="0"/>
              <w:left w:val="single" w:color="auto" w:sz="4" w:space="0"/>
              <w:bottom w:val="single" w:color="auto" w:sz="4" w:space="0"/>
              <w:right w:val="single" w:color="auto" w:sz="4" w:space="0"/>
            </w:tcBorders>
            <w:vAlign w:val="center"/>
          </w:tcPr>
          <w:p w14:paraId="57C47E9A">
            <w:pPr>
              <w:widowControl/>
              <w:spacing w:line="440" w:lineRule="exact"/>
              <w:jc w:val="center"/>
              <w:rPr>
                <w:rFonts w:ascii="宋体" w:hAnsi="宋体" w:eastAsia="宋体" w:cs="宋体"/>
                <w:b/>
                <w:sz w:val="24"/>
              </w:rPr>
            </w:pPr>
            <w:r>
              <w:rPr>
                <w:rFonts w:hint="eastAsia" w:ascii="宋体" w:hAnsi="宋体" w:eastAsia="宋体" w:cs="宋体"/>
                <w:b/>
                <w:sz w:val="24"/>
              </w:rPr>
              <w:t>完成时间</w:t>
            </w:r>
          </w:p>
        </w:tc>
      </w:tr>
      <w:tr w14:paraId="4EE3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25B65346">
            <w:pPr>
              <w:spacing w:line="440" w:lineRule="exact"/>
              <w:jc w:val="center"/>
              <w:rPr>
                <w:rFonts w:ascii="宋体" w:hAnsi="宋体" w:eastAsia="宋体" w:cs="宋体"/>
                <w:sz w:val="24"/>
              </w:rPr>
            </w:pPr>
            <w:r>
              <w:rPr>
                <w:rFonts w:hint="eastAsia" w:ascii="宋体" w:hAnsi="宋体" w:eastAsia="宋体" w:cs="宋体"/>
                <w:sz w:val="24"/>
              </w:rPr>
              <w:t>2024-2026年生产零配件、耗材和设备维修服务定点采购</w:t>
            </w:r>
          </w:p>
        </w:tc>
        <w:tc>
          <w:tcPr>
            <w:tcW w:w="3743" w:type="dxa"/>
            <w:tcBorders>
              <w:top w:val="single" w:color="auto" w:sz="4" w:space="0"/>
              <w:left w:val="single" w:color="auto" w:sz="4" w:space="0"/>
              <w:bottom w:val="single" w:color="auto" w:sz="4" w:space="0"/>
              <w:right w:val="single" w:color="auto" w:sz="4" w:space="0"/>
            </w:tcBorders>
            <w:vAlign w:val="center"/>
          </w:tcPr>
          <w:p w14:paraId="580963ED">
            <w:pPr>
              <w:widowControl/>
              <w:spacing w:line="440" w:lineRule="exact"/>
              <w:jc w:val="center"/>
              <w:rPr>
                <w:rFonts w:ascii="宋体" w:hAnsi="宋体" w:eastAsia="宋体" w:cs="宋体"/>
                <w:sz w:val="24"/>
              </w:rPr>
            </w:pPr>
            <w:r>
              <w:rPr>
                <w:rFonts w:hint="eastAsia" w:ascii="宋体" w:hAnsi="宋体" w:eastAsia="宋体" w:cs="宋体"/>
                <w:sz w:val="24"/>
              </w:rPr>
              <w:t>自合同签订之日起贰年（2年服务期，合同1年1签，根据招标人对第一年的服务评价情况决定是否续签第二年服务期合同）</w:t>
            </w:r>
          </w:p>
        </w:tc>
        <w:tc>
          <w:tcPr>
            <w:tcW w:w="1767" w:type="dxa"/>
            <w:tcBorders>
              <w:top w:val="single" w:color="auto" w:sz="4" w:space="0"/>
              <w:left w:val="single" w:color="auto" w:sz="4" w:space="0"/>
              <w:bottom w:val="single" w:color="auto" w:sz="4" w:space="0"/>
              <w:right w:val="single" w:color="auto" w:sz="4" w:space="0"/>
            </w:tcBorders>
            <w:vAlign w:val="center"/>
          </w:tcPr>
          <w:p w14:paraId="1DB6D3E4">
            <w:pPr>
              <w:widowControl/>
              <w:spacing w:line="440" w:lineRule="exact"/>
              <w:jc w:val="center"/>
              <w:rPr>
                <w:rFonts w:ascii="宋体" w:hAnsi="宋体" w:eastAsia="宋体" w:cs="宋体"/>
                <w:sz w:val="24"/>
              </w:rPr>
            </w:pPr>
            <w:r>
              <w:rPr>
                <w:rFonts w:hint="eastAsia" w:ascii="宋体" w:hAnsi="宋体" w:eastAsia="宋体" w:cs="宋体"/>
                <w:sz w:val="24"/>
              </w:rPr>
              <w:t>1家</w:t>
            </w:r>
          </w:p>
        </w:tc>
        <w:tc>
          <w:tcPr>
            <w:tcW w:w="1344" w:type="dxa"/>
            <w:tcBorders>
              <w:top w:val="single" w:color="auto" w:sz="4" w:space="0"/>
              <w:left w:val="single" w:color="auto" w:sz="4" w:space="0"/>
              <w:bottom w:val="single" w:color="auto" w:sz="4" w:space="0"/>
              <w:right w:val="single" w:color="auto" w:sz="4" w:space="0"/>
            </w:tcBorders>
            <w:vAlign w:val="center"/>
          </w:tcPr>
          <w:p w14:paraId="7AD34B84">
            <w:pPr>
              <w:widowControl/>
              <w:spacing w:line="440" w:lineRule="exact"/>
              <w:jc w:val="center"/>
              <w:rPr>
                <w:rFonts w:ascii="宋体" w:hAnsi="宋体" w:eastAsia="宋体" w:cs="宋体"/>
                <w:sz w:val="24"/>
              </w:rPr>
            </w:pPr>
            <w:r>
              <w:rPr>
                <w:rFonts w:hint="eastAsia" w:ascii="宋体" w:hAnsi="宋体" w:eastAsia="宋体" w:cs="宋体"/>
                <w:sz w:val="24"/>
              </w:rPr>
              <w:t>合同期内按招标人需求供货</w:t>
            </w:r>
          </w:p>
        </w:tc>
      </w:tr>
    </w:tbl>
    <w:p w14:paraId="23D479F6">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196" w:name="_Toc9698"/>
      <w:bookmarkStart w:id="197" w:name="_Toc27918"/>
      <w:r>
        <w:rPr>
          <w:rFonts w:hint="eastAsia" w:ascii="宋体" w:hAnsi="宋体" w:eastAsia="宋体" w:cs="宋体"/>
          <w:b/>
          <w:bCs/>
          <w:sz w:val="24"/>
        </w:rPr>
        <w:t>基本要求</w:t>
      </w:r>
      <w:bookmarkEnd w:id="196"/>
      <w:bookmarkEnd w:id="197"/>
    </w:p>
    <w:p w14:paraId="0303B4A8">
      <w:pPr>
        <w:numPr>
          <w:ilvl w:val="0"/>
          <w:numId w:val="55"/>
        </w:numPr>
        <w:spacing w:line="360" w:lineRule="auto"/>
        <w:rPr>
          <w:rFonts w:ascii="宋体" w:hAnsi="宋体" w:eastAsia="宋体" w:cs="宋体"/>
          <w:sz w:val="24"/>
        </w:rPr>
      </w:pPr>
      <w:r>
        <w:rPr>
          <w:rFonts w:hint="eastAsia" w:ascii="宋体" w:hAnsi="宋体" w:eastAsia="宋体" w:cs="宋体"/>
          <w:sz w:val="24"/>
        </w:rPr>
        <w:t>零配件的范围：设备配件耗材、电控、马达、电脑主板、机针类、冲裁板、油品、小工具、工模夹具、衣车灯等日常生产所需零配件(含PVC板、环氧树脂绝缘板、刀片等工具、材料) ，含电脑裁床、手动裁床设备所需零配件（刀片、轴承、皮带、磨砂轮等）、生产辅料等。</w:t>
      </w:r>
    </w:p>
    <w:p w14:paraId="048D55BA">
      <w:pPr>
        <w:numPr>
          <w:ilvl w:val="0"/>
          <w:numId w:val="55"/>
        </w:numPr>
        <w:spacing w:line="360" w:lineRule="auto"/>
        <w:rPr>
          <w:rFonts w:ascii="宋体" w:hAnsi="宋体" w:eastAsia="宋体" w:cs="宋体"/>
          <w:sz w:val="24"/>
        </w:rPr>
      </w:pPr>
      <w:r>
        <w:rPr>
          <w:rFonts w:hint="eastAsia" w:ascii="宋体" w:hAnsi="宋体" w:eastAsia="宋体" w:cs="宋体"/>
          <w:sz w:val="24"/>
        </w:rPr>
        <w:t>要求中标人在招标人设置零配件仓库，场地由招标人提供，招标人车间按需领用，每月据实结算。</w:t>
      </w:r>
    </w:p>
    <w:p w14:paraId="5F273C5A">
      <w:pPr>
        <w:numPr>
          <w:ilvl w:val="0"/>
          <w:numId w:val="55"/>
        </w:numPr>
        <w:spacing w:line="360" w:lineRule="auto"/>
        <w:rPr>
          <w:rFonts w:ascii="宋体" w:hAnsi="宋体" w:eastAsia="宋体" w:cs="宋体"/>
          <w:sz w:val="24"/>
        </w:rPr>
      </w:pPr>
      <w:r>
        <w:rPr>
          <w:rFonts w:hint="eastAsia" w:ascii="宋体" w:hAnsi="宋体" w:eastAsia="宋体" w:cs="宋体"/>
          <w:sz w:val="24"/>
        </w:rPr>
        <w:t>要求招标人派驻2名机修工开展设备维修服务，机修工应具备有缝制机械维修工职业资格证书。</w:t>
      </w:r>
    </w:p>
    <w:p w14:paraId="09BBEC64">
      <w:pPr>
        <w:numPr>
          <w:ilvl w:val="0"/>
          <w:numId w:val="55"/>
        </w:numPr>
        <w:spacing w:line="360" w:lineRule="auto"/>
        <w:rPr>
          <w:rFonts w:ascii="宋体" w:hAnsi="宋体" w:eastAsia="宋体" w:cs="宋体"/>
          <w:sz w:val="24"/>
        </w:rPr>
      </w:pPr>
      <w:r>
        <w:rPr>
          <w:rFonts w:hint="eastAsia" w:ascii="宋体" w:hAnsi="宋体" w:eastAsia="宋体" w:cs="宋体"/>
          <w:sz w:val="24"/>
        </w:rPr>
        <w:t>★机器设备核心配件（梭床、弯针、定刀、动刀、牛角、小床、特种机针板等）必须使用原厂原品牌配件(如供应商擅自使用非原厂原品牌配件造成招标人机器损坏的，需按原价赔偿)。设备的普通配件及耗材参照国家或行业标准，以及招标人生产的实际需要配置，以满足招标人车间需求为准。</w:t>
      </w:r>
    </w:p>
    <w:p w14:paraId="65F6BD35">
      <w:pPr>
        <w:numPr>
          <w:ilvl w:val="0"/>
          <w:numId w:val="55"/>
        </w:numPr>
        <w:spacing w:line="360" w:lineRule="auto"/>
        <w:rPr>
          <w:rFonts w:ascii="宋体" w:hAnsi="宋体" w:eastAsia="宋体" w:cs="宋体"/>
          <w:sz w:val="24"/>
        </w:rPr>
      </w:pPr>
      <w:r>
        <w:rPr>
          <w:rFonts w:hint="eastAsia" w:ascii="宋体" w:hAnsi="宋体" w:eastAsia="宋体" w:cs="宋体"/>
          <w:sz w:val="24"/>
        </w:rPr>
        <w:t>投标人所投货物必须是原装、全新的产品，国家以及该产品的出厂标准。</w:t>
      </w:r>
    </w:p>
    <w:p w14:paraId="4C2A9B2F">
      <w:pPr>
        <w:numPr>
          <w:ilvl w:val="0"/>
          <w:numId w:val="55"/>
        </w:numPr>
        <w:spacing w:line="360" w:lineRule="auto"/>
        <w:rPr>
          <w:rFonts w:ascii="宋体" w:hAnsi="宋体" w:eastAsia="宋体" w:cs="宋体"/>
          <w:sz w:val="24"/>
        </w:rPr>
      </w:pPr>
      <w:r>
        <w:rPr>
          <w:rFonts w:hint="eastAsia" w:ascii="宋体" w:hAnsi="宋体" w:eastAsia="宋体" w:cs="宋体"/>
          <w:sz w:val="24"/>
        </w:rPr>
        <w:t>投标人所投货物必须使用环保材料并符合国家符合环保要求及标准。</w:t>
      </w:r>
    </w:p>
    <w:p w14:paraId="3D297583">
      <w:pPr>
        <w:numPr>
          <w:ilvl w:val="0"/>
          <w:numId w:val="55"/>
        </w:numPr>
        <w:spacing w:line="360" w:lineRule="auto"/>
        <w:rPr>
          <w:rFonts w:ascii="宋体" w:hAnsi="宋体" w:eastAsia="宋体" w:cs="宋体"/>
          <w:sz w:val="24"/>
        </w:rPr>
      </w:pPr>
      <w:r>
        <w:rPr>
          <w:rFonts w:hint="eastAsia" w:ascii="宋体" w:hAnsi="宋体" w:eastAsia="宋体" w:cs="宋体"/>
          <w:sz w:val="24"/>
        </w:rPr>
        <w:t>由招标人对货物的质量、规格、数量和运行状况及其他进行检验。如发现质量、规格、数量和运行状况等任何一项与招标要求规定不符，招标人有权拒绝验收。</w:t>
      </w:r>
    </w:p>
    <w:p w14:paraId="0841425F">
      <w:pPr>
        <w:numPr>
          <w:ilvl w:val="0"/>
          <w:numId w:val="55"/>
        </w:numPr>
        <w:spacing w:line="360" w:lineRule="auto"/>
        <w:rPr>
          <w:rFonts w:ascii="宋体" w:hAnsi="宋体" w:eastAsia="宋体" w:cs="宋体"/>
          <w:sz w:val="24"/>
        </w:rPr>
      </w:pPr>
      <w:r>
        <w:rPr>
          <w:rFonts w:hint="eastAsia" w:ascii="宋体" w:hAnsi="宋体" w:eastAsia="宋体" w:cs="宋体"/>
          <w:sz w:val="24"/>
        </w:rPr>
        <w:t>对于影响货物正常工作的必要组成部分，无论在技术规范中指出与否，投标人都应提供并在投标文件中明确列出。</w:t>
      </w:r>
    </w:p>
    <w:p w14:paraId="59A13B53">
      <w:pPr>
        <w:numPr>
          <w:ilvl w:val="0"/>
          <w:numId w:val="55"/>
        </w:numPr>
        <w:spacing w:line="360" w:lineRule="auto"/>
        <w:rPr>
          <w:rFonts w:ascii="宋体" w:hAnsi="宋体" w:eastAsia="宋体" w:cs="宋体"/>
          <w:sz w:val="24"/>
        </w:rPr>
      </w:pPr>
      <w:r>
        <w:rPr>
          <w:rFonts w:hint="eastAsia" w:ascii="宋体" w:hAnsi="宋体" w:eastAsia="宋体" w:cs="宋体"/>
          <w:sz w:val="24"/>
        </w:rPr>
        <w:t>本项目采购价格包含产品、运输、装卸、安装、售后服务、维修服务、税金等一切费用，价格精确到分。</w:t>
      </w:r>
    </w:p>
    <w:p w14:paraId="6A01DCB9">
      <w:pPr>
        <w:numPr>
          <w:ilvl w:val="0"/>
          <w:numId w:val="55"/>
        </w:numPr>
        <w:spacing w:line="360" w:lineRule="auto"/>
        <w:rPr>
          <w:rFonts w:ascii="宋体" w:hAnsi="宋体" w:eastAsia="宋体" w:cs="宋体"/>
          <w:sz w:val="24"/>
        </w:rPr>
      </w:pPr>
      <w:r>
        <w:rPr>
          <w:rFonts w:hint="eastAsia" w:ascii="宋体" w:hAnsi="宋体" w:eastAsia="宋体" w:cs="宋体"/>
          <w:sz w:val="24"/>
        </w:rPr>
        <w:t>投标报价须包含所有可预见和不可预见的费用；鉴于设备和配件种类多，对于需求书中没有列出，而对生产需要和设备正常运行维护必不可少的且应属于设备配套的部件、配件等，正式合作中，由中标人提供新增项目补充报价文件，经招标人企业采购管理部门审核确认后，由招标人生产经营部门执行。</w:t>
      </w:r>
    </w:p>
    <w:p w14:paraId="41ADCE4C">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198" w:name="_Toc17589"/>
      <w:bookmarkStart w:id="199" w:name="_Toc38"/>
      <w:r>
        <w:rPr>
          <w:rFonts w:hint="eastAsia" w:ascii="宋体" w:hAnsi="宋体" w:eastAsia="宋体" w:cs="宋体"/>
          <w:b/>
          <w:bCs/>
          <w:sz w:val="24"/>
        </w:rPr>
        <w:t>验收要求</w:t>
      </w:r>
      <w:bookmarkEnd w:id="198"/>
      <w:bookmarkEnd w:id="199"/>
    </w:p>
    <w:p w14:paraId="082EE50F">
      <w:pPr>
        <w:numPr>
          <w:ilvl w:val="0"/>
          <w:numId w:val="56"/>
        </w:numPr>
        <w:spacing w:line="360" w:lineRule="auto"/>
        <w:rPr>
          <w:rFonts w:ascii="宋体" w:hAnsi="宋体" w:eastAsia="宋体" w:cs="宋体"/>
          <w:sz w:val="24"/>
        </w:rPr>
      </w:pPr>
      <w:r>
        <w:rPr>
          <w:rFonts w:hint="eastAsia" w:ascii="宋体" w:hAnsi="宋体" w:eastAsia="宋体" w:cs="宋体"/>
          <w:sz w:val="24"/>
        </w:rPr>
        <w:t>货物若有国家标准按照国家标准验收，若无国家标准按行业标准验收，货物必须是全新（原装）正品，表面无划伤，无碰撞，其技术规格、标准必须符合招标人需求和国家计量检测标准。</w:t>
      </w:r>
    </w:p>
    <w:p w14:paraId="307A8B01">
      <w:pPr>
        <w:numPr>
          <w:ilvl w:val="0"/>
          <w:numId w:val="56"/>
        </w:numPr>
        <w:spacing w:line="360" w:lineRule="auto"/>
        <w:rPr>
          <w:rFonts w:ascii="宋体" w:hAnsi="宋体" w:eastAsia="宋体" w:cs="宋体"/>
          <w:sz w:val="24"/>
        </w:rPr>
      </w:pPr>
      <w:r>
        <w:rPr>
          <w:rFonts w:hint="eastAsia" w:ascii="宋体" w:hAnsi="宋体" w:eastAsia="宋体" w:cs="宋体"/>
          <w:sz w:val="24"/>
        </w:rPr>
        <w:t>验收主要由招标人车间进行验收，必要时邀请相关的专业人员或机构参与验收。因货物质量问题发生争议时，由本地质量技术监督部门鉴定。货物符合质量技术标准的，鉴定费由招标人承担；否则鉴定费由中标人承担。</w:t>
      </w:r>
    </w:p>
    <w:p w14:paraId="06BB1C2E">
      <w:pPr>
        <w:numPr>
          <w:ilvl w:val="0"/>
          <w:numId w:val="56"/>
        </w:numPr>
        <w:spacing w:line="360" w:lineRule="auto"/>
        <w:rPr>
          <w:rFonts w:ascii="宋体" w:hAnsi="宋体" w:eastAsia="宋体" w:cs="宋体"/>
          <w:sz w:val="24"/>
        </w:rPr>
      </w:pPr>
      <w:r>
        <w:rPr>
          <w:rFonts w:hint="eastAsia" w:ascii="宋体" w:hAnsi="宋体" w:eastAsia="宋体" w:cs="宋体"/>
          <w:sz w:val="24"/>
        </w:rPr>
        <w:t>如因中标人配送错货物或者配送的货物质量达不到国家标准或者行业标准，造成招标人或者招标人合作客户有实际损失的，需由中标人按实际损失进行赔付，招标人直接从中标人履约保证金中扣除。</w:t>
      </w:r>
      <w:r>
        <w:rPr>
          <w:rFonts w:hint="eastAsia"/>
        </w:rPr>
        <w:t xml:space="preserve">  </w:t>
      </w:r>
    </w:p>
    <w:p w14:paraId="0594A261">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00" w:name="_Toc32204"/>
      <w:bookmarkStart w:id="201" w:name="_Toc456334976"/>
      <w:bookmarkStart w:id="202" w:name="_Toc380096024"/>
      <w:bookmarkStart w:id="203" w:name="_Toc382950524"/>
      <w:bookmarkStart w:id="204" w:name="_Toc502320127"/>
      <w:bookmarkStart w:id="205" w:name="_Toc509860372"/>
      <w:bookmarkStart w:id="206" w:name="_Toc4823"/>
      <w:bookmarkStart w:id="207" w:name="_Toc354141563"/>
      <w:bookmarkStart w:id="208" w:name="_Toc499055111"/>
      <w:bookmarkStart w:id="209" w:name="_Toc353813469"/>
      <w:bookmarkStart w:id="210" w:name="_Toc499560797"/>
      <w:bookmarkStart w:id="211" w:name="_Toc380076105"/>
      <w:r>
        <w:rPr>
          <w:rFonts w:hint="eastAsia" w:ascii="宋体" w:hAnsi="宋体" w:eastAsia="宋体" w:cs="宋体"/>
          <w:b/>
          <w:bCs/>
          <w:sz w:val="24"/>
        </w:rPr>
        <w:t>配送要求</w:t>
      </w:r>
      <w:bookmarkEnd w:id="200"/>
      <w:bookmarkEnd w:id="201"/>
      <w:bookmarkEnd w:id="202"/>
      <w:bookmarkEnd w:id="203"/>
      <w:bookmarkEnd w:id="204"/>
      <w:bookmarkEnd w:id="205"/>
      <w:bookmarkEnd w:id="206"/>
      <w:bookmarkEnd w:id="207"/>
      <w:bookmarkEnd w:id="208"/>
      <w:bookmarkEnd w:id="209"/>
      <w:bookmarkEnd w:id="210"/>
      <w:bookmarkEnd w:id="211"/>
    </w:p>
    <w:p w14:paraId="1969ED37">
      <w:pPr>
        <w:numPr>
          <w:ilvl w:val="0"/>
          <w:numId w:val="57"/>
        </w:numPr>
        <w:spacing w:line="360" w:lineRule="auto"/>
        <w:rPr>
          <w:rFonts w:ascii="宋体" w:hAnsi="宋体" w:eastAsia="宋体" w:cs="宋体"/>
          <w:sz w:val="24"/>
          <w:lang w:val="zh-CN"/>
        </w:rPr>
      </w:pPr>
      <w:r>
        <w:rPr>
          <w:rFonts w:hint="eastAsia" w:ascii="宋体" w:hAnsi="宋体" w:eastAsia="宋体" w:cs="宋体"/>
          <w:sz w:val="24"/>
          <w:lang w:val="zh-CN"/>
        </w:rPr>
        <w:t>中标</w:t>
      </w:r>
      <w:r>
        <w:rPr>
          <w:rFonts w:hint="eastAsia" w:ascii="宋体" w:hAnsi="宋体" w:eastAsia="宋体" w:cs="宋体"/>
          <w:sz w:val="24"/>
        </w:rPr>
        <w:t>人</w:t>
      </w:r>
      <w:r>
        <w:rPr>
          <w:rFonts w:hint="eastAsia" w:ascii="宋体" w:hAnsi="宋体" w:eastAsia="宋体" w:cs="宋体"/>
          <w:sz w:val="24"/>
          <w:lang w:val="zh-CN"/>
        </w:rPr>
        <w:t>应在</w:t>
      </w:r>
      <w:r>
        <w:rPr>
          <w:rFonts w:hint="eastAsia" w:ascii="宋体" w:hAnsi="宋体" w:eastAsia="宋体" w:cs="宋体"/>
          <w:sz w:val="24"/>
        </w:rPr>
        <w:t>招标人</w:t>
      </w:r>
      <w:r>
        <w:rPr>
          <w:rFonts w:hint="eastAsia" w:ascii="宋体" w:hAnsi="宋体" w:eastAsia="宋体" w:cs="宋体"/>
          <w:sz w:val="24"/>
          <w:lang w:val="zh-CN"/>
        </w:rPr>
        <w:t>设置零配件仓库，并了解</w:t>
      </w:r>
      <w:r>
        <w:rPr>
          <w:rFonts w:hint="eastAsia" w:ascii="宋体" w:hAnsi="宋体" w:eastAsia="宋体" w:cs="宋体"/>
          <w:sz w:val="24"/>
        </w:rPr>
        <w:t>招标人</w:t>
      </w:r>
      <w:r>
        <w:rPr>
          <w:rFonts w:hint="eastAsia" w:ascii="宋体" w:hAnsi="宋体" w:eastAsia="宋体" w:cs="宋体"/>
          <w:sz w:val="24"/>
          <w:lang w:val="zh-CN"/>
        </w:rPr>
        <w:t>设备品类，备足常用易耗件和磨损件（机针、压脚、梭套、梭芯、牙齿、针板、衣车油等），</w:t>
      </w:r>
      <w:r>
        <w:rPr>
          <w:rFonts w:hint="eastAsia" w:ascii="宋体" w:hAnsi="宋体" w:eastAsia="宋体" w:cs="宋体"/>
          <w:sz w:val="24"/>
        </w:rPr>
        <w:t>招标人</w:t>
      </w:r>
      <w:r>
        <w:rPr>
          <w:rFonts w:hint="eastAsia" w:ascii="宋体" w:hAnsi="宋体" w:eastAsia="宋体" w:cs="宋体"/>
          <w:sz w:val="24"/>
          <w:lang w:val="zh-CN"/>
        </w:rPr>
        <w:t>车间根据生产实际需要，凭领用单到零配件仓库领用。</w:t>
      </w:r>
    </w:p>
    <w:p w14:paraId="574FAF2F">
      <w:pPr>
        <w:numPr>
          <w:ilvl w:val="0"/>
          <w:numId w:val="57"/>
        </w:numPr>
        <w:spacing w:line="360" w:lineRule="auto"/>
        <w:rPr>
          <w:rFonts w:ascii="宋体" w:hAnsi="宋体" w:eastAsia="宋体" w:cs="宋体"/>
          <w:sz w:val="24"/>
          <w:lang w:val="zh-CN"/>
        </w:rPr>
      </w:pPr>
      <w:r>
        <w:rPr>
          <w:rFonts w:hint="eastAsia" w:ascii="宋体" w:hAnsi="宋体" w:eastAsia="宋体" w:cs="宋体"/>
          <w:sz w:val="24"/>
        </w:rPr>
        <w:t>招标人</w:t>
      </w:r>
      <w:r>
        <w:rPr>
          <w:rFonts w:hint="eastAsia" w:ascii="宋体" w:hAnsi="宋体" w:eastAsia="宋体" w:cs="宋体"/>
          <w:sz w:val="24"/>
          <w:lang w:val="zh-CN"/>
        </w:rPr>
        <w:t>因设备突发故障，或因生产需要急用的零配件，在</w:t>
      </w:r>
      <w:r>
        <w:rPr>
          <w:rFonts w:hint="eastAsia" w:ascii="宋体" w:hAnsi="宋体" w:eastAsia="宋体" w:cs="宋体"/>
          <w:sz w:val="24"/>
        </w:rPr>
        <w:t>招标人</w:t>
      </w:r>
      <w:r>
        <w:rPr>
          <w:rFonts w:hint="eastAsia" w:ascii="宋体" w:hAnsi="宋体" w:eastAsia="宋体" w:cs="宋体"/>
          <w:sz w:val="24"/>
          <w:lang w:val="zh-CN"/>
        </w:rPr>
        <w:t>提出需求后，无特殊情况中标</w:t>
      </w:r>
      <w:r>
        <w:rPr>
          <w:rFonts w:hint="eastAsia" w:ascii="宋体" w:hAnsi="宋体" w:eastAsia="宋体" w:cs="宋体"/>
          <w:sz w:val="24"/>
        </w:rPr>
        <w:t>人</w:t>
      </w:r>
      <w:r>
        <w:rPr>
          <w:rFonts w:hint="eastAsia" w:ascii="宋体" w:hAnsi="宋体" w:eastAsia="宋体" w:cs="宋体"/>
          <w:sz w:val="24"/>
          <w:lang w:val="zh-CN"/>
        </w:rPr>
        <w:t>应在三天内完成供货。</w:t>
      </w:r>
    </w:p>
    <w:p w14:paraId="4454E77D">
      <w:pPr>
        <w:numPr>
          <w:ilvl w:val="0"/>
          <w:numId w:val="57"/>
        </w:numPr>
        <w:spacing w:line="360" w:lineRule="auto"/>
        <w:rPr>
          <w:rFonts w:ascii="宋体" w:hAnsi="宋体" w:eastAsia="宋体" w:cs="宋体"/>
          <w:sz w:val="24"/>
          <w:lang w:val="zh-CN"/>
        </w:rPr>
      </w:pPr>
      <w:r>
        <w:rPr>
          <w:rFonts w:hint="eastAsia" w:ascii="宋体" w:hAnsi="宋体" w:eastAsia="宋体" w:cs="宋体"/>
          <w:sz w:val="24"/>
          <w:lang w:val="zh-CN"/>
        </w:rPr>
        <w:t>对于不符合质量的品种</w:t>
      </w:r>
      <w:r>
        <w:rPr>
          <w:rFonts w:hint="eastAsia" w:ascii="宋体" w:hAnsi="宋体" w:eastAsia="宋体" w:cs="宋体"/>
          <w:sz w:val="24"/>
        </w:rPr>
        <w:t>招标人</w:t>
      </w:r>
      <w:r>
        <w:rPr>
          <w:rFonts w:hint="eastAsia" w:ascii="宋体" w:hAnsi="宋体" w:eastAsia="宋体" w:cs="宋体"/>
          <w:sz w:val="24"/>
          <w:lang w:val="zh-CN"/>
        </w:rPr>
        <w:t>可退货或换货（由于产品质量造成安全事故时，中标</w:t>
      </w:r>
      <w:r>
        <w:rPr>
          <w:rFonts w:hint="eastAsia" w:ascii="宋体" w:hAnsi="宋体" w:eastAsia="宋体" w:cs="宋体"/>
          <w:sz w:val="24"/>
        </w:rPr>
        <w:t>人</w:t>
      </w:r>
      <w:r>
        <w:rPr>
          <w:rFonts w:hint="eastAsia" w:ascii="宋体" w:hAnsi="宋体" w:eastAsia="宋体" w:cs="宋体"/>
          <w:sz w:val="24"/>
          <w:lang w:val="zh-CN"/>
        </w:rPr>
        <w:t>须承担全部责任），如有需要更换零配件，中标</w:t>
      </w:r>
      <w:r>
        <w:rPr>
          <w:rFonts w:hint="eastAsia" w:ascii="宋体" w:hAnsi="宋体" w:eastAsia="宋体" w:cs="宋体"/>
          <w:sz w:val="24"/>
        </w:rPr>
        <w:t>人</w:t>
      </w:r>
      <w:r>
        <w:rPr>
          <w:rFonts w:hint="eastAsia" w:ascii="宋体" w:hAnsi="宋体" w:eastAsia="宋体" w:cs="宋体"/>
          <w:sz w:val="24"/>
          <w:lang w:val="zh-CN"/>
        </w:rPr>
        <w:t>需在三天内更换完。</w:t>
      </w:r>
    </w:p>
    <w:p w14:paraId="7704AA72">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12" w:name="_Toc14844"/>
      <w:bookmarkStart w:id="213" w:name="_Toc14994"/>
      <w:r>
        <w:rPr>
          <w:rFonts w:hint="eastAsia" w:ascii="宋体" w:hAnsi="宋体" w:eastAsia="宋体" w:cs="宋体"/>
          <w:b/>
          <w:bCs/>
          <w:sz w:val="24"/>
        </w:rPr>
        <w:t>设备维修服务要求</w:t>
      </w:r>
      <w:bookmarkEnd w:id="212"/>
      <w:bookmarkEnd w:id="213"/>
    </w:p>
    <w:p w14:paraId="0A30F726">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中标人提供车缝项目生产设备维修服务，并提供车缝项目（服装、鞋面）生产设备机修工2名，要求驻场服务，每周跟随招标人的开工劳动时间（原则上每周不少于</w:t>
      </w:r>
      <w:r>
        <w:rPr>
          <w:rFonts w:hint="eastAsia" w:ascii="宋体" w:hAnsi="宋体" w:eastAsia="宋体" w:cs="宋体"/>
          <w:sz w:val="24"/>
        </w:rPr>
        <w:t>5.5天</w:t>
      </w:r>
      <w:r>
        <w:rPr>
          <w:rFonts w:hint="eastAsia" w:ascii="宋体" w:hAnsi="宋体" w:eastAsia="宋体" w:cs="宋体"/>
          <w:sz w:val="24"/>
          <w:lang w:val="zh-CN"/>
        </w:rPr>
        <w:t>），到招标人指定车间进行设备维修维护并提供技术指导服务。</w:t>
      </w:r>
    </w:p>
    <w:p w14:paraId="2A1B1AC6">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中标人负责所有派驻人员的工资、福利、住宿、补贴、奖金、医疗、社保、意外伤害、税收等开支和所有服务风险。</w:t>
      </w:r>
    </w:p>
    <w:p w14:paraId="16C794C4">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机修工应具备缝纫机器设备3年或以上维修经验，能够胜任各类衣车及自动化机器设备的维护保养、检查、维修的实施等工作。</w:t>
      </w:r>
    </w:p>
    <w:p w14:paraId="421F9995">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至少1名机修工熟悉衣车设备的电脑控制系统的设计原理、参数设定，能够根据生产需要进行设置、故障排除、维修。</w:t>
      </w:r>
    </w:p>
    <w:p w14:paraId="558DB0C3">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设备维修服务费用按月结算。设备维修服务费结算价</w:t>
      </w:r>
      <w:r>
        <w:rPr>
          <w:rFonts w:hint="eastAsia" w:ascii="宋体" w:hAnsi="宋体" w:eastAsia="宋体" w:cs="宋体"/>
          <w:sz w:val="24"/>
        </w:rPr>
        <w:t>=缝纫</w:t>
      </w:r>
      <w:r>
        <w:rPr>
          <w:rFonts w:hint="eastAsia" w:ascii="宋体" w:hAnsi="宋体" w:eastAsia="宋体" w:cs="宋体"/>
          <w:sz w:val="24"/>
          <w:lang w:val="zh-CN"/>
        </w:rPr>
        <w:t>设备维修服务</w:t>
      </w:r>
      <w:r>
        <w:rPr>
          <w:rFonts w:hint="eastAsia" w:ascii="宋体" w:hAnsi="宋体" w:eastAsia="宋体" w:cs="宋体"/>
          <w:sz w:val="24"/>
        </w:rPr>
        <w:t>月费用最高限价*（1-</w:t>
      </w:r>
      <w:r>
        <w:rPr>
          <w:rFonts w:hint="eastAsia" w:ascii="宋体" w:hAnsi="宋体" w:eastAsia="宋体" w:cs="宋体"/>
          <w:sz w:val="24"/>
          <w:lang w:val="zh-CN"/>
        </w:rPr>
        <w:t>对应的</w:t>
      </w:r>
      <w:r>
        <w:rPr>
          <w:rFonts w:hint="eastAsia" w:ascii="宋体" w:hAnsi="宋体" w:eastAsia="宋体" w:cs="宋体"/>
          <w:sz w:val="24"/>
        </w:rPr>
        <w:t>中标下浮率）。</w:t>
      </w:r>
      <w:r>
        <w:rPr>
          <w:rFonts w:hint="eastAsia" w:ascii="宋体" w:hAnsi="宋体" w:eastAsia="宋体" w:cs="宋体"/>
          <w:sz w:val="24"/>
          <w:lang w:val="zh-CN"/>
        </w:rPr>
        <w:t>投标报价包含日常管理所发生的一切费用（不含设备维修所需更换的零配件费用，由招标人另行采购提供），包括但不限于：①工时费（设备维护、故障维修等费用）；②维修使用工具、设备及设备折旧费等；③人员培训费等项目所涉及的一切日常费用及供应商应承担的其他各项费用等；④用户需求书的工作内容、工作方式、各项要求、各项费用等的一切费用，均包含在报价中。</w:t>
      </w:r>
      <w:r>
        <w:rPr>
          <w:rFonts w:hint="eastAsia" w:ascii="宋体" w:hAnsi="宋体" w:eastAsia="宋体" w:cs="宋体"/>
          <w:sz w:val="24"/>
        </w:rPr>
        <w:t>⑤人员工资、社保、保险、福利、管理酬金、法定税费、管理用具、杂费等费用。</w:t>
      </w:r>
      <w:r>
        <w:rPr>
          <w:rFonts w:hint="eastAsia" w:ascii="宋体" w:hAnsi="宋体" w:eastAsia="宋体" w:cs="宋体"/>
          <w:sz w:val="24"/>
          <w:lang w:val="zh-CN"/>
        </w:rPr>
        <w:t>如果中标人在管理期限内出现的任何日常管理的遗漏项目，均由中标人负责，招标人不再支付任何费用。</w:t>
      </w:r>
    </w:p>
    <w:p w14:paraId="5D688471">
      <w:pPr>
        <w:numPr>
          <w:ilvl w:val="0"/>
          <w:numId w:val="58"/>
        </w:numPr>
        <w:spacing w:line="360" w:lineRule="auto"/>
        <w:rPr>
          <w:rFonts w:ascii="宋体" w:hAnsi="宋体" w:eastAsia="宋体" w:cs="宋体"/>
          <w:sz w:val="24"/>
          <w:lang w:val="zh-CN"/>
        </w:rPr>
      </w:pPr>
      <w:r>
        <w:rPr>
          <w:rFonts w:hint="eastAsia" w:ascii="宋体" w:hAnsi="宋体" w:eastAsia="宋体" w:cs="宋体"/>
          <w:sz w:val="24"/>
          <w:lang w:val="zh-CN"/>
        </w:rPr>
        <w:t>中标人须自行考虑本项目在实施期间的一切可能产生的费用。中标下浮率执行于整个服务期间，不因政策、市场等因素而调整，在合同执行过程中，招标人将不再另行支付与本项目相关的任何费用。</w:t>
      </w:r>
    </w:p>
    <w:p w14:paraId="0DBB02E3">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14" w:name="_Toc7123"/>
      <w:bookmarkStart w:id="215" w:name="_Toc5006"/>
      <w:r>
        <w:rPr>
          <w:rFonts w:hint="eastAsia" w:ascii="宋体" w:hAnsi="宋体" w:eastAsia="宋体" w:cs="宋体"/>
          <w:b/>
          <w:bCs/>
          <w:sz w:val="24"/>
        </w:rPr>
        <w:t>合同签订</w:t>
      </w:r>
      <w:bookmarkEnd w:id="214"/>
      <w:bookmarkEnd w:id="215"/>
    </w:p>
    <w:p w14:paraId="05D4FD29">
      <w:pPr>
        <w:numPr>
          <w:ilvl w:val="0"/>
          <w:numId w:val="59"/>
        </w:numPr>
        <w:spacing w:line="360" w:lineRule="auto"/>
        <w:rPr>
          <w:rFonts w:ascii="宋体" w:hAnsi="宋体" w:eastAsia="宋体" w:cs="宋体"/>
          <w:sz w:val="24"/>
          <w:lang w:val="zh-CN"/>
        </w:rPr>
      </w:pPr>
      <w:r>
        <w:rPr>
          <w:rFonts w:hint="eastAsia" w:ascii="宋体" w:hAnsi="宋体" w:eastAsia="宋体" w:cs="宋体"/>
          <w:sz w:val="24"/>
          <w:lang w:val="zh-CN"/>
        </w:rPr>
        <w:t>中标人与招标人在中标公告发布后五个工作日内签订合同。</w:t>
      </w:r>
    </w:p>
    <w:p w14:paraId="374C6EF5">
      <w:pPr>
        <w:numPr>
          <w:ilvl w:val="0"/>
          <w:numId w:val="59"/>
        </w:numPr>
        <w:spacing w:line="360" w:lineRule="auto"/>
        <w:rPr>
          <w:rFonts w:ascii="宋体" w:hAnsi="宋体" w:eastAsia="宋体" w:cs="宋体"/>
          <w:sz w:val="24"/>
          <w:lang w:val="zh-CN"/>
        </w:rPr>
      </w:pPr>
      <w:r>
        <w:rPr>
          <w:rFonts w:hint="eastAsia" w:ascii="宋体" w:hAnsi="宋体" w:eastAsia="宋体" w:cs="宋体"/>
          <w:sz w:val="24"/>
          <w:lang w:val="zh-CN"/>
        </w:rPr>
        <w:t>合同签订后五个工作日内，中标人须</w:t>
      </w:r>
      <w:r>
        <w:rPr>
          <w:rFonts w:hint="eastAsia" w:ascii="宋体" w:hAnsi="宋体" w:cs="宋体"/>
          <w:sz w:val="24"/>
        </w:rPr>
        <w:t>以支票、汇票、本票、保函（见索即付）等非现金方式</w:t>
      </w:r>
      <w:r>
        <w:rPr>
          <w:rFonts w:hint="eastAsia" w:ascii="宋体" w:hAnsi="宋体" w:eastAsia="宋体" w:cs="宋体"/>
          <w:sz w:val="24"/>
          <w:lang w:val="zh-CN"/>
        </w:rPr>
        <w:t>交纳人民币贰</w:t>
      </w:r>
      <w:r>
        <w:rPr>
          <w:rFonts w:hint="eastAsia" w:ascii="宋体" w:hAnsi="宋体" w:eastAsia="宋体" w:cs="宋体"/>
          <w:sz w:val="24"/>
        </w:rPr>
        <w:t>拾</w:t>
      </w:r>
      <w:r>
        <w:rPr>
          <w:rFonts w:hint="eastAsia" w:ascii="宋体" w:hAnsi="宋体" w:eastAsia="宋体" w:cs="宋体"/>
          <w:sz w:val="24"/>
          <w:lang w:val="zh-CN"/>
        </w:rPr>
        <w:t>万元（</w:t>
      </w:r>
      <w:r>
        <w:rPr>
          <w:rFonts w:hint="eastAsia" w:ascii="宋体" w:hAnsi="宋体" w:eastAsia="宋体" w:cs="宋体"/>
          <w:sz w:val="24"/>
        </w:rPr>
        <w:t>20</w:t>
      </w:r>
      <w:r>
        <w:rPr>
          <w:rFonts w:hint="eastAsia" w:ascii="宋体" w:hAnsi="宋体" w:eastAsia="宋体" w:cs="宋体"/>
          <w:sz w:val="24"/>
          <w:lang w:val="zh-CN"/>
        </w:rPr>
        <w:t>0000.00元）的履约保证金。在合同执行完毕后30日内，招标人一次性无息退还履约保证金。</w:t>
      </w:r>
    </w:p>
    <w:p w14:paraId="0D0ED2A5">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16" w:name="_Toc17503"/>
      <w:bookmarkStart w:id="217" w:name="_Toc20906"/>
      <w:r>
        <w:rPr>
          <w:rFonts w:hint="eastAsia" w:ascii="宋体" w:hAnsi="宋体" w:eastAsia="宋体" w:cs="宋体"/>
          <w:b/>
          <w:bCs/>
          <w:sz w:val="24"/>
        </w:rPr>
        <w:t>付款方式</w:t>
      </w:r>
      <w:bookmarkEnd w:id="216"/>
      <w:bookmarkEnd w:id="217"/>
    </w:p>
    <w:p w14:paraId="36A59D88">
      <w:pPr>
        <w:numPr>
          <w:ilvl w:val="0"/>
          <w:numId w:val="60"/>
        </w:numPr>
        <w:spacing w:line="360" w:lineRule="auto"/>
        <w:rPr>
          <w:rFonts w:ascii="宋体" w:hAnsi="宋体" w:eastAsia="宋体" w:cs="宋体"/>
          <w:sz w:val="24"/>
        </w:rPr>
      </w:pPr>
      <w:r>
        <w:rPr>
          <w:rFonts w:hint="eastAsia" w:ascii="宋体" w:hAnsi="宋体" w:eastAsia="宋体" w:cs="宋体"/>
          <w:sz w:val="24"/>
        </w:rPr>
        <w:t>结算方式：经常用零配件、非经常用零配件结算价=对应项的中标下浮率*对应产品最高限价*实际领用数量；</w:t>
      </w:r>
      <w:r>
        <w:rPr>
          <w:rFonts w:hint="eastAsia" w:ascii="宋体" w:hAnsi="宋体" w:eastAsia="宋体" w:cs="宋体"/>
          <w:sz w:val="24"/>
          <w:lang w:val="zh-CN"/>
        </w:rPr>
        <w:t>设备维修服务费结算价</w:t>
      </w:r>
      <w:r>
        <w:rPr>
          <w:rFonts w:hint="eastAsia" w:ascii="宋体" w:hAnsi="宋体" w:eastAsia="宋体" w:cs="宋体"/>
          <w:sz w:val="24"/>
        </w:rPr>
        <w:t>=缝纫</w:t>
      </w:r>
      <w:r>
        <w:rPr>
          <w:rFonts w:hint="eastAsia" w:ascii="宋体" w:hAnsi="宋体" w:eastAsia="宋体" w:cs="宋体"/>
          <w:sz w:val="24"/>
          <w:lang w:val="zh-CN"/>
        </w:rPr>
        <w:t>设备维修服务</w:t>
      </w:r>
      <w:r>
        <w:rPr>
          <w:rFonts w:hint="eastAsia" w:ascii="宋体" w:hAnsi="宋体" w:eastAsia="宋体" w:cs="宋体"/>
          <w:sz w:val="24"/>
        </w:rPr>
        <w:t>月费用最高限价*</w:t>
      </w:r>
      <w:r>
        <w:rPr>
          <w:rFonts w:hint="eastAsia" w:ascii="宋体" w:hAnsi="宋体" w:eastAsia="宋体" w:cs="宋体"/>
          <w:sz w:val="24"/>
          <w:lang w:val="zh-CN"/>
        </w:rPr>
        <w:t>对应的</w:t>
      </w:r>
      <w:r>
        <w:rPr>
          <w:rFonts w:hint="eastAsia" w:ascii="宋体" w:hAnsi="宋体" w:eastAsia="宋体" w:cs="宋体"/>
          <w:sz w:val="24"/>
        </w:rPr>
        <w:t>中标下浮率。</w:t>
      </w:r>
    </w:p>
    <w:p w14:paraId="43194FE8">
      <w:pPr>
        <w:numPr>
          <w:ilvl w:val="0"/>
          <w:numId w:val="60"/>
        </w:numPr>
        <w:spacing w:line="360" w:lineRule="auto"/>
        <w:rPr>
          <w:rFonts w:ascii="宋体" w:hAnsi="宋体" w:eastAsia="宋体" w:cs="宋体"/>
          <w:sz w:val="24"/>
        </w:rPr>
      </w:pPr>
      <w:r>
        <w:rPr>
          <w:rFonts w:hint="eastAsia" w:ascii="宋体" w:hAnsi="宋体" w:eastAsia="宋体" w:cs="宋体"/>
          <w:sz w:val="24"/>
        </w:rPr>
        <w:t>采用月结方式，由中标</w:t>
      </w:r>
      <w:r>
        <w:rPr>
          <w:rFonts w:hint="eastAsia" w:ascii="宋体" w:hAnsi="宋体" w:eastAsia="宋体" w:cs="宋体"/>
          <w:sz w:val="24"/>
          <w:lang w:val="zh-CN"/>
        </w:rPr>
        <w:t>人</w:t>
      </w:r>
      <w:r>
        <w:rPr>
          <w:rFonts w:hint="eastAsia" w:ascii="宋体" w:hAnsi="宋体" w:eastAsia="宋体" w:cs="宋体"/>
          <w:sz w:val="24"/>
        </w:rPr>
        <w:t>开具增值税专用发票，票据齐全无误后办理付款。</w:t>
      </w:r>
    </w:p>
    <w:p w14:paraId="2BBF1FFC">
      <w:pPr>
        <w:numPr>
          <w:ilvl w:val="0"/>
          <w:numId w:val="61"/>
        </w:numPr>
        <w:spacing w:line="360" w:lineRule="auto"/>
        <w:rPr>
          <w:rFonts w:ascii="宋体" w:hAnsi="宋体" w:eastAsia="宋体" w:cs="宋体"/>
          <w:sz w:val="24"/>
          <w:lang w:val="zh-CN"/>
        </w:rPr>
      </w:pPr>
      <w:r>
        <w:rPr>
          <w:rFonts w:hint="eastAsia" w:ascii="宋体" w:hAnsi="宋体" w:eastAsia="宋体" w:cs="宋体"/>
          <w:sz w:val="24"/>
          <w:lang w:val="zh-CN"/>
        </w:rPr>
        <w:t>合同（第一次结算时提供）；</w:t>
      </w:r>
    </w:p>
    <w:p w14:paraId="5621C6C0">
      <w:pPr>
        <w:numPr>
          <w:ilvl w:val="0"/>
          <w:numId w:val="61"/>
        </w:numPr>
        <w:spacing w:line="360" w:lineRule="auto"/>
        <w:rPr>
          <w:rFonts w:ascii="宋体" w:hAnsi="宋体" w:eastAsia="宋体" w:cs="宋体"/>
          <w:sz w:val="24"/>
          <w:lang w:val="zh-CN"/>
        </w:rPr>
      </w:pPr>
      <w:r>
        <w:rPr>
          <w:rFonts w:hint="eastAsia" w:ascii="宋体" w:hAnsi="宋体" w:eastAsia="宋体" w:cs="宋体"/>
          <w:sz w:val="24"/>
          <w:lang w:val="zh-CN"/>
        </w:rPr>
        <w:t>对公账号；</w:t>
      </w:r>
    </w:p>
    <w:p w14:paraId="20E7A9A5">
      <w:pPr>
        <w:numPr>
          <w:ilvl w:val="0"/>
          <w:numId w:val="61"/>
        </w:numPr>
        <w:spacing w:line="360" w:lineRule="auto"/>
        <w:rPr>
          <w:rFonts w:ascii="宋体" w:hAnsi="宋体" w:eastAsia="宋体" w:cs="宋体"/>
          <w:sz w:val="24"/>
          <w:lang w:val="zh-CN"/>
        </w:rPr>
      </w:pPr>
      <w:r>
        <w:rPr>
          <w:rFonts w:hint="eastAsia" w:ascii="宋体" w:hAnsi="宋体" w:eastAsia="宋体" w:cs="宋体"/>
          <w:sz w:val="24"/>
          <w:lang w:val="zh-CN"/>
        </w:rPr>
        <w:t>领用清单；</w:t>
      </w:r>
    </w:p>
    <w:p w14:paraId="0DE147CE">
      <w:pPr>
        <w:numPr>
          <w:ilvl w:val="0"/>
          <w:numId w:val="61"/>
        </w:numPr>
        <w:spacing w:line="360" w:lineRule="auto"/>
        <w:rPr>
          <w:rFonts w:ascii="宋体" w:hAnsi="宋体" w:eastAsia="宋体" w:cs="宋体"/>
          <w:sz w:val="24"/>
          <w:lang w:val="zh-CN"/>
        </w:rPr>
      </w:pPr>
      <w:r>
        <w:rPr>
          <w:rFonts w:hint="eastAsia" w:ascii="宋体" w:hAnsi="宋体" w:eastAsia="宋体" w:cs="宋体"/>
          <w:sz w:val="24"/>
          <w:lang w:val="zh-CN"/>
        </w:rPr>
        <w:t>开具增值税专用发票。</w:t>
      </w:r>
    </w:p>
    <w:p w14:paraId="09E53EB1">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18" w:name="_Toc14976"/>
      <w:bookmarkStart w:id="219" w:name="_Toc401"/>
      <w:r>
        <w:rPr>
          <w:rFonts w:hint="eastAsia" w:ascii="宋体" w:hAnsi="宋体" w:eastAsia="宋体" w:cs="宋体"/>
          <w:b/>
          <w:bCs/>
          <w:sz w:val="24"/>
        </w:rPr>
        <w:t>违约责任与赔偿损失</w:t>
      </w:r>
      <w:bookmarkEnd w:id="218"/>
      <w:bookmarkEnd w:id="219"/>
    </w:p>
    <w:p w14:paraId="534AC9E8">
      <w:pPr>
        <w:numPr>
          <w:ilvl w:val="0"/>
          <w:numId w:val="62"/>
        </w:numPr>
        <w:spacing w:line="360" w:lineRule="auto"/>
        <w:rPr>
          <w:rFonts w:ascii="宋体" w:hAnsi="宋体" w:eastAsia="宋体" w:cs="宋体"/>
          <w:sz w:val="24"/>
        </w:rPr>
      </w:pPr>
      <w:r>
        <w:rPr>
          <w:rFonts w:hint="eastAsia" w:ascii="宋体" w:hAnsi="宋体" w:eastAsia="宋体" w:cs="宋体"/>
          <w:sz w:val="24"/>
        </w:rPr>
        <w:t>中标</w:t>
      </w:r>
      <w:r>
        <w:rPr>
          <w:rFonts w:hint="eastAsia" w:ascii="宋体" w:hAnsi="宋体" w:eastAsia="宋体" w:cs="宋体"/>
          <w:sz w:val="24"/>
          <w:lang w:val="zh-CN"/>
        </w:rPr>
        <w:t>人</w:t>
      </w:r>
      <w:r>
        <w:rPr>
          <w:rFonts w:hint="eastAsia" w:ascii="宋体" w:hAnsi="宋体" w:eastAsia="宋体" w:cs="宋体"/>
          <w:sz w:val="24"/>
        </w:rPr>
        <w:t>有以下行为，经调查属实的，</w:t>
      </w:r>
      <w:r>
        <w:rPr>
          <w:rFonts w:hint="eastAsia" w:ascii="宋体" w:hAnsi="宋体" w:eastAsia="宋体" w:cs="宋体"/>
          <w:sz w:val="24"/>
          <w:lang w:val="zh-CN"/>
        </w:rPr>
        <w:t>招标人</w:t>
      </w:r>
      <w:r>
        <w:rPr>
          <w:rFonts w:hint="eastAsia" w:ascii="宋体" w:hAnsi="宋体" w:eastAsia="宋体" w:cs="宋体"/>
          <w:sz w:val="24"/>
        </w:rPr>
        <w:t>将立即解除相关供应合同：</w:t>
      </w:r>
    </w:p>
    <w:p w14:paraId="3D5F5F90">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弄虚作假，提供虚假材料取得中标供应资格的；</w:t>
      </w:r>
    </w:p>
    <w:p w14:paraId="7FD6D6C7">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中标供应项目有串标、转包、分包行为的；</w:t>
      </w:r>
    </w:p>
    <w:p w14:paraId="673A402D">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经营情况发生重大变更，已经不具备承接中标供应项目能力的；</w:t>
      </w:r>
    </w:p>
    <w:p w14:paraId="4364660C">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无正当理由拒绝履行合同的；</w:t>
      </w:r>
    </w:p>
    <w:p w14:paraId="04644393">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有行贿、给回扣等不正当竞争行为的；</w:t>
      </w:r>
    </w:p>
    <w:p w14:paraId="5BAD4B6A">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技术人员为劳动人员私传物品、信件、口信等违反管理规定的；</w:t>
      </w:r>
    </w:p>
    <w:p w14:paraId="51C4A1ED">
      <w:pPr>
        <w:numPr>
          <w:ilvl w:val="0"/>
          <w:numId w:val="63"/>
        </w:numPr>
        <w:spacing w:line="360" w:lineRule="auto"/>
        <w:rPr>
          <w:rFonts w:ascii="宋体" w:hAnsi="宋体" w:eastAsia="宋体" w:cs="宋体"/>
          <w:sz w:val="24"/>
          <w:lang w:val="zh-CN"/>
        </w:rPr>
      </w:pPr>
      <w:r>
        <w:rPr>
          <w:rFonts w:hint="eastAsia" w:ascii="宋体" w:hAnsi="宋体" w:eastAsia="宋体" w:cs="宋体"/>
          <w:sz w:val="24"/>
          <w:lang w:val="zh-CN"/>
        </w:rPr>
        <w:t>有其它违法违纪行为的。</w:t>
      </w:r>
    </w:p>
    <w:p w14:paraId="402DE810">
      <w:pPr>
        <w:numPr>
          <w:ilvl w:val="0"/>
          <w:numId w:val="62"/>
        </w:numPr>
        <w:spacing w:line="360" w:lineRule="auto"/>
        <w:rPr>
          <w:rFonts w:ascii="宋体" w:hAnsi="宋体" w:eastAsia="宋体" w:cs="宋体"/>
          <w:sz w:val="24"/>
        </w:rPr>
      </w:pPr>
      <w:r>
        <w:rPr>
          <w:rFonts w:hint="eastAsia" w:ascii="宋体" w:hAnsi="宋体" w:eastAsia="宋体" w:cs="宋体"/>
          <w:sz w:val="24"/>
        </w:rPr>
        <w:t>由于</w:t>
      </w:r>
      <w:r>
        <w:rPr>
          <w:rFonts w:hint="eastAsia" w:ascii="宋体" w:hAnsi="宋体" w:eastAsia="宋体" w:cs="宋体"/>
          <w:sz w:val="24"/>
          <w:lang w:val="zh-CN"/>
        </w:rPr>
        <w:t>招标人</w:t>
      </w:r>
      <w:r>
        <w:rPr>
          <w:rFonts w:hint="eastAsia" w:ascii="宋体" w:hAnsi="宋体" w:eastAsia="宋体" w:cs="宋体"/>
          <w:sz w:val="24"/>
        </w:rPr>
        <w:t>工作的特殊性，中标</w:t>
      </w:r>
      <w:r>
        <w:rPr>
          <w:rFonts w:hint="eastAsia" w:ascii="宋体" w:hAnsi="宋体" w:eastAsia="宋体" w:cs="宋体"/>
          <w:sz w:val="24"/>
          <w:lang w:val="zh-CN"/>
        </w:rPr>
        <w:t>人</w:t>
      </w:r>
      <w:r>
        <w:rPr>
          <w:rFonts w:hint="eastAsia" w:ascii="宋体" w:hAnsi="宋体" w:eastAsia="宋体" w:cs="宋体"/>
          <w:sz w:val="24"/>
        </w:rPr>
        <w:t>应做好本单位工作人员的教育工作，遵守各项规定。</w:t>
      </w:r>
    </w:p>
    <w:p w14:paraId="5D6C2D3D">
      <w:pPr>
        <w:numPr>
          <w:ilvl w:val="0"/>
          <w:numId w:val="62"/>
        </w:numPr>
        <w:spacing w:line="360" w:lineRule="auto"/>
        <w:rPr>
          <w:rFonts w:ascii="宋体" w:hAnsi="宋体" w:eastAsia="宋体" w:cs="宋体"/>
          <w:sz w:val="24"/>
        </w:rPr>
      </w:pPr>
      <w:r>
        <w:rPr>
          <w:rFonts w:hint="eastAsia" w:ascii="宋体" w:hAnsi="宋体" w:eastAsia="宋体" w:cs="宋体"/>
          <w:sz w:val="24"/>
          <w:lang w:val="zh-CN"/>
        </w:rPr>
        <w:t>招标人</w:t>
      </w:r>
      <w:r>
        <w:rPr>
          <w:rFonts w:hint="eastAsia" w:ascii="宋体" w:hAnsi="宋体" w:eastAsia="宋体" w:cs="宋体"/>
          <w:sz w:val="24"/>
        </w:rPr>
        <w:t>按合同进行严格验收，对不符合规格要求的商品，供应商必须无条件退货或更换。</w:t>
      </w:r>
    </w:p>
    <w:p w14:paraId="2CAFFEEC">
      <w:pPr>
        <w:numPr>
          <w:ilvl w:val="0"/>
          <w:numId w:val="62"/>
        </w:numPr>
        <w:spacing w:line="360" w:lineRule="auto"/>
        <w:rPr>
          <w:rFonts w:ascii="宋体" w:hAnsi="宋体" w:eastAsia="宋体" w:cs="宋体"/>
          <w:sz w:val="24"/>
        </w:rPr>
      </w:pPr>
      <w:r>
        <w:rPr>
          <w:rFonts w:hint="eastAsia" w:ascii="宋体" w:hAnsi="宋体" w:eastAsia="宋体" w:cs="宋体"/>
          <w:sz w:val="24"/>
        </w:rPr>
        <w:t>发生以下任一情形，经调查属实的，第1次扣除10%履约保证金，第2次扣除30%履约保证金，第3次</w:t>
      </w:r>
      <w:r>
        <w:rPr>
          <w:rFonts w:hint="eastAsia" w:ascii="宋体" w:hAnsi="宋体" w:eastAsia="宋体" w:cs="宋体"/>
          <w:sz w:val="24"/>
          <w:lang w:val="zh-CN"/>
        </w:rPr>
        <w:t>招标人</w:t>
      </w:r>
      <w:r>
        <w:rPr>
          <w:rFonts w:hint="eastAsia" w:ascii="宋体" w:hAnsi="宋体" w:eastAsia="宋体" w:cs="宋体"/>
          <w:sz w:val="24"/>
        </w:rPr>
        <w:t>将有权解除相关供应合同。</w:t>
      </w:r>
    </w:p>
    <w:p w14:paraId="1EF02CB9">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未按要求随货提供相关票证单据类；</w:t>
      </w:r>
    </w:p>
    <w:p w14:paraId="6E2216E7">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货物质量验收不合格；</w:t>
      </w:r>
    </w:p>
    <w:p w14:paraId="1A91FC2F">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未按招标人采购计划时间和数量供货，造成招标人生产无法正常进行的；（提前与招标人协商且未影响正常生产的除外）；</w:t>
      </w:r>
    </w:p>
    <w:p w14:paraId="75A3BBF7">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供货数量为招标人采购计划数量的90%以下且影响正常生产使用的；</w:t>
      </w:r>
    </w:p>
    <w:p w14:paraId="6633F875">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未按招标人指定地点、秩序卸货；</w:t>
      </w:r>
    </w:p>
    <w:p w14:paraId="7BB73BB0">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货物出现质量问题，供应商不积极配合查找原因，不及时反馈处理结果；</w:t>
      </w:r>
    </w:p>
    <w:p w14:paraId="4193BBDB">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供应货物品种、品牌、型号规格或质量等级与合同不符；</w:t>
      </w:r>
    </w:p>
    <w:p w14:paraId="0408311B">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同一品种货物连续两次验收发现质量不合格产品并退货；</w:t>
      </w:r>
    </w:p>
    <w:p w14:paraId="781BFB02">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把招标人验收不合格退货的货物重新配送给采购方；</w:t>
      </w:r>
    </w:p>
    <w:p w14:paraId="4B2F7ACB">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在包装、运输、装卸等环节不符合安全要求；</w:t>
      </w:r>
    </w:p>
    <w:p w14:paraId="72D0011A">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组织机构发生调整，或经营场所、联系人、联系方式变更，未及时通知招标人业务部门，造成无法及时联系；</w:t>
      </w:r>
    </w:p>
    <w:p w14:paraId="12578789">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中标人的工作人员不遵守招标人各项管理规定，或泄露招标人内部情况，造成社会不良影响。</w:t>
      </w:r>
    </w:p>
    <w:p w14:paraId="7201607B">
      <w:pPr>
        <w:numPr>
          <w:ilvl w:val="0"/>
          <w:numId w:val="64"/>
        </w:numPr>
        <w:spacing w:line="360" w:lineRule="auto"/>
        <w:rPr>
          <w:rFonts w:ascii="宋体" w:hAnsi="宋体" w:eastAsia="宋体" w:cs="宋体"/>
          <w:sz w:val="24"/>
          <w:lang w:val="zh-CN"/>
        </w:rPr>
      </w:pPr>
      <w:r>
        <w:rPr>
          <w:rFonts w:hint="eastAsia" w:ascii="宋体" w:hAnsi="宋体" w:eastAsia="宋体" w:cs="宋体"/>
          <w:sz w:val="24"/>
          <w:lang w:val="zh-CN"/>
        </w:rPr>
        <w:t>中标人对货物检查把关不严，造成现金、绳索、利器等招标人规定之危禁品流入，影响管理安全的。</w:t>
      </w:r>
    </w:p>
    <w:p w14:paraId="1A9FE8F1">
      <w:pPr>
        <w:pStyle w:val="55"/>
        <w:spacing w:line="360" w:lineRule="auto"/>
        <w:ind w:firstLine="360" w:firstLineChars="150"/>
        <w:rPr>
          <w:rFonts w:eastAsia="宋体" w:cs="宋体"/>
          <w:b w:val="0"/>
          <w:sz w:val="24"/>
          <w:szCs w:val="24"/>
        </w:rPr>
      </w:pPr>
      <w:r>
        <w:rPr>
          <w:rFonts w:hint="eastAsia" w:eastAsia="宋体" w:cs="宋体"/>
          <w:b w:val="0"/>
          <w:sz w:val="24"/>
          <w:szCs w:val="24"/>
        </w:rPr>
        <w:t>若同时出现上述履约保证金扣除情形，则仅按扣除数额最大的情形执行，不对同时出现的情形累计扣除履约保证金。</w:t>
      </w:r>
    </w:p>
    <w:p w14:paraId="3587E0AA">
      <w:pPr>
        <w:numPr>
          <w:ilvl w:val="0"/>
          <w:numId w:val="62"/>
        </w:numPr>
        <w:spacing w:line="360" w:lineRule="auto"/>
        <w:rPr>
          <w:rFonts w:ascii="宋体" w:hAnsi="宋体" w:eastAsia="宋体" w:cs="宋体"/>
          <w:sz w:val="24"/>
        </w:rPr>
      </w:pPr>
      <w:r>
        <w:rPr>
          <w:rFonts w:hint="eastAsia" w:ascii="宋体" w:hAnsi="宋体" w:eastAsia="宋体" w:cs="宋体"/>
          <w:sz w:val="24"/>
        </w:rPr>
        <w:t>如在合同执行期间因中标</w:t>
      </w:r>
      <w:r>
        <w:rPr>
          <w:rFonts w:hint="eastAsia" w:ascii="宋体" w:hAnsi="宋体" w:eastAsia="宋体" w:cs="宋体"/>
          <w:sz w:val="24"/>
          <w:lang w:val="zh-CN"/>
        </w:rPr>
        <w:t>人</w:t>
      </w:r>
      <w:r>
        <w:rPr>
          <w:rFonts w:hint="eastAsia" w:ascii="宋体" w:hAnsi="宋体" w:eastAsia="宋体" w:cs="宋体"/>
          <w:sz w:val="24"/>
        </w:rPr>
        <w:t>违约导致履约保证金部分扣除，中标</w:t>
      </w:r>
      <w:r>
        <w:rPr>
          <w:rFonts w:hint="eastAsia" w:ascii="宋体" w:hAnsi="宋体" w:eastAsia="宋体" w:cs="宋体"/>
          <w:sz w:val="24"/>
          <w:lang w:val="zh-CN"/>
        </w:rPr>
        <w:t>人</w:t>
      </w:r>
      <w:r>
        <w:rPr>
          <w:rFonts w:hint="eastAsia" w:ascii="宋体" w:hAnsi="宋体" w:eastAsia="宋体" w:cs="宋体"/>
          <w:sz w:val="24"/>
        </w:rPr>
        <w:t>需在五个工作日内将扣除的履约保证金足额补齐。</w:t>
      </w:r>
    </w:p>
    <w:p w14:paraId="4B415D82">
      <w:pPr>
        <w:numPr>
          <w:ilvl w:val="0"/>
          <w:numId w:val="62"/>
        </w:numPr>
        <w:spacing w:line="360" w:lineRule="auto"/>
        <w:rPr>
          <w:rFonts w:ascii="宋体" w:hAnsi="宋体" w:eastAsia="宋体" w:cs="宋体"/>
          <w:sz w:val="24"/>
        </w:rPr>
      </w:pPr>
      <w:r>
        <w:rPr>
          <w:rFonts w:hint="eastAsia" w:ascii="宋体" w:hAnsi="宋体" w:eastAsia="宋体" w:cs="宋体"/>
          <w:sz w:val="24"/>
        </w:rPr>
        <w:t>如中标</w:t>
      </w:r>
      <w:r>
        <w:rPr>
          <w:rFonts w:hint="eastAsia" w:ascii="宋体" w:hAnsi="宋体" w:eastAsia="宋体" w:cs="宋体"/>
          <w:sz w:val="24"/>
          <w:lang w:val="zh-CN"/>
        </w:rPr>
        <w:t>人</w:t>
      </w:r>
      <w:r>
        <w:rPr>
          <w:rFonts w:hint="eastAsia" w:ascii="宋体" w:hAnsi="宋体" w:eastAsia="宋体" w:cs="宋体"/>
          <w:sz w:val="24"/>
        </w:rPr>
        <w:t>在合同执行过程需终止执行合同的，需提前二个月以书面形式告知</w:t>
      </w:r>
      <w:r>
        <w:rPr>
          <w:rFonts w:hint="eastAsia" w:ascii="宋体" w:hAnsi="宋体" w:eastAsia="宋体" w:cs="宋体"/>
          <w:sz w:val="24"/>
          <w:lang w:val="zh-CN"/>
        </w:rPr>
        <w:t>招标人</w:t>
      </w:r>
      <w:r>
        <w:rPr>
          <w:rFonts w:hint="eastAsia" w:ascii="宋体" w:hAnsi="宋体" w:eastAsia="宋体" w:cs="宋体"/>
          <w:sz w:val="24"/>
        </w:rPr>
        <w:t>，否则按单方面终止执行合同处理，履约保证金不退还。</w:t>
      </w:r>
    </w:p>
    <w:p w14:paraId="214030EE">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20" w:name="_Toc4670"/>
      <w:bookmarkStart w:id="221" w:name="_Toc19358"/>
      <w:r>
        <w:rPr>
          <w:rFonts w:hint="eastAsia" w:ascii="宋体" w:hAnsi="宋体" w:eastAsia="宋体" w:cs="宋体"/>
          <w:b/>
          <w:bCs/>
          <w:sz w:val="24"/>
        </w:rPr>
        <w:t>项目报价要求</w:t>
      </w:r>
      <w:bookmarkEnd w:id="220"/>
      <w:bookmarkEnd w:id="221"/>
    </w:p>
    <w:p w14:paraId="23881ECD">
      <w:pPr>
        <w:numPr>
          <w:ilvl w:val="0"/>
          <w:numId w:val="65"/>
        </w:num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zh-CN"/>
        </w:rPr>
        <w:t>报价</w:t>
      </w:r>
      <w:r>
        <w:rPr>
          <w:rFonts w:hint="eastAsia" w:ascii="宋体" w:hAnsi="宋体" w:eastAsia="宋体" w:cs="宋体"/>
          <w:sz w:val="24"/>
        </w:rPr>
        <w:t>不得超出正常的市场价范围，投标人依照需求表，对经常用零配件、非经常用零配件、设备维修服务三项内容，按统一的下浮率的形式进行报价（如下浮率为30%，则每项成交单价为：对应项目的最高限价*70%，单价四舍五入保留到小数点后二位，精确到分）。下浮率必须为固定报价，不接受区间报价（如80％～90％）、下浮率范围（0%≤下浮率＜100%），不能为负数。投标人除须报出统一的下浮率以外，还需提供下浮后的报价明细表【下浮后的单价报价=对应项目的最高限价*（1-报价下浮率）】。</w:t>
      </w:r>
    </w:p>
    <w:p w14:paraId="2A3A19B0">
      <w:pPr>
        <w:pStyle w:val="41"/>
        <w:numPr>
          <w:ilvl w:val="0"/>
          <w:numId w:val="54"/>
        </w:numPr>
        <w:tabs>
          <w:tab w:val="left" w:pos="567"/>
          <w:tab w:val="left" w:pos="3210"/>
        </w:tabs>
        <w:spacing w:line="360" w:lineRule="auto"/>
        <w:ind w:firstLineChars="0"/>
        <w:outlineLvl w:val="1"/>
        <w:rPr>
          <w:rFonts w:ascii="宋体" w:hAnsi="宋体" w:eastAsia="宋体" w:cs="宋体"/>
          <w:b/>
          <w:bCs/>
          <w:sz w:val="24"/>
        </w:rPr>
      </w:pPr>
      <w:bookmarkStart w:id="222" w:name="_Toc8666"/>
      <w:bookmarkStart w:id="223" w:name="_Toc13653"/>
      <w:r>
        <w:rPr>
          <w:rFonts w:hint="eastAsia" w:ascii="宋体" w:hAnsi="宋体" w:eastAsia="宋体" w:cs="宋体"/>
          <w:b/>
          <w:bCs/>
          <w:sz w:val="24"/>
        </w:rPr>
        <w:t>采购零配件项目清单及最高限价</w:t>
      </w:r>
      <w:bookmarkEnd w:id="222"/>
      <w:bookmarkEnd w:id="223"/>
    </w:p>
    <w:p w14:paraId="11C03719">
      <w:pPr>
        <w:spacing w:line="360" w:lineRule="auto"/>
        <w:ind w:firstLine="560"/>
        <w:rPr>
          <w:rFonts w:ascii="宋体" w:hAnsi="宋体" w:eastAsia="宋体" w:cs="宋体"/>
          <w:sz w:val="24"/>
        </w:rPr>
      </w:pPr>
      <w:r>
        <w:rPr>
          <w:rFonts w:hint="eastAsia" w:ascii="宋体" w:hAnsi="宋体" w:eastAsia="宋体" w:cs="宋体"/>
          <w:sz w:val="24"/>
        </w:rPr>
        <w:t>详见附件《广东省广裕集团英德工贸实业有限公司2024-2026年生产零配件、耗材定点采购项目采购清单》。</w:t>
      </w:r>
    </w:p>
    <w:p w14:paraId="4D926B0C">
      <w:pPr>
        <w:spacing w:before="72" w:after="72" w:line="360" w:lineRule="auto"/>
        <w:ind w:firstLine="480" w:firstLineChars="200"/>
        <w:jc w:val="center"/>
        <w:rPr>
          <w:rFonts w:ascii="宋体" w:hAnsi="宋体"/>
          <w:sz w:val="24"/>
        </w:rPr>
      </w:pPr>
    </w:p>
    <w:p w14:paraId="768011DD">
      <w:pPr>
        <w:spacing w:before="72" w:after="72" w:line="360" w:lineRule="auto"/>
        <w:ind w:firstLine="480" w:firstLineChars="200"/>
        <w:jc w:val="center"/>
        <w:rPr>
          <w:rFonts w:ascii="宋体" w:hAnsi="宋体"/>
          <w:sz w:val="24"/>
        </w:rPr>
      </w:pPr>
    </w:p>
    <w:p w14:paraId="1F53DDB4">
      <w:pPr>
        <w:spacing w:before="72" w:after="72" w:line="360" w:lineRule="auto"/>
        <w:ind w:firstLine="480" w:firstLineChars="200"/>
        <w:jc w:val="center"/>
        <w:rPr>
          <w:rFonts w:ascii="宋体" w:hAnsi="宋体"/>
          <w:sz w:val="24"/>
        </w:rPr>
      </w:pPr>
    </w:p>
    <w:p w14:paraId="015D3D23">
      <w:pPr>
        <w:ind w:left="420"/>
      </w:pPr>
      <w:bookmarkStart w:id="224" w:name="_Toc50736470"/>
      <w:bookmarkStart w:id="225" w:name="_Toc50691023"/>
      <w:bookmarkStart w:id="226" w:name="_Toc50737322"/>
      <w:bookmarkStart w:id="227" w:name="_Toc168288368"/>
      <w:bookmarkStart w:id="228" w:name="_Toc50737290"/>
      <w:bookmarkStart w:id="229" w:name="_Toc183316721"/>
      <w:bookmarkStart w:id="230" w:name="_Toc182886660"/>
      <w:bookmarkStart w:id="231" w:name="_Toc423021952"/>
      <w:bookmarkStart w:id="232" w:name="_Toc372468320"/>
    </w:p>
    <w:p w14:paraId="1EA18229">
      <w:pPr>
        <w:ind w:left="420"/>
      </w:pPr>
    </w:p>
    <w:p w14:paraId="66F6ACB4">
      <w:pPr>
        <w:ind w:left="420"/>
      </w:pPr>
    </w:p>
    <w:p w14:paraId="72202453">
      <w:pPr>
        <w:ind w:left="420"/>
      </w:pPr>
    </w:p>
    <w:p w14:paraId="6DEF5291">
      <w:pPr>
        <w:ind w:left="420"/>
      </w:pPr>
    </w:p>
    <w:p w14:paraId="0591FCE0">
      <w:pPr>
        <w:ind w:left="420"/>
      </w:pPr>
    </w:p>
    <w:p w14:paraId="1DEA77FC">
      <w:pPr>
        <w:ind w:left="420"/>
      </w:pPr>
    </w:p>
    <w:p w14:paraId="3684B2CF">
      <w:pPr>
        <w:ind w:left="420"/>
      </w:pPr>
    </w:p>
    <w:p w14:paraId="44459BEE">
      <w:pPr>
        <w:ind w:left="420"/>
      </w:pPr>
    </w:p>
    <w:p w14:paraId="079C70B3">
      <w:pPr>
        <w:ind w:left="420"/>
      </w:pPr>
    </w:p>
    <w:p w14:paraId="140A888C">
      <w:pPr>
        <w:ind w:left="420"/>
      </w:pPr>
    </w:p>
    <w:p w14:paraId="31036CD3">
      <w:pPr>
        <w:ind w:left="420"/>
      </w:pPr>
    </w:p>
    <w:p w14:paraId="74DCAB56">
      <w:pPr>
        <w:ind w:left="420"/>
      </w:pPr>
    </w:p>
    <w:p w14:paraId="5C23B194">
      <w:pPr>
        <w:ind w:left="420"/>
      </w:pPr>
    </w:p>
    <w:p w14:paraId="32D8FF20">
      <w:pPr>
        <w:ind w:left="420"/>
      </w:pPr>
    </w:p>
    <w:p w14:paraId="144CB2EE">
      <w:pPr>
        <w:ind w:left="420"/>
      </w:pPr>
    </w:p>
    <w:p w14:paraId="0D3DA744">
      <w:pPr>
        <w:ind w:left="420"/>
      </w:pPr>
    </w:p>
    <w:p w14:paraId="11784932">
      <w:pPr>
        <w:ind w:left="420"/>
      </w:pPr>
    </w:p>
    <w:p w14:paraId="4DE258A3">
      <w:pPr>
        <w:ind w:left="420"/>
      </w:pPr>
    </w:p>
    <w:p w14:paraId="06B12A3D">
      <w:pPr>
        <w:ind w:left="420"/>
      </w:pPr>
    </w:p>
    <w:p w14:paraId="05B73D31">
      <w:pPr>
        <w:ind w:left="420"/>
      </w:pPr>
    </w:p>
    <w:p w14:paraId="1240C490">
      <w:pPr>
        <w:ind w:left="420"/>
      </w:pPr>
    </w:p>
    <w:p w14:paraId="63A4B98D">
      <w:pPr>
        <w:ind w:left="420"/>
      </w:pPr>
    </w:p>
    <w:p w14:paraId="0483E090">
      <w:pPr>
        <w:ind w:left="420"/>
      </w:pPr>
    </w:p>
    <w:p w14:paraId="5AFAC520">
      <w:pPr>
        <w:ind w:left="420"/>
      </w:pPr>
    </w:p>
    <w:p w14:paraId="24C805AB">
      <w:pPr>
        <w:ind w:left="420"/>
      </w:pPr>
    </w:p>
    <w:p w14:paraId="735AE429">
      <w:pPr>
        <w:ind w:left="420"/>
      </w:pPr>
    </w:p>
    <w:p w14:paraId="42023165">
      <w:pPr>
        <w:ind w:left="420"/>
      </w:pPr>
    </w:p>
    <w:p w14:paraId="58EE6F52">
      <w:pPr>
        <w:ind w:left="420"/>
      </w:pPr>
    </w:p>
    <w:p w14:paraId="4AE42D4A">
      <w:pPr>
        <w:ind w:left="420"/>
      </w:pPr>
    </w:p>
    <w:p w14:paraId="1BD6E622">
      <w:pPr>
        <w:ind w:left="420"/>
      </w:pPr>
    </w:p>
    <w:p w14:paraId="319C1BC4">
      <w:pPr>
        <w:ind w:left="420"/>
      </w:pPr>
    </w:p>
    <w:p w14:paraId="341C6C99">
      <w:pPr>
        <w:pStyle w:val="2"/>
        <w:jc w:val="center"/>
      </w:pPr>
      <w:bookmarkStart w:id="233" w:name="_Toc7881"/>
      <w:bookmarkStart w:id="234" w:name="_Toc16117"/>
      <w:bookmarkStart w:id="235" w:name="_Toc24875"/>
      <w:r>
        <w:rPr>
          <w:rFonts w:hint="eastAsia"/>
        </w:rPr>
        <w:t xml:space="preserve">第五章 </w:t>
      </w:r>
      <w:bookmarkEnd w:id="224"/>
      <w:bookmarkEnd w:id="225"/>
      <w:bookmarkEnd w:id="226"/>
      <w:bookmarkEnd w:id="227"/>
      <w:bookmarkEnd w:id="228"/>
      <w:r>
        <w:rPr>
          <w:rFonts w:hint="eastAsia"/>
        </w:rPr>
        <w:t>合同格式</w:t>
      </w:r>
      <w:bookmarkEnd w:id="229"/>
      <w:bookmarkEnd w:id="230"/>
      <w:bookmarkEnd w:id="231"/>
      <w:bookmarkEnd w:id="232"/>
      <w:bookmarkEnd w:id="233"/>
      <w:bookmarkEnd w:id="234"/>
      <w:bookmarkEnd w:id="235"/>
    </w:p>
    <w:p w14:paraId="75B63B1F">
      <w:bookmarkStart w:id="236" w:name="_Toc418782465"/>
      <w:bookmarkStart w:id="237" w:name="_Toc413404707"/>
      <w:bookmarkStart w:id="238" w:name="_Toc413372910"/>
      <w:bookmarkStart w:id="239" w:name="_Toc415494938"/>
      <w:bookmarkStart w:id="240" w:name="_Toc417738405"/>
      <w:bookmarkStart w:id="241" w:name="_Toc417739812"/>
      <w:bookmarkStart w:id="242" w:name="_Toc414383021"/>
      <w:bookmarkStart w:id="243" w:name="_Toc417740583"/>
      <w:bookmarkStart w:id="244" w:name="_Toc413373057"/>
      <w:bookmarkStart w:id="245" w:name="_Toc415496500"/>
      <w:bookmarkStart w:id="246" w:name="_Toc418782304"/>
      <w:bookmarkStart w:id="247" w:name="_Toc414383236"/>
    </w:p>
    <w:p w14:paraId="3106A22B"/>
    <w:p w14:paraId="671C8FCD"/>
    <w:p w14:paraId="330AAC08"/>
    <w:p w14:paraId="2FA3991A"/>
    <w:p w14:paraId="79BF7B12"/>
    <w:p w14:paraId="0DE09C4A"/>
    <w:p w14:paraId="46B10CF3"/>
    <w:p w14:paraId="2E11C0F9"/>
    <w:p w14:paraId="27C9A30B"/>
    <w:p w14:paraId="531F6427"/>
    <w:p w14:paraId="3A3DB361"/>
    <w:p w14:paraId="071E7C4C"/>
    <w:p w14:paraId="34390D77"/>
    <w:p w14:paraId="14DC873E"/>
    <w:p w14:paraId="5AB202A5"/>
    <w:p w14:paraId="2B003FC4"/>
    <w:p w14:paraId="58F566DE"/>
    <w:p w14:paraId="016B8F6C"/>
    <w:p w14:paraId="5EB012B4"/>
    <w:p w14:paraId="456A3108"/>
    <w:p w14:paraId="75F7B538"/>
    <w:p w14:paraId="54F9F054">
      <w:pPr>
        <w:spacing w:line="360" w:lineRule="auto"/>
        <w:ind w:firstLine="1044" w:firstLineChars="200"/>
        <w:jc w:val="center"/>
        <w:rPr>
          <w:rFonts w:ascii="宋体" w:hAnsi="宋体" w:cs="宋体"/>
          <w:b/>
          <w:bCs/>
          <w:color w:val="000000"/>
          <w:sz w:val="52"/>
          <w:szCs w:val="52"/>
        </w:rPr>
      </w:pPr>
      <w:r>
        <w:rPr>
          <w:rFonts w:hint="eastAsia" w:ascii="宋体" w:hAnsi="宋体" w:cs="宋体"/>
          <w:b/>
          <w:bCs/>
          <w:color w:val="000000"/>
          <w:sz w:val="52"/>
          <w:szCs w:val="52"/>
        </w:rPr>
        <w:t>合同书</w:t>
      </w:r>
    </w:p>
    <w:bookmarkEnd w:id="236"/>
    <w:bookmarkEnd w:id="237"/>
    <w:bookmarkEnd w:id="238"/>
    <w:bookmarkEnd w:id="239"/>
    <w:bookmarkEnd w:id="240"/>
    <w:bookmarkEnd w:id="241"/>
    <w:bookmarkEnd w:id="242"/>
    <w:bookmarkEnd w:id="243"/>
    <w:bookmarkEnd w:id="244"/>
    <w:bookmarkEnd w:id="245"/>
    <w:bookmarkEnd w:id="246"/>
    <w:bookmarkEnd w:id="247"/>
    <w:p w14:paraId="5C8E700C"/>
    <w:p w14:paraId="02B114C0">
      <w:pPr>
        <w:spacing w:line="360" w:lineRule="auto"/>
        <w:rPr>
          <w:rFonts w:ascii="宋体" w:hAnsi="宋体" w:cs="宋体"/>
          <w:color w:val="000000"/>
          <w:sz w:val="24"/>
        </w:rPr>
      </w:pPr>
      <w:bookmarkStart w:id="248" w:name="_Toc50691025"/>
      <w:bookmarkStart w:id="249" w:name="_Toc87417453"/>
      <w:bookmarkStart w:id="250" w:name="_Toc50736471"/>
      <w:bookmarkStart w:id="251" w:name="_Toc50737323"/>
      <w:bookmarkStart w:id="252" w:name="_Toc50737291"/>
      <w:bookmarkStart w:id="253" w:name="_Toc423021953"/>
      <w:bookmarkStart w:id="254" w:name="_Toc372468321"/>
      <w:bookmarkStart w:id="255" w:name="_Toc182886662"/>
      <w:bookmarkStart w:id="256" w:name="_Toc183316722"/>
      <w:bookmarkStart w:id="257" w:name="_Toc168288374"/>
      <w:r>
        <w:rPr>
          <w:rFonts w:hint="eastAsia" w:ascii="宋体" w:hAnsi="宋体" w:cs="宋体"/>
          <w:color w:val="000000"/>
          <w:sz w:val="24"/>
        </w:rPr>
        <w:t>甲方（招标人）：</w:t>
      </w:r>
    </w:p>
    <w:p w14:paraId="08558B4A">
      <w:pPr>
        <w:spacing w:line="360" w:lineRule="auto"/>
        <w:rPr>
          <w:rFonts w:ascii="宋体" w:hAnsi="宋体" w:cs="宋体"/>
          <w:color w:val="000000"/>
          <w:sz w:val="24"/>
        </w:rPr>
      </w:pPr>
      <w:r>
        <w:rPr>
          <w:rFonts w:hint="eastAsia" w:ascii="宋体" w:hAnsi="宋体" w:cs="宋体"/>
          <w:color w:val="000000"/>
          <w:sz w:val="24"/>
        </w:rPr>
        <w:t>乙方（中标人）：</w:t>
      </w:r>
    </w:p>
    <w:p w14:paraId="704DF7D9">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民法典》及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14:paraId="00DC2E47">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合同标的</w:t>
      </w:r>
    </w:p>
    <w:p w14:paraId="0BAB0EFC">
      <w:pPr>
        <w:spacing w:line="360" w:lineRule="auto"/>
        <w:ind w:firstLine="426"/>
        <w:rPr>
          <w:rFonts w:ascii="宋体" w:hAnsi="宋体" w:cs="宋体"/>
          <w:color w:val="000000"/>
          <w:sz w:val="24"/>
        </w:rPr>
      </w:pPr>
      <w:r>
        <w:rPr>
          <w:rFonts w:hint="eastAsia" w:ascii="宋体" w:hAnsi="宋体" w:cs="宋体"/>
          <w:color w:val="000000"/>
          <w:sz w:val="24"/>
        </w:rPr>
        <w:t>乙方根据甲方要求提供以下货物及服务：</w:t>
      </w:r>
      <w:r>
        <w:rPr>
          <w:rFonts w:hint="eastAsia" w:ascii="宋体" w:hAnsi="宋体" w:eastAsia="宋体" w:cs="宋体"/>
          <w:sz w:val="24"/>
        </w:rPr>
        <w:t>生产零配件、耗材和设备维修服务（采购清单详见附件）。</w:t>
      </w:r>
    </w:p>
    <w:p w14:paraId="6E5D190C">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合同下浮率：</w:t>
      </w:r>
      <w:r>
        <w:rPr>
          <w:rFonts w:hint="eastAsia" w:ascii="宋体" w:hAnsi="宋体" w:cs="宋体"/>
          <w:b/>
          <w:color w:val="000000"/>
          <w:sz w:val="24"/>
          <w:u w:val="single"/>
        </w:rPr>
        <w:t xml:space="preserve">       </w:t>
      </w:r>
      <w:r>
        <w:rPr>
          <w:rFonts w:hint="eastAsia" w:ascii="宋体" w:hAnsi="宋体" w:cs="宋体"/>
          <w:b/>
          <w:color w:val="000000"/>
          <w:sz w:val="24"/>
        </w:rPr>
        <w:t xml:space="preserve"> % 。</w:t>
      </w:r>
    </w:p>
    <w:p w14:paraId="497429CC">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基本要求</w:t>
      </w:r>
    </w:p>
    <w:p w14:paraId="0A3AA01D">
      <w:pPr>
        <w:numPr>
          <w:ilvl w:val="0"/>
          <w:numId w:val="67"/>
        </w:numPr>
        <w:spacing w:line="360" w:lineRule="auto"/>
        <w:rPr>
          <w:rFonts w:ascii="宋体" w:hAnsi="宋体" w:eastAsia="宋体" w:cs="宋体"/>
          <w:sz w:val="24"/>
        </w:rPr>
      </w:pPr>
      <w:r>
        <w:rPr>
          <w:rFonts w:hint="eastAsia" w:ascii="宋体" w:hAnsi="宋体" w:eastAsia="宋体" w:cs="宋体"/>
          <w:sz w:val="24"/>
        </w:rPr>
        <w:t>零配件的范围:设备配件耗材、电控、马达、电脑主板、机针类、冲裁板、油品、小工具、工模夹具、衣车灯等日常生产所需零配件(含PVC板、环氧树脂绝缘板、刀片等工具、材料) ，含电脑裁床、手动裁床设备所需零配件（刀片、轴承、皮带、磨砂轮等）、生产辅料等。</w:t>
      </w:r>
    </w:p>
    <w:p w14:paraId="51A8428D">
      <w:pPr>
        <w:numPr>
          <w:ilvl w:val="0"/>
          <w:numId w:val="67"/>
        </w:numPr>
        <w:spacing w:line="360" w:lineRule="auto"/>
        <w:rPr>
          <w:rFonts w:ascii="宋体" w:hAnsi="宋体" w:eastAsia="宋体" w:cs="宋体"/>
          <w:sz w:val="24"/>
        </w:rPr>
      </w:pPr>
      <w:r>
        <w:rPr>
          <w:rFonts w:hint="eastAsia" w:ascii="宋体" w:hAnsi="宋体" w:eastAsia="宋体" w:cs="宋体"/>
          <w:sz w:val="24"/>
        </w:rPr>
        <w:t>要求乙方在甲方设置零配件仓库，场地由甲方提供，甲方车间按需领用，每月据实结算。</w:t>
      </w:r>
    </w:p>
    <w:p w14:paraId="66E5F81F">
      <w:pPr>
        <w:numPr>
          <w:ilvl w:val="0"/>
          <w:numId w:val="67"/>
        </w:numPr>
        <w:spacing w:line="360" w:lineRule="auto"/>
        <w:rPr>
          <w:rFonts w:ascii="宋体" w:hAnsi="宋体" w:eastAsia="宋体" w:cs="宋体"/>
          <w:sz w:val="24"/>
        </w:rPr>
      </w:pPr>
      <w:r>
        <w:rPr>
          <w:rFonts w:hint="eastAsia" w:ascii="宋体" w:hAnsi="宋体" w:eastAsia="宋体" w:cs="宋体"/>
          <w:sz w:val="24"/>
        </w:rPr>
        <w:t>要求甲方派驻2名机修工开展设备维修服务。</w:t>
      </w:r>
    </w:p>
    <w:p w14:paraId="2861A8DE">
      <w:pPr>
        <w:numPr>
          <w:ilvl w:val="0"/>
          <w:numId w:val="67"/>
        </w:numPr>
        <w:spacing w:line="360" w:lineRule="auto"/>
        <w:rPr>
          <w:rFonts w:ascii="宋体" w:hAnsi="宋体" w:eastAsia="宋体" w:cs="宋体"/>
          <w:sz w:val="24"/>
        </w:rPr>
      </w:pPr>
      <w:r>
        <w:rPr>
          <w:rFonts w:hint="eastAsia" w:ascii="宋体" w:hAnsi="宋体" w:eastAsia="宋体" w:cs="宋体"/>
          <w:sz w:val="24"/>
        </w:rPr>
        <w:t>机器设备核心配件必须使用原厂原品牌配件(如供应商擅自使用非原厂原品牌配件造成甲方机器损坏的，需按原价赔偿)。设备的普通配件及耗材参照国家或行业标准，以及甲方生产的实际需要配置，以满足甲方车间需求为准。</w:t>
      </w:r>
    </w:p>
    <w:p w14:paraId="094F5F50">
      <w:pPr>
        <w:numPr>
          <w:ilvl w:val="0"/>
          <w:numId w:val="67"/>
        </w:numPr>
        <w:spacing w:line="360" w:lineRule="auto"/>
        <w:rPr>
          <w:rFonts w:ascii="宋体" w:hAnsi="宋体" w:eastAsia="宋体" w:cs="宋体"/>
          <w:sz w:val="24"/>
        </w:rPr>
      </w:pPr>
      <w:r>
        <w:rPr>
          <w:rFonts w:hint="eastAsia" w:ascii="宋体" w:hAnsi="宋体" w:eastAsia="宋体" w:cs="宋体"/>
          <w:sz w:val="24"/>
        </w:rPr>
        <w:t>乙方所投货物必须是原装、全新的产品，符合国家以及该产品的出厂标准。</w:t>
      </w:r>
    </w:p>
    <w:p w14:paraId="523E9970">
      <w:pPr>
        <w:numPr>
          <w:ilvl w:val="0"/>
          <w:numId w:val="67"/>
        </w:numPr>
        <w:spacing w:line="360" w:lineRule="auto"/>
        <w:rPr>
          <w:rFonts w:ascii="宋体" w:hAnsi="宋体" w:eastAsia="宋体" w:cs="宋体"/>
          <w:sz w:val="24"/>
        </w:rPr>
      </w:pPr>
      <w:r>
        <w:rPr>
          <w:rFonts w:hint="eastAsia" w:ascii="宋体" w:hAnsi="宋体" w:eastAsia="宋体" w:cs="宋体"/>
          <w:sz w:val="24"/>
        </w:rPr>
        <w:t>乙方所投货物必须使用环保材料并符合国家环保要求及标准。</w:t>
      </w:r>
    </w:p>
    <w:p w14:paraId="54284E3B">
      <w:pPr>
        <w:numPr>
          <w:ilvl w:val="0"/>
          <w:numId w:val="67"/>
        </w:numPr>
        <w:spacing w:line="360" w:lineRule="auto"/>
        <w:rPr>
          <w:rFonts w:ascii="宋体" w:hAnsi="宋体" w:eastAsia="宋体" w:cs="宋体"/>
          <w:sz w:val="24"/>
        </w:rPr>
      </w:pPr>
      <w:r>
        <w:rPr>
          <w:rFonts w:hint="eastAsia" w:ascii="宋体" w:hAnsi="宋体" w:eastAsia="宋体" w:cs="宋体"/>
          <w:sz w:val="24"/>
        </w:rPr>
        <w:t>由甲方对货物的质量、规格、数量和运行状况及其他进行检验。如发现质量、规格、数量和运行状况等任何一项与招标要求规定不符，甲方有权拒绝验收。</w:t>
      </w:r>
    </w:p>
    <w:p w14:paraId="3C27BC0A">
      <w:pPr>
        <w:numPr>
          <w:ilvl w:val="0"/>
          <w:numId w:val="67"/>
        </w:numPr>
        <w:spacing w:line="360" w:lineRule="auto"/>
        <w:rPr>
          <w:rFonts w:ascii="宋体" w:hAnsi="宋体" w:eastAsia="宋体" w:cs="宋体"/>
          <w:sz w:val="24"/>
        </w:rPr>
      </w:pPr>
      <w:r>
        <w:rPr>
          <w:rFonts w:hint="eastAsia" w:ascii="宋体" w:hAnsi="宋体" w:eastAsia="宋体" w:cs="宋体"/>
          <w:sz w:val="24"/>
        </w:rPr>
        <w:t>本项目采购价格包含产品、运输、装卸、安装、售后服务、维修服务、税金等一切费用，价格精确到分。</w:t>
      </w:r>
    </w:p>
    <w:p w14:paraId="08830859">
      <w:pPr>
        <w:numPr>
          <w:ilvl w:val="0"/>
          <w:numId w:val="67"/>
        </w:numPr>
        <w:spacing w:line="360" w:lineRule="auto"/>
        <w:rPr>
          <w:rFonts w:ascii="宋体" w:hAnsi="宋体" w:eastAsia="宋体" w:cs="宋体"/>
          <w:sz w:val="24"/>
        </w:rPr>
      </w:pPr>
      <w:r>
        <w:rPr>
          <w:rFonts w:hint="eastAsia" w:ascii="宋体" w:hAnsi="宋体" w:eastAsia="宋体" w:cs="宋体"/>
          <w:sz w:val="24"/>
        </w:rPr>
        <w:t>合同价须包含所有可预见和不可预见的费用；鉴于设备和配件种类多，对于需求书中没有列出，而对生产需要和设备正常运行维护必不可少的且应属于设备配套的部件、配件等，正式合作中，由乙方提供新增项目补充报价文件，经甲方企业采购管理部门审核确认后，由甲方生产经营部门执行。</w:t>
      </w:r>
    </w:p>
    <w:p w14:paraId="0E8D9CE5">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交货及验收</w:t>
      </w:r>
    </w:p>
    <w:p w14:paraId="549DA034">
      <w:pPr>
        <w:numPr>
          <w:ilvl w:val="0"/>
          <w:numId w:val="68"/>
        </w:numPr>
        <w:spacing w:line="360" w:lineRule="auto"/>
        <w:rPr>
          <w:rFonts w:ascii="宋体" w:hAnsi="宋体" w:eastAsia="宋体" w:cs="宋体"/>
          <w:sz w:val="24"/>
        </w:rPr>
      </w:pPr>
      <w:r>
        <w:rPr>
          <w:rFonts w:hint="eastAsia" w:ascii="宋体" w:hAnsi="宋体" w:eastAsia="宋体" w:cs="宋体"/>
          <w:sz w:val="24"/>
        </w:rPr>
        <w:t>货物若有国家标准按照国家标准验收，若无国家标准按行业标准验收，货物必须是全新（原装）正品，表面无划伤，无碰撞，其技术规格、标准必须符合甲方需求和国家计量检测标准。</w:t>
      </w:r>
    </w:p>
    <w:p w14:paraId="7F340BCD">
      <w:pPr>
        <w:numPr>
          <w:ilvl w:val="0"/>
          <w:numId w:val="68"/>
        </w:numPr>
        <w:spacing w:line="360" w:lineRule="auto"/>
        <w:rPr>
          <w:rFonts w:ascii="宋体" w:hAnsi="宋体" w:eastAsia="宋体" w:cs="宋体"/>
          <w:sz w:val="24"/>
        </w:rPr>
      </w:pPr>
      <w:r>
        <w:rPr>
          <w:rFonts w:hint="eastAsia" w:ascii="宋体" w:hAnsi="宋体" w:eastAsia="宋体" w:cs="宋体"/>
          <w:sz w:val="24"/>
        </w:rPr>
        <w:t>验收主要由甲方车间进行验收，必要时邀请相关的专业人员或机构参与验收。因货物质量问题发生争议时，由本地质量技术监督部门鉴定。货物符合质量技术标准的，鉴定费由甲方承担；否则鉴定费由乙方承担。</w:t>
      </w:r>
    </w:p>
    <w:p w14:paraId="055ADBFA">
      <w:pPr>
        <w:numPr>
          <w:ilvl w:val="0"/>
          <w:numId w:val="68"/>
        </w:numPr>
        <w:spacing w:line="360" w:lineRule="auto"/>
        <w:rPr>
          <w:rFonts w:ascii="宋体" w:hAnsi="宋体" w:eastAsia="宋体" w:cs="宋体"/>
          <w:sz w:val="24"/>
        </w:rPr>
      </w:pPr>
      <w:r>
        <w:rPr>
          <w:rFonts w:hint="eastAsia" w:ascii="宋体" w:hAnsi="宋体" w:eastAsia="宋体" w:cs="宋体"/>
          <w:sz w:val="24"/>
        </w:rPr>
        <w:t>如因乙方配送错货物或者配送的货物质量达不到国家标准或者行业标准，造成甲方或者甲方合作客户有实际损失的，需由乙方按实际损失进行赔付，甲方直接从乙方履约保证金中扣除。</w:t>
      </w:r>
    </w:p>
    <w:p w14:paraId="42EE7964">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配送要求</w:t>
      </w:r>
    </w:p>
    <w:p w14:paraId="23219700">
      <w:pPr>
        <w:numPr>
          <w:ilvl w:val="0"/>
          <w:numId w:val="69"/>
        </w:numPr>
        <w:spacing w:line="360" w:lineRule="auto"/>
        <w:rPr>
          <w:rFonts w:ascii="宋体" w:hAnsi="宋体" w:eastAsia="宋体" w:cs="宋体"/>
          <w:sz w:val="24"/>
          <w:lang w:val="zh-CN"/>
        </w:rPr>
      </w:pPr>
      <w:r>
        <w:rPr>
          <w:rFonts w:hint="eastAsia" w:ascii="宋体" w:hAnsi="宋体" w:eastAsia="宋体" w:cs="宋体"/>
          <w:sz w:val="24"/>
        </w:rPr>
        <w:t>乙方</w:t>
      </w:r>
      <w:r>
        <w:rPr>
          <w:rFonts w:hint="eastAsia" w:ascii="宋体" w:hAnsi="宋体" w:eastAsia="宋体" w:cs="宋体"/>
          <w:sz w:val="24"/>
          <w:lang w:val="zh-CN"/>
        </w:rPr>
        <w:t>应在</w:t>
      </w:r>
      <w:r>
        <w:rPr>
          <w:rFonts w:hint="eastAsia" w:ascii="宋体" w:hAnsi="宋体" w:eastAsia="宋体" w:cs="宋体"/>
          <w:sz w:val="24"/>
        </w:rPr>
        <w:t>甲方</w:t>
      </w:r>
      <w:r>
        <w:rPr>
          <w:rFonts w:hint="eastAsia" w:ascii="宋体" w:hAnsi="宋体" w:eastAsia="宋体" w:cs="宋体"/>
          <w:sz w:val="24"/>
          <w:lang w:val="zh-CN"/>
        </w:rPr>
        <w:t>设置零配件仓库，并了解</w:t>
      </w:r>
      <w:r>
        <w:rPr>
          <w:rFonts w:hint="eastAsia" w:ascii="宋体" w:hAnsi="宋体" w:eastAsia="宋体" w:cs="宋体"/>
          <w:sz w:val="24"/>
        </w:rPr>
        <w:t>甲方</w:t>
      </w:r>
      <w:r>
        <w:rPr>
          <w:rFonts w:hint="eastAsia" w:ascii="宋体" w:hAnsi="宋体" w:eastAsia="宋体" w:cs="宋体"/>
          <w:sz w:val="24"/>
          <w:lang w:val="zh-CN"/>
        </w:rPr>
        <w:t>设备品类，备足常用易耗件和磨损件（机针、压脚、梭套、梭芯、牙齿、针板、衣车油等），</w:t>
      </w:r>
      <w:r>
        <w:rPr>
          <w:rFonts w:hint="eastAsia" w:ascii="宋体" w:hAnsi="宋体" w:eastAsia="宋体" w:cs="宋体"/>
          <w:sz w:val="24"/>
        </w:rPr>
        <w:t>甲方</w:t>
      </w:r>
      <w:r>
        <w:rPr>
          <w:rFonts w:hint="eastAsia" w:ascii="宋体" w:hAnsi="宋体" w:eastAsia="宋体" w:cs="宋体"/>
          <w:sz w:val="24"/>
          <w:lang w:val="zh-CN"/>
        </w:rPr>
        <w:t>车间根据生产实际需要，凭领用单到零配件仓库领用。</w:t>
      </w:r>
    </w:p>
    <w:p w14:paraId="16DDB21B">
      <w:pPr>
        <w:numPr>
          <w:ilvl w:val="0"/>
          <w:numId w:val="69"/>
        </w:numPr>
        <w:spacing w:line="360" w:lineRule="auto"/>
        <w:rPr>
          <w:rFonts w:ascii="宋体" w:hAnsi="宋体" w:eastAsia="宋体" w:cs="宋体"/>
          <w:sz w:val="24"/>
          <w:lang w:val="zh-CN"/>
        </w:rPr>
      </w:pPr>
      <w:r>
        <w:rPr>
          <w:rFonts w:hint="eastAsia" w:ascii="宋体" w:hAnsi="宋体" w:eastAsia="宋体" w:cs="宋体"/>
          <w:sz w:val="24"/>
        </w:rPr>
        <w:t>甲方</w:t>
      </w:r>
      <w:r>
        <w:rPr>
          <w:rFonts w:hint="eastAsia" w:ascii="宋体" w:hAnsi="宋体" w:eastAsia="宋体" w:cs="宋体"/>
          <w:sz w:val="24"/>
          <w:lang w:val="zh-CN"/>
        </w:rPr>
        <w:t>因设备突发故障，或因生产需要急用的零配件，在</w:t>
      </w:r>
      <w:r>
        <w:rPr>
          <w:rFonts w:hint="eastAsia" w:ascii="宋体" w:hAnsi="宋体" w:eastAsia="宋体" w:cs="宋体"/>
          <w:sz w:val="24"/>
        </w:rPr>
        <w:t>甲方</w:t>
      </w:r>
      <w:r>
        <w:rPr>
          <w:rFonts w:hint="eastAsia" w:ascii="宋体" w:hAnsi="宋体" w:eastAsia="宋体" w:cs="宋体"/>
          <w:sz w:val="24"/>
          <w:lang w:val="zh-CN"/>
        </w:rPr>
        <w:t>提出需求后，无特殊情况</w:t>
      </w:r>
      <w:r>
        <w:rPr>
          <w:rFonts w:hint="eastAsia" w:ascii="宋体" w:hAnsi="宋体" w:eastAsia="宋体" w:cs="宋体"/>
          <w:sz w:val="24"/>
        </w:rPr>
        <w:t>乙方</w:t>
      </w:r>
      <w:r>
        <w:rPr>
          <w:rFonts w:hint="eastAsia" w:ascii="宋体" w:hAnsi="宋体" w:eastAsia="宋体" w:cs="宋体"/>
          <w:sz w:val="24"/>
          <w:lang w:val="zh-CN"/>
        </w:rPr>
        <w:t>应在三天内完成供货。</w:t>
      </w:r>
    </w:p>
    <w:p w14:paraId="7569178F">
      <w:pPr>
        <w:numPr>
          <w:ilvl w:val="0"/>
          <w:numId w:val="69"/>
        </w:numPr>
        <w:spacing w:line="360" w:lineRule="auto"/>
        <w:rPr>
          <w:rFonts w:ascii="宋体" w:hAnsi="宋体" w:eastAsia="宋体" w:cs="宋体"/>
          <w:sz w:val="24"/>
          <w:lang w:val="zh-CN"/>
        </w:rPr>
      </w:pPr>
      <w:r>
        <w:rPr>
          <w:rFonts w:hint="eastAsia" w:ascii="宋体" w:hAnsi="宋体" w:eastAsia="宋体" w:cs="宋体"/>
          <w:sz w:val="24"/>
          <w:lang w:val="zh-CN"/>
        </w:rPr>
        <w:t>对于不符合质量的品种</w:t>
      </w:r>
      <w:r>
        <w:rPr>
          <w:rFonts w:hint="eastAsia" w:ascii="宋体" w:hAnsi="宋体" w:eastAsia="宋体" w:cs="宋体"/>
          <w:sz w:val="24"/>
        </w:rPr>
        <w:t>甲方</w:t>
      </w:r>
      <w:r>
        <w:rPr>
          <w:rFonts w:hint="eastAsia" w:ascii="宋体" w:hAnsi="宋体" w:eastAsia="宋体" w:cs="宋体"/>
          <w:sz w:val="24"/>
          <w:lang w:val="zh-CN"/>
        </w:rPr>
        <w:t>可退货或换货（由于产品质量造成安全事故时，</w:t>
      </w:r>
      <w:r>
        <w:rPr>
          <w:rFonts w:hint="eastAsia" w:ascii="宋体" w:hAnsi="宋体" w:eastAsia="宋体" w:cs="宋体"/>
          <w:sz w:val="24"/>
        </w:rPr>
        <w:t>乙方</w:t>
      </w:r>
      <w:r>
        <w:rPr>
          <w:rFonts w:hint="eastAsia" w:ascii="宋体" w:hAnsi="宋体" w:eastAsia="宋体" w:cs="宋体"/>
          <w:sz w:val="24"/>
          <w:lang w:val="zh-CN"/>
        </w:rPr>
        <w:t>须承担全部责任），如有需要更换零配件，</w:t>
      </w:r>
      <w:r>
        <w:rPr>
          <w:rFonts w:hint="eastAsia" w:ascii="宋体" w:hAnsi="宋体" w:eastAsia="宋体" w:cs="宋体"/>
          <w:sz w:val="24"/>
        </w:rPr>
        <w:t>乙方</w:t>
      </w:r>
      <w:r>
        <w:rPr>
          <w:rFonts w:hint="eastAsia" w:ascii="宋体" w:hAnsi="宋体" w:eastAsia="宋体" w:cs="宋体"/>
          <w:sz w:val="24"/>
          <w:lang w:val="zh-CN"/>
        </w:rPr>
        <w:t>需在三天内更换完。</w:t>
      </w:r>
    </w:p>
    <w:p w14:paraId="02EBACDB">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设备维修服务要求</w:t>
      </w:r>
    </w:p>
    <w:p w14:paraId="02ED1DDA">
      <w:pPr>
        <w:numPr>
          <w:ilvl w:val="0"/>
          <w:numId w:val="70"/>
        </w:numPr>
        <w:spacing w:line="360" w:lineRule="auto"/>
        <w:rPr>
          <w:rFonts w:ascii="宋体" w:hAnsi="宋体" w:eastAsia="宋体" w:cs="宋体"/>
          <w:sz w:val="24"/>
          <w:lang w:val="zh-CN"/>
        </w:rPr>
      </w:pPr>
      <w:r>
        <w:rPr>
          <w:rFonts w:hint="eastAsia" w:ascii="宋体" w:hAnsi="宋体" w:eastAsia="宋体" w:cs="宋体"/>
          <w:sz w:val="24"/>
        </w:rPr>
        <w:t>乙方</w:t>
      </w:r>
      <w:r>
        <w:rPr>
          <w:rFonts w:hint="eastAsia" w:ascii="宋体" w:hAnsi="宋体" w:eastAsia="宋体" w:cs="宋体"/>
          <w:sz w:val="24"/>
          <w:lang w:val="zh-CN"/>
        </w:rPr>
        <w:t>提供车缝项目生产设备维修服务，并提供车缝项目（服装、鞋面）生产设备机修工2名，要求驻场服务，每周跟随</w:t>
      </w:r>
      <w:r>
        <w:rPr>
          <w:rFonts w:hint="eastAsia" w:ascii="宋体" w:hAnsi="宋体" w:eastAsia="宋体" w:cs="宋体"/>
          <w:sz w:val="24"/>
        </w:rPr>
        <w:t>甲方</w:t>
      </w:r>
      <w:r>
        <w:rPr>
          <w:rFonts w:hint="eastAsia" w:ascii="宋体" w:hAnsi="宋体" w:eastAsia="宋体" w:cs="宋体"/>
          <w:sz w:val="24"/>
          <w:lang w:val="zh-CN"/>
        </w:rPr>
        <w:t>的开工劳动时间（原则上每周不少于</w:t>
      </w:r>
      <w:r>
        <w:rPr>
          <w:rFonts w:hint="eastAsia" w:ascii="宋体" w:hAnsi="宋体" w:eastAsia="宋体" w:cs="宋体"/>
          <w:sz w:val="24"/>
        </w:rPr>
        <w:t>5.5天</w:t>
      </w:r>
      <w:r>
        <w:rPr>
          <w:rFonts w:hint="eastAsia" w:ascii="宋体" w:hAnsi="宋体" w:eastAsia="宋体" w:cs="宋体"/>
          <w:sz w:val="24"/>
          <w:lang w:val="zh-CN"/>
        </w:rPr>
        <w:t>），到</w:t>
      </w:r>
      <w:r>
        <w:rPr>
          <w:rFonts w:hint="eastAsia" w:ascii="宋体" w:hAnsi="宋体" w:eastAsia="宋体" w:cs="宋体"/>
          <w:sz w:val="24"/>
        </w:rPr>
        <w:t>甲方</w:t>
      </w:r>
      <w:r>
        <w:rPr>
          <w:rFonts w:hint="eastAsia" w:ascii="宋体" w:hAnsi="宋体" w:eastAsia="宋体" w:cs="宋体"/>
          <w:sz w:val="24"/>
          <w:lang w:val="zh-CN"/>
        </w:rPr>
        <w:t>指定车间进行设备维修维护并提供技术指导服务。</w:t>
      </w:r>
    </w:p>
    <w:p w14:paraId="032C6CCD">
      <w:pPr>
        <w:numPr>
          <w:ilvl w:val="0"/>
          <w:numId w:val="70"/>
        </w:numPr>
        <w:spacing w:line="360" w:lineRule="auto"/>
        <w:rPr>
          <w:rFonts w:ascii="宋体" w:hAnsi="宋体" w:eastAsia="宋体" w:cs="宋体"/>
          <w:sz w:val="24"/>
          <w:lang w:val="zh-CN"/>
        </w:rPr>
      </w:pPr>
      <w:r>
        <w:rPr>
          <w:rFonts w:hint="eastAsia" w:ascii="宋体" w:hAnsi="宋体" w:eastAsia="宋体" w:cs="宋体"/>
          <w:sz w:val="24"/>
        </w:rPr>
        <w:t>乙方</w:t>
      </w:r>
      <w:r>
        <w:rPr>
          <w:rFonts w:hint="eastAsia" w:ascii="宋体" w:hAnsi="宋体" w:eastAsia="宋体" w:cs="宋体"/>
          <w:sz w:val="24"/>
          <w:lang w:val="zh-CN"/>
        </w:rPr>
        <w:t>负责所有派驻人员的工资、福利、住宿、补贴、奖金、医疗、社保、意外伤害、税收等开支和所有服务风险。</w:t>
      </w:r>
    </w:p>
    <w:p w14:paraId="483505A2">
      <w:pPr>
        <w:numPr>
          <w:ilvl w:val="0"/>
          <w:numId w:val="70"/>
        </w:numPr>
        <w:spacing w:line="360" w:lineRule="auto"/>
        <w:rPr>
          <w:rFonts w:ascii="宋体" w:hAnsi="宋体" w:eastAsia="宋体" w:cs="宋体"/>
          <w:sz w:val="24"/>
          <w:lang w:val="zh-CN"/>
        </w:rPr>
      </w:pPr>
      <w:r>
        <w:rPr>
          <w:rFonts w:hint="eastAsia" w:ascii="宋体" w:hAnsi="宋体" w:eastAsia="宋体" w:cs="宋体"/>
          <w:sz w:val="24"/>
          <w:lang w:val="zh-CN"/>
        </w:rPr>
        <w:t>机修工应具备缝纫机器设备3年或以上维修经验，能够胜任各类衣车及自动化机器设备的维护保养、检查、维修的实施等工作。</w:t>
      </w:r>
    </w:p>
    <w:p w14:paraId="0354F6CD">
      <w:pPr>
        <w:numPr>
          <w:ilvl w:val="0"/>
          <w:numId w:val="70"/>
        </w:numPr>
        <w:spacing w:line="360" w:lineRule="auto"/>
        <w:rPr>
          <w:rFonts w:ascii="宋体" w:hAnsi="宋体" w:eastAsia="宋体" w:cs="宋体"/>
          <w:sz w:val="24"/>
          <w:lang w:val="zh-CN"/>
        </w:rPr>
      </w:pPr>
      <w:r>
        <w:rPr>
          <w:rFonts w:hint="eastAsia" w:ascii="宋体" w:hAnsi="宋体" w:eastAsia="宋体" w:cs="宋体"/>
          <w:sz w:val="24"/>
          <w:lang w:val="zh-CN"/>
        </w:rPr>
        <w:t>至少1名机修工熟悉衣车设备的电脑控制系统的设计原理、参数设定，能够根据生产需要进行设置、故障排除、维修。</w:t>
      </w:r>
    </w:p>
    <w:p w14:paraId="55E35653">
      <w:pPr>
        <w:numPr>
          <w:ilvl w:val="0"/>
          <w:numId w:val="70"/>
        </w:numPr>
        <w:spacing w:line="360" w:lineRule="auto"/>
        <w:rPr>
          <w:rFonts w:ascii="宋体" w:hAnsi="宋体" w:eastAsia="宋体" w:cs="宋体"/>
          <w:sz w:val="24"/>
          <w:lang w:val="zh-CN"/>
        </w:rPr>
      </w:pPr>
      <w:r>
        <w:rPr>
          <w:rFonts w:hint="eastAsia" w:ascii="宋体" w:hAnsi="宋体" w:eastAsia="宋体" w:cs="宋体"/>
          <w:sz w:val="24"/>
          <w:lang w:val="zh-CN"/>
        </w:rPr>
        <w:t>设备维修服务费用按月结算。结算价包含日常管理所发生的一切费用（不含设备维修所需更换的零配件费用，由甲方另行采购提供），包括但不限于：①工时费（设备维护、故障维修等费用）；②维修使用工具、设备及设备折旧费等；③人员培训费等项目所涉及的一切日常费用及供应商应承担的其他各项费用等；④用户需求书的工作内容、工作方式、各项要求、各项费用等的一切费用。</w:t>
      </w:r>
      <w:r>
        <w:rPr>
          <w:rFonts w:hint="eastAsia" w:ascii="宋体" w:hAnsi="宋体" w:eastAsia="宋体" w:cs="宋体"/>
          <w:sz w:val="24"/>
        </w:rPr>
        <w:t>⑤人员工资、社保、保险、福利、管理酬金、法定税费、管理用具、杂费等费用。</w:t>
      </w:r>
      <w:r>
        <w:rPr>
          <w:rFonts w:hint="eastAsia" w:ascii="宋体" w:hAnsi="宋体" w:eastAsia="宋体" w:cs="宋体"/>
          <w:sz w:val="24"/>
          <w:lang w:val="zh-CN"/>
        </w:rPr>
        <w:t>如果乙方在管理期限内出现的任何日常管理的遗漏项目，均由乙方负责，甲方不再支付任何费用。</w:t>
      </w:r>
    </w:p>
    <w:p w14:paraId="070D8487">
      <w:pPr>
        <w:numPr>
          <w:ilvl w:val="0"/>
          <w:numId w:val="70"/>
        </w:numPr>
        <w:spacing w:line="360" w:lineRule="auto"/>
        <w:rPr>
          <w:rFonts w:ascii="宋体" w:hAnsi="宋体" w:eastAsia="宋体" w:cs="宋体"/>
          <w:sz w:val="24"/>
          <w:lang w:val="zh-CN"/>
        </w:rPr>
      </w:pPr>
      <w:r>
        <w:rPr>
          <w:rFonts w:hint="eastAsia" w:ascii="宋体" w:hAnsi="宋体" w:eastAsia="宋体" w:cs="宋体"/>
          <w:sz w:val="24"/>
          <w:lang w:val="zh-CN"/>
        </w:rPr>
        <w:t>乙方须自行考虑本项目在实施期间的一切可能产生的费用。合同下浮率执行于整个服务期间，不因政策、市场等因素而调整，在合同执行过程中，甲方将不再另行支付与本项目相关的任何费用。</w:t>
      </w:r>
    </w:p>
    <w:p w14:paraId="0CA8BDD8">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lang w:eastAsia="zh-CN"/>
        </w:rPr>
        <w:t>履约保证金</w:t>
      </w:r>
    </w:p>
    <w:p w14:paraId="08CCEA53">
      <w:pPr>
        <w:widowControl/>
        <w:numPr>
          <w:ilvl w:val="-1"/>
          <w:numId w:val="0"/>
        </w:numPr>
        <w:spacing w:line="360" w:lineRule="auto"/>
        <w:ind w:left="0" w:firstLine="480" w:firstLineChars="200"/>
        <w:jc w:val="left"/>
        <w:rPr>
          <w:rFonts w:ascii="宋体" w:hAnsi="宋体" w:cs="宋体"/>
          <w:b/>
          <w:color w:val="000000"/>
          <w:sz w:val="24"/>
        </w:rPr>
      </w:pPr>
      <w:r>
        <w:rPr>
          <w:rFonts w:hint="eastAsia" w:ascii="宋体" w:hAnsi="宋体" w:eastAsia="宋体" w:cs="宋体"/>
          <w:sz w:val="24"/>
          <w:lang w:val="zh-CN"/>
        </w:rPr>
        <w:t>合同签订后五个工作日内，乙方须</w:t>
      </w:r>
      <w:r>
        <w:rPr>
          <w:rFonts w:hint="eastAsia" w:ascii="宋体" w:hAnsi="宋体" w:cs="宋体"/>
          <w:sz w:val="24"/>
        </w:rPr>
        <w:t>以支票、汇票、本票、保函（见索即付）等非现金方式</w:t>
      </w:r>
      <w:r>
        <w:rPr>
          <w:rFonts w:hint="eastAsia" w:ascii="宋体" w:hAnsi="宋体" w:eastAsia="宋体" w:cs="宋体"/>
          <w:sz w:val="24"/>
          <w:lang w:val="zh-CN"/>
        </w:rPr>
        <w:t>交纳人民币贰</w:t>
      </w:r>
      <w:r>
        <w:rPr>
          <w:rFonts w:hint="eastAsia" w:ascii="宋体" w:hAnsi="宋体" w:eastAsia="宋体" w:cs="宋体"/>
          <w:sz w:val="24"/>
        </w:rPr>
        <w:t>拾</w:t>
      </w:r>
      <w:r>
        <w:rPr>
          <w:rFonts w:hint="eastAsia" w:ascii="宋体" w:hAnsi="宋体" w:eastAsia="宋体" w:cs="宋体"/>
          <w:sz w:val="24"/>
          <w:lang w:val="zh-CN"/>
        </w:rPr>
        <w:t>万元（</w:t>
      </w:r>
      <w:r>
        <w:rPr>
          <w:rFonts w:hint="eastAsia" w:ascii="宋体" w:hAnsi="宋体" w:eastAsia="宋体" w:cs="宋体"/>
          <w:sz w:val="24"/>
        </w:rPr>
        <w:t>20</w:t>
      </w:r>
      <w:r>
        <w:rPr>
          <w:rFonts w:hint="eastAsia" w:ascii="宋体" w:hAnsi="宋体" w:eastAsia="宋体" w:cs="宋体"/>
          <w:sz w:val="24"/>
          <w:lang w:val="zh-CN"/>
        </w:rPr>
        <w:t>0000.00元）的履约保证金。在合同执行完毕后30日内，甲方一次性无息退还履约保证金。</w:t>
      </w:r>
    </w:p>
    <w:p w14:paraId="3F7A5226">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付款方式</w:t>
      </w:r>
    </w:p>
    <w:p w14:paraId="7D2BBD02">
      <w:pPr>
        <w:spacing w:line="360" w:lineRule="auto"/>
        <w:ind w:left="420"/>
        <w:rPr>
          <w:rFonts w:ascii="宋体" w:hAnsi="宋体" w:eastAsia="宋体" w:cs="宋体"/>
          <w:sz w:val="24"/>
        </w:rPr>
      </w:pPr>
      <w:r>
        <w:rPr>
          <w:rFonts w:hint="eastAsia" w:ascii="宋体" w:hAnsi="宋体" w:eastAsia="宋体" w:cs="宋体"/>
          <w:sz w:val="24"/>
        </w:rPr>
        <w:t>采用月结方式，由乙方开具增值税专用发票，票据齐全无误后办理付款。</w:t>
      </w:r>
    </w:p>
    <w:p w14:paraId="30A14ABD">
      <w:pPr>
        <w:numPr>
          <w:ilvl w:val="0"/>
          <w:numId w:val="71"/>
        </w:numPr>
        <w:spacing w:line="360" w:lineRule="auto"/>
        <w:rPr>
          <w:rFonts w:ascii="宋体" w:hAnsi="宋体" w:eastAsia="宋体" w:cs="宋体"/>
          <w:sz w:val="24"/>
          <w:lang w:val="zh-CN"/>
        </w:rPr>
      </w:pPr>
      <w:r>
        <w:rPr>
          <w:rFonts w:hint="eastAsia" w:ascii="宋体" w:hAnsi="宋体" w:eastAsia="宋体" w:cs="宋体"/>
          <w:sz w:val="24"/>
          <w:lang w:val="zh-CN"/>
        </w:rPr>
        <w:t>合同（第一次结算时提供）；</w:t>
      </w:r>
    </w:p>
    <w:p w14:paraId="3B0A35B3">
      <w:pPr>
        <w:numPr>
          <w:ilvl w:val="0"/>
          <w:numId w:val="71"/>
        </w:numPr>
        <w:spacing w:line="360" w:lineRule="auto"/>
        <w:rPr>
          <w:rFonts w:ascii="宋体" w:hAnsi="宋体" w:eastAsia="宋体" w:cs="宋体"/>
          <w:sz w:val="24"/>
          <w:lang w:val="zh-CN"/>
        </w:rPr>
      </w:pPr>
      <w:r>
        <w:rPr>
          <w:rFonts w:hint="eastAsia" w:ascii="宋体" w:hAnsi="宋体" w:eastAsia="宋体" w:cs="宋体"/>
          <w:sz w:val="24"/>
          <w:lang w:val="zh-CN"/>
        </w:rPr>
        <w:t>对公账号；</w:t>
      </w:r>
    </w:p>
    <w:p w14:paraId="0C61D508">
      <w:pPr>
        <w:numPr>
          <w:ilvl w:val="0"/>
          <w:numId w:val="71"/>
        </w:numPr>
        <w:spacing w:line="360" w:lineRule="auto"/>
        <w:rPr>
          <w:rFonts w:ascii="宋体" w:hAnsi="宋体" w:eastAsia="宋体" w:cs="宋体"/>
          <w:sz w:val="24"/>
          <w:lang w:val="zh-CN"/>
        </w:rPr>
      </w:pPr>
      <w:r>
        <w:rPr>
          <w:rFonts w:hint="eastAsia" w:ascii="宋体" w:hAnsi="宋体" w:eastAsia="宋体" w:cs="宋体"/>
          <w:sz w:val="24"/>
          <w:lang w:val="zh-CN"/>
        </w:rPr>
        <w:t>领用清单；</w:t>
      </w:r>
    </w:p>
    <w:p w14:paraId="693F620D">
      <w:pPr>
        <w:numPr>
          <w:ilvl w:val="0"/>
          <w:numId w:val="71"/>
        </w:numPr>
        <w:spacing w:line="360" w:lineRule="auto"/>
        <w:rPr>
          <w:rFonts w:ascii="宋体" w:hAnsi="宋体" w:eastAsia="宋体" w:cs="宋体"/>
          <w:sz w:val="24"/>
          <w:lang w:val="zh-CN"/>
        </w:rPr>
      </w:pPr>
      <w:r>
        <w:rPr>
          <w:rFonts w:hint="eastAsia" w:ascii="宋体" w:hAnsi="宋体" w:eastAsia="宋体" w:cs="宋体"/>
          <w:sz w:val="24"/>
          <w:lang w:val="zh-CN"/>
        </w:rPr>
        <w:t>开具增值税专用发票。</w:t>
      </w:r>
    </w:p>
    <w:p w14:paraId="2B9CFF9C">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违约责任</w:t>
      </w:r>
    </w:p>
    <w:p w14:paraId="3571ECA9">
      <w:pPr>
        <w:numPr>
          <w:ilvl w:val="0"/>
          <w:numId w:val="72"/>
        </w:numPr>
        <w:spacing w:line="360" w:lineRule="auto"/>
        <w:rPr>
          <w:rFonts w:ascii="宋体" w:hAnsi="宋体" w:eastAsia="宋体" w:cs="宋体"/>
          <w:sz w:val="24"/>
        </w:rPr>
      </w:pPr>
      <w:r>
        <w:rPr>
          <w:rFonts w:hint="eastAsia" w:ascii="宋体" w:hAnsi="宋体" w:eastAsia="宋体" w:cs="宋体"/>
          <w:sz w:val="24"/>
        </w:rPr>
        <w:t>乙方有以下行为，经调查属实的，</w:t>
      </w:r>
      <w:r>
        <w:rPr>
          <w:rFonts w:hint="eastAsia" w:ascii="宋体" w:hAnsi="宋体" w:eastAsia="宋体" w:cs="宋体"/>
          <w:sz w:val="24"/>
          <w:lang w:val="zh-CN"/>
        </w:rPr>
        <w:t>甲方</w:t>
      </w:r>
      <w:r>
        <w:rPr>
          <w:rFonts w:hint="eastAsia" w:ascii="宋体" w:hAnsi="宋体" w:eastAsia="宋体" w:cs="宋体"/>
          <w:sz w:val="24"/>
        </w:rPr>
        <w:t>将立即解除相关供应合同：</w:t>
      </w:r>
    </w:p>
    <w:p w14:paraId="1EB9552E">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弄虚作假，提供虚假材料取得中标供应资格的；</w:t>
      </w:r>
    </w:p>
    <w:p w14:paraId="539CDC5D">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中标供应项目有串标、转包、分包行为的；</w:t>
      </w:r>
    </w:p>
    <w:p w14:paraId="6316BF1F">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经营情况发生重大变更，已经不具备承接中标供应项目能力的；</w:t>
      </w:r>
    </w:p>
    <w:p w14:paraId="135BE1D6">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无正当理由拒绝履行合同的；</w:t>
      </w:r>
    </w:p>
    <w:p w14:paraId="489089A5">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有行贿、给回扣等不正当竞争行为的；</w:t>
      </w:r>
    </w:p>
    <w:p w14:paraId="71A35C53">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技术人员为劳动人员私传物品、信件、口信等违反管理规定的；</w:t>
      </w:r>
    </w:p>
    <w:p w14:paraId="63857BA8">
      <w:pPr>
        <w:numPr>
          <w:ilvl w:val="0"/>
          <w:numId w:val="73"/>
        </w:numPr>
        <w:spacing w:line="360" w:lineRule="auto"/>
        <w:rPr>
          <w:rFonts w:ascii="宋体" w:hAnsi="宋体" w:eastAsia="宋体" w:cs="宋体"/>
          <w:sz w:val="24"/>
          <w:lang w:val="zh-CN"/>
        </w:rPr>
      </w:pPr>
      <w:r>
        <w:rPr>
          <w:rFonts w:hint="eastAsia" w:ascii="宋体" w:hAnsi="宋体" w:eastAsia="宋体" w:cs="宋体"/>
          <w:sz w:val="24"/>
          <w:lang w:val="zh-CN"/>
        </w:rPr>
        <w:t>有其它违法违纪行为的。</w:t>
      </w:r>
    </w:p>
    <w:p w14:paraId="1C0D0685">
      <w:pPr>
        <w:numPr>
          <w:ilvl w:val="0"/>
          <w:numId w:val="72"/>
        </w:numPr>
        <w:spacing w:line="360" w:lineRule="auto"/>
        <w:rPr>
          <w:rFonts w:ascii="宋体" w:hAnsi="宋体" w:eastAsia="宋体" w:cs="宋体"/>
          <w:sz w:val="24"/>
        </w:rPr>
      </w:pPr>
      <w:r>
        <w:rPr>
          <w:rFonts w:hint="eastAsia" w:ascii="宋体" w:hAnsi="宋体" w:eastAsia="宋体" w:cs="宋体"/>
          <w:sz w:val="24"/>
        </w:rPr>
        <w:t>由于</w:t>
      </w:r>
      <w:r>
        <w:rPr>
          <w:rFonts w:hint="eastAsia" w:ascii="宋体" w:hAnsi="宋体" w:eastAsia="宋体" w:cs="宋体"/>
          <w:sz w:val="24"/>
          <w:lang w:val="zh-CN"/>
        </w:rPr>
        <w:t>甲方</w:t>
      </w:r>
      <w:r>
        <w:rPr>
          <w:rFonts w:hint="eastAsia" w:ascii="宋体" w:hAnsi="宋体" w:eastAsia="宋体" w:cs="宋体"/>
          <w:sz w:val="24"/>
        </w:rPr>
        <w:t>工作的特殊性，乙方应做好本单位工作人员的教育工作，遵守各项规定。</w:t>
      </w:r>
    </w:p>
    <w:p w14:paraId="35D8EBDE">
      <w:pPr>
        <w:numPr>
          <w:ilvl w:val="0"/>
          <w:numId w:val="72"/>
        </w:numPr>
        <w:spacing w:line="360" w:lineRule="auto"/>
        <w:rPr>
          <w:rFonts w:ascii="宋体" w:hAnsi="宋体" w:eastAsia="宋体" w:cs="宋体"/>
          <w:sz w:val="24"/>
        </w:rPr>
      </w:pPr>
      <w:r>
        <w:rPr>
          <w:rFonts w:hint="eastAsia" w:ascii="宋体" w:hAnsi="宋体" w:eastAsia="宋体" w:cs="宋体"/>
          <w:sz w:val="24"/>
          <w:lang w:val="zh-CN"/>
        </w:rPr>
        <w:t>甲方</w:t>
      </w:r>
      <w:r>
        <w:rPr>
          <w:rFonts w:hint="eastAsia" w:ascii="宋体" w:hAnsi="宋体" w:eastAsia="宋体" w:cs="宋体"/>
          <w:sz w:val="24"/>
        </w:rPr>
        <w:t>按合同进行严格验收，对不符合规格要求的商品，乙方必须无条件退货或更换。</w:t>
      </w:r>
    </w:p>
    <w:p w14:paraId="35845483">
      <w:pPr>
        <w:numPr>
          <w:ilvl w:val="0"/>
          <w:numId w:val="72"/>
        </w:numPr>
        <w:spacing w:line="360" w:lineRule="auto"/>
        <w:rPr>
          <w:rFonts w:ascii="宋体" w:hAnsi="宋体" w:eastAsia="宋体" w:cs="宋体"/>
          <w:sz w:val="24"/>
        </w:rPr>
      </w:pPr>
      <w:r>
        <w:rPr>
          <w:rFonts w:hint="eastAsia" w:ascii="宋体" w:hAnsi="宋体" w:eastAsia="宋体" w:cs="宋体"/>
          <w:sz w:val="24"/>
        </w:rPr>
        <w:t>发生以下任一情形，经调查属实的，第1次扣除10%履约保证金，第2次扣除30%履约保证金，第3次</w:t>
      </w:r>
      <w:r>
        <w:rPr>
          <w:rFonts w:hint="eastAsia" w:ascii="宋体" w:hAnsi="宋体" w:eastAsia="宋体" w:cs="宋体"/>
          <w:sz w:val="24"/>
          <w:lang w:val="zh-CN"/>
        </w:rPr>
        <w:t>甲方</w:t>
      </w:r>
      <w:r>
        <w:rPr>
          <w:rFonts w:hint="eastAsia" w:ascii="宋体" w:hAnsi="宋体" w:eastAsia="宋体" w:cs="宋体"/>
          <w:sz w:val="24"/>
        </w:rPr>
        <w:t>将有权解除相关供应合同。</w:t>
      </w:r>
    </w:p>
    <w:p w14:paraId="78AFCA6A">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未按要求随货提供相关票证单据类；</w:t>
      </w:r>
    </w:p>
    <w:p w14:paraId="0D29B4DD">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货物质量验收不合格；</w:t>
      </w:r>
    </w:p>
    <w:p w14:paraId="61D88A20">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未按甲方采购计划时间和数量供货，造成甲方生产无法正常进行的；（提前与甲方协商且未影响正常生产的除外）；</w:t>
      </w:r>
    </w:p>
    <w:p w14:paraId="3625F323">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供货数量为甲方采购计划数量的90%以下且影响正常生产使用的；</w:t>
      </w:r>
    </w:p>
    <w:p w14:paraId="76A28346">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未按甲方指定地点、秩序卸货；</w:t>
      </w:r>
    </w:p>
    <w:p w14:paraId="081D8C08">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货物出现质量问题，供应商不积极配合查找原因，不及时反馈处理结果；</w:t>
      </w:r>
    </w:p>
    <w:p w14:paraId="60801014">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供应货物品种、品牌、型号规格或质量等级与合同不符；</w:t>
      </w:r>
    </w:p>
    <w:p w14:paraId="37FADBCC">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同一品种货物连续两次验收发现质量不合格产品并退货；</w:t>
      </w:r>
    </w:p>
    <w:p w14:paraId="4FC22DF0">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把甲方验收不合格退货的货物重新配送给采购方；</w:t>
      </w:r>
    </w:p>
    <w:p w14:paraId="41F06B22">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在包装、运输、装卸等环节不符合安全要求；</w:t>
      </w:r>
    </w:p>
    <w:p w14:paraId="1911842E">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组织机构发生调整，或经营场所、联系人、联系方式变更，未及时通知甲方业务部门，造成无法及时联系；</w:t>
      </w:r>
    </w:p>
    <w:p w14:paraId="35891C30">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乙方的工作人员不遵守甲方各项管理规定，或泄露甲方内部情况，造成社会不良影响。</w:t>
      </w:r>
    </w:p>
    <w:p w14:paraId="5B9994E7">
      <w:pPr>
        <w:numPr>
          <w:ilvl w:val="0"/>
          <w:numId w:val="74"/>
        </w:numPr>
        <w:spacing w:line="360" w:lineRule="auto"/>
        <w:rPr>
          <w:rFonts w:ascii="宋体" w:hAnsi="宋体" w:eastAsia="宋体" w:cs="宋体"/>
          <w:sz w:val="24"/>
          <w:lang w:val="zh-CN"/>
        </w:rPr>
      </w:pPr>
      <w:r>
        <w:rPr>
          <w:rFonts w:hint="eastAsia" w:ascii="宋体" w:hAnsi="宋体" w:eastAsia="宋体" w:cs="宋体"/>
          <w:sz w:val="24"/>
          <w:lang w:val="zh-CN"/>
        </w:rPr>
        <w:t>乙方对货物检查把关不严，造成现金、绳索、利器等甲方规定之危禁品流入，影响管理安全的。</w:t>
      </w:r>
    </w:p>
    <w:p w14:paraId="25968C60">
      <w:pPr>
        <w:pStyle w:val="55"/>
        <w:spacing w:line="360" w:lineRule="auto"/>
        <w:ind w:firstLine="360" w:firstLineChars="150"/>
        <w:rPr>
          <w:rFonts w:eastAsia="宋体" w:cs="宋体"/>
          <w:b w:val="0"/>
          <w:sz w:val="24"/>
          <w:szCs w:val="24"/>
        </w:rPr>
      </w:pPr>
      <w:r>
        <w:rPr>
          <w:rFonts w:hint="eastAsia" w:eastAsia="宋体" w:cs="宋体"/>
          <w:b w:val="0"/>
          <w:sz w:val="24"/>
          <w:szCs w:val="24"/>
        </w:rPr>
        <w:t>若同时出现上述履约保证金扣除情形，则仅按扣除数额最大的情形执行，不对同时出现的情形累计扣除履约保证金。</w:t>
      </w:r>
    </w:p>
    <w:p w14:paraId="10F959B6">
      <w:pPr>
        <w:numPr>
          <w:ilvl w:val="0"/>
          <w:numId w:val="72"/>
        </w:numPr>
        <w:spacing w:line="360" w:lineRule="auto"/>
        <w:rPr>
          <w:rFonts w:ascii="宋体" w:hAnsi="宋体" w:eastAsia="宋体" w:cs="宋体"/>
          <w:sz w:val="24"/>
        </w:rPr>
      </w:pPr>
      <w:r>
        <w:rPr>
          <w:rFonts w:hint="eastAsia" w:ascii="宋体" w:hAnsi="宋体" w:eastAsia="宋体" w:cs="宋体"/>
          <w:sz w:val="24"/>
        </w:rPr>
        <w:t>如在合同执行期间因</w:t>
      </w:r>
      <w:r>
        <w:rPr>
          <w:rFonts w:hint="eastAsia" w:ascii="宋体" w:hAnsi="宋体" w:eastAsia="宋体" w:cs="宋体"/>
          <w:sz w:val="24"/>
          <w:lang w:val="zh-CN"/>
        </w:rPr>
        <w:t>乙方</w:t>
      </w:r>
      <w:r>
        <w:rPr>
          <w:rFonts w:hint="eastAsia" w:ascii="宋体" w:hAnsi="宋体" w:eastAsia="宋体" w:cs="宋体"/>
          <w:sz w:val="24"/>
        </w:rPr>
        <w:t>违约导致履约保证金部分扣除，</w:t>
      </w:r>
      <w:r>
        <w:rPr>
          <w:rFonts w:hint="eastAsia" w:ascii="宋体" w:hAnsi="宋体" w:eastAsia="宋体" w:cs="宋体"/>
          <w:sz w:val="24"/>
          <w:lang w:val="zh-CN"/>
        </w:rPr>
        <w:t>乙方</w:t>
      </w:r>
      <w:r>
        <w:rPr>
          <w:rFonts w:hint="eastAsia" w:ascii="宋体" w:hAnsi="宋体" w:eastAsia="宋体" w:cs="宋体"/>
          <w:sz w:val="24"/>
        </w:rPr>
        <w:t>需在五个工作日内将扣除的履约保证金足额补齐。</w:t>
      </w:r>
    </w:p>
    <w:p w14:paraId="4105C0E9">
      <w:pPr>
        <w:numPr>
          <w:ilvl w:val="0"/>
          <w:numId w:val="72"/>
        </w:numPr>
        <w:spacing w:line="360" w:lineRule="auto"/>
        <w:rPr>
          <w:rFonts w:ascii="宋体" w:hAnsi="宋体" w:eastAsia="宋体" w:cs="宋体"/>
          <w:sz w:val="24"/>
        </w:rPr>
      </w:pPr>
      <w:r>
        <w:rPr>
          <w:rFonts w:hint="eastAsia" w:ascii="宋体" w:hAnsi="宋体" w:eastAsia="宋体" w:cs="宋体"/>
          <w:sz w:val="24"/>
        </w:rPr>
        <w:t>如</w:t>
      </w:r>
      <w:r>
        <w:rPr>
          <w:rFonts w:hint="eastAsia" w:ascii="宋体" w:hAnsi="宋体" w:eastAsia="宋体" w:cs="宋体"/>
          <w:sz w:val="24"/>
          <w:lang w:val="zh-CN"/>
        </w:rPr>
        <w:t>乙方</w:t>
      </w:r>
      <w:r>
        <w:rPr>
          <w:rFonts w:hint="eastAsia" w:ascii="宋体" w:hAnsi="宋体" w:eastAsia="宋体" w:cs="宋体"/>
          <w:sz w:val="24"/>
        </w:rPr>
        <w:t>在合同执行过程需终止执行合同的，需提前二个月以书面形式告知</w:t>
      </w:r>
      <w:r>
        <w:rPr>
          <w:rFonts w:hint="eastAsia" w:ascii="宋体" w:hAnsi="宋体" w:eastAsia="宋体" w:cs="宋体"/>
          <w:sz w:val="24"/>
          <w:lang w:val="zh-CN"/>
        </w:rPr>
        <w:t>甲方</w:t>
      </w:r>
      <w:r>
        <w:rPr>
          <w:rFonts w:hint="eastAsia" w:ascii="宋体" w:hAnsi="宋体" w:eastAsia="宋体" w:cs="宋体"/>
          <w:sz w:val="24"/>
        </w:rPr>
        <w:t>，否则按单方面终止执行合同处理，履约保证金不退还。</w:t>
      </w:r>
    </w:p>
    <w:p w14:paraId="2662A725">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不可抗力</w:t>
      </w:r>
    </w:p>
    <w:p w14:paraId="1140EF81">
      <w:pPr>
        <w:spacing w:line="360" w:lineRule="auto"/>
        <w:ind w:firstLine="424" w:firstLineChars="177"/>
        <w:rPr>
          <w:rFonts w:ascii="宋体" w:hAnsi="宋体" w:cs="宋体"/>
          <w:color w:val="000000"/>
          <w:sz w:val="24"/>
        </w:rPr>
      </w:pPr>
      <w:r>
        <w:rPr>
          <w:rFonts w:hint="eastAsia" w:ascii="宋体" w:hAnsi="宋体" w:cs="宋体"/>
          <w:color w:val="000000"/>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79B5DC6C">
      <w:pPr>
        <w:widowControl/>
        <w:numPr>
          <w:ilvl w:val="0"/>
          <w:numId w:val="66"/>
        </w:numPr>
        <w:tabs>
          <w:tab w:val="left" w:pos="1134"/>
        </w:tabs>
        <w:spacing w:line="360" w:lineRule="auto"/>
        <w:ind w:left="567" w:hanging="27"/>
        <w:jc w:val="left"/>
        <w:rPr>
          <w:rFonts w:ascii="宋体" w:hAnsi="宋体" w:cs="宋体"/>
          <w:b/>
          <w:color w:val="000000"/>
          <w:sz w:val="24"/>
        </w:rPr>
      </w:pPr>
      <w:r>
        <w:rPr>
          <w:rFonts w:hint="eastAsia" w:ascii="宋体" w:hAnsi="宋体" w:cs="宋体"/>
          <w:b/>
          <w:color w:val="000000"/>
          <w:sz w:val="24"/>
        </w:rPr>
        <w:t>争议及解决办法</w:t>
      </w:r>
    </w:p>
    <w:p w14:paraId="6E7CE9E4">
      <w:pPr>
        <w:widowControl/>
        <w:numPr>
          <w:ilvl w:val="0"/>
          <w:numId w:val="75"/>
        </w:numPr>
        <w:tabs>
          <w:tab w:val="left" w:pos="0"/>
          <w:tab w:val="left" w:pos="900"/>
          <w:tab w:val="clear" w:pos="420"/>
        </w:tabs>
        <w:spacing w:line="360" w:lineRule="auto"/>
        <w:ind w:left="0" w:firstLine="360"/>
        <w:jc w:val="left"/>
        <w:rPr>
          <w:rFonts w:ascii="宋体" w:hAnsi="宋体" w:cs="宋体"/>
          <w:color w:val="000000"/>
          <w:sz w:val="24"/>
        </w:rPr>
      </w:pPr>
      <w:r>
        <w:rPr>
          <w:rFonts w:hint="eastAsia" w:ascii="宋体" w:hAnsi="宋体" w:cs="宋体"/>
          <w:color w:val="000000"/>
          <w:sz w:val="24"/>
        </w:rPr>
        <w:t>因货物的质量问题发生争议，由项目所在地质量技术监督局或其指定的质量鉴定单位进行质量鉴定。货物符合质量标准的，鉴定费由甲方承担；货物不符合质量标准的，鉴定费由乙方承担。</w:t>
      </w:r>
    </w:p>
    <w:p w14:paraId="362E9853">
      <w:pPr>
        <w:widowControl/>
        <w:numPr>
          <w:ilvl w:val="0"/>
          <w:numId w:val="75"/>
        </w:numPr>
        <w:tabs>
          <w:tab w:val="left" w:pos="0"/>
          <w:tab w:val="left" w:pos="900"/>
          <w:tab w:val="clear" w:pos="420"/>
        </w:tabs>
        <w:spacing w:line="360" w:lineRule="auto"/>
        <w:ind w:left="0" w:firstLine="360"/>
        <w:jc w:val="left"/>
        <w:rPr>
          <w:rFonts w:ascii="宋体" w:hAnsi="宋体" w:cs="宋体"/>
          <w:color w:val="000000"/>
          <w:sz w:val="24"/>
        </w:rPr>
      </w:pPr>
      <w:r>
        <w:rPr>
          <w:rFonts w:hint="eastAsia" w:ascii="宋体" w:hAnsi="宋体" w:cs="宋体"/>
          <w:color w:val="000000"/>
          <w:sz w:val="24"/>
        </w:rPr>
        <w:t>本合同发生争议，由双方协商或由监管部门调解解决，协商或调解不成时按以下第</w:t>
      </w:r>
      <w:r>
        <w:rPr>
          <w:rFonts w:hint="eastAsia" w:ascii="宋体" w:hAnsi="宋体" w:cs="宋体"/>
          <w:color w:val="000000"/>
          <w:sz w:val="24"/>
          <w:u w:val="single"/>
        </w:rPr>
        <w:t xml:space="preserve">     </w:t>
      </w:r>
      <w:r>
        <w:rPr>
          <w:rFonts w:hint="eastAsia" w:ascii="宋体" w:hAnsi="宋体" w:cs="宋体"/>
          <w:color w:val="000000"/>
          <w:sz w:val="24"/>
        </w:rPr>
        <w:t>种方式解决（请选择）：</w:t>
      </w:r>
    </w:p>
    <w:p w14:paraId="2844CB59">
      <w:pPr>
        <w:widowControl/>
        <w:numPr>
          <w:ilvl w:val="2"/>
          <w:numId w:val="76"/>
        </w:numPr>
        <w:spacing w:line="360" w:lineRule="auto"/>
        <w:ind w:left="0" w:firstLine="480" w:firstLineChars="200"/>
        <w:jc w:val="left"/>
        <w:rPr>
          <w:rFonts w:ascii="宋体" w:hAnsi="宋体" w:cs="宋体"/>
          <w:color w:val="000000"/>
          <w:sz w:val="24"/>
        </w:rPr>
      </w:pPr>
      <w:r>
        <w:rPr>
          <w:rFonts w:hint="eastAsia" w:ascii="宋体" w:hAnsi="宋体" w:cs="宋体"/>
          <w:color w:val="000000"/>
          <w:sz w:val="24"/>
        </w:rPr>
        <w:t>项目所在地仲裁委员会仲裁；</w:t>
      </w:r>
    </w:p>
    <w:p w14:paraId="44AF0E7D">
      <w:pPr>
        <w:widowControl/>
        <w:numPr>
          <w:ilvl w:val="2"/>
          <w:numId w:val="76"/>
        </w:numPr>
        <w:spacing w:line="360" w:lineRule="auto"/>
        <w:ind w:left="0" w:firstLine="480" w:firstLineChars="200"/>
        <w:jc w:val="left"/>
        <w:rPr>
          <w:rFonts w:ascii="宋体" w:hAnsi="宋体" w:cs="宋体"/>
          <w:color w:val="000000"/>
          <w:sz w:val="24"/>
        </w:rPr>
      </w:pPr>
      <w:r>
        <w:rPr>
          <w:rFonts w:hint="eastAsia" w:ascii="宋体" w:hAnsi="宋体" w:cs="宋体"/>
          <w:color w:val="000000"/>
          <w:sz w:val="24"/>
        </w:rPr>
        <w:t>向甲方所在地人民法院提起诉讼。</w:t>
      </w:r>
    </w:p>
    <w:p w14:paraId="1B09852A">
      <w:pPr>
        <w:widowControl/>
        <w:numPr>
          <w:ilvl w:val="0"/>
          <w:numId w:val="66"/>
        </w:numPr>
        <w:tabs>
          <w:tab w:val="left" w:pos="1134"/>
          <w:tab w:val="left" w:pos="1276"/>
        </w:tabs>
        <w:spacing w:line="360" w:lineRule="auto"/>
        <w:ind w:left="567" w:hanging="27"/>
        <w:jc w:val="left"/>
        <w:rPr>
          <w:rFonts w:ascii="宋体" w:hAnsi="宋体" w:cs="宋体"/>
          <w:b/>
          <w:color w:val="000000"/>
          <w:sz w:val="24"/>
        </w:rPr>
      </w:pPr>
      <w:r>
        <w:rPr>
          <w:rFonts w:hint="eastAsia" w:ascii="宋体" w:hAnsi="宋体" w:cs="宋体"/>
          <w:b/>
          <w:color w:val="000000"/>
          <w:sz w:val="24"/>
        </w:rPr>
        <w:t>其他</w:t>
      </w:r>
    </w:p>
    <w:p w14:paraId="6B310EA7">
      <w:pPr>
        <w:widowControl/>
        <w:numPr>
          <w:ilvl w:val="0"/>
          <w:numId w:val="77"/>
        </w:numPr>
        <w:tabs>
          <w:tab w:val="left" w:pos="0"/>
          <w:tab w:val="left" w:pos="900"/>
          <w:tab w:val="clear" w:pos="420"/>
        </w:tabs>
        <w:spacing w:line="360" w:lineRule="auto"/>
        <w:ind w:left="0" w:firstLine="360"/>
        <w:jc w:val="left"/>
        <w:rPr>
          <w:rFonts w:ascii="宋体" w:hAnsi="宋体" w:cs="宋体"/>
          <w:color w:val="000000"/>
          <w:sz w:val="24"/>
        </w:rPr>
      </w:pPr>
      <w:r>
        <w:rPr>
          <w:rFonts w:hint="eastAsia" w:ascii="宋体" w:hAnsi="宋体" w:cs="宋体"/>
          <w:color w:val="000000"/>
          <w:sz w:val="24"/>
        </w:rPr>
        <w:t>本合同一式</w:t>
      </w:r>
      <w:r>
        <w:rPr>
          <w:rFonts w:hint="eastAsia" w:ascii="宋体" w:hAnsi="宋体" w:cs="宋体"/>
          <w:color w:val="000000"/>
          <w:sz w:val="24"/>
          <w:u w:val="single"/>
        </w:rPr>
        <w:t xml:space="preserve">  </w:t>
      </w:r>
      <w:r>
        <w:rPr>
          <w:rFonts w:hint="eastAsia" w:ascii="宋体" w:hAnsi="宋体" w:cs="宋体"/>
          <w:color w:val="000000"/>
          <w:sz w:val="24"/>
        </w:rPr>
        <w:t>份，具有同等效力，甲、乙双方各执</w:t>
      </w:r>
      <w:r>
        <w:rPr>
          <w:rFonts w:hint="eastAsia" w:ascii="宋体" w:hAnsi="宋体" w:cs="宋体"/>
          <w:color w:val="000000"/>
          <w:sz w:val="24"/>
          <w:u w:val="single"/>
        </w:rPr>
        <w:t xml:space="preserve">   </w:t>
      </w:r>
      <w:r>
        <w:rPr>
          <w:rFonts w:hint="eastAsia" w:ascii="宋体" w:hAnsi="宋体" w:cs="宋体"/>
          <w:color w:val="000000"/>
          <w:sz w:val="24"/>
        </w:rPr>
        <w:t>份。合同自双方签字盖章之日起生效。</w:t>
      </w:r>
    </w:p>
    <w:p w14:paraId="35AC581E">
      <w:pPr>
        <w:widowControl/>
        <w:numPr>
          <w:ilvl w:val="0"/>
          <w:numId w:val="77"/>
        </w:numPr>
        <w:tabs>
          <w:tab w:val="left" w:pos="0"/>
          <w:tab w:val="left" w:pos="900"/>
          <w:tab w:val="clear" w:pos="420"/>
        </w:tabs>
        <w:spacing w:line="360" w:lineRule="auto"/>
        <w:ind w:left="0" w:firstLine="360"/>
        <w:jc w:val="left"/>
        <w:rPr>
          <w:rFonts w:ascii="宋体" w:hAnsi="宋体" w:cs="宋体"/>
          <w:color w:val="000000"/>
          <w:sz w:val="24"/>
        </w:rPr>
      </w:pPr>
      <w:r>
        <w:rPr>
          <w:rFonts w:hint="eastAsia" w:ascii="宋体" w:hAnsi="宋体" w:cs="宋体"/>
          <w:color w:val="000000"/>
          <w:sz w:val="24"/>
        </w:rPr>
        <w:t>本合同未尽事宜，由双方协商处理。</w:t>
      </w:r>
    </w:p>
    <w:p w14:paraId="61B2BAAF">
      <w:pPr>
        <w:spacing w:line="360" w:lineRule="auto"/>
        <w:rPr>
          <w:rFonts w:ascii="宋体" w:hAnsi="宋体" w:cs="宋体"/>
          <w:color w:val="000000"/>
          <w:sz w:val="24"/>
        </w:rPr>
      </w:pPr>
    </w:p>
    <w:tbl>
      <w:tblPr>
        <w:tblStyle w:val="24"/>
        <w:tblW w:w="9072" w:type="dxa"/>
        <w:jc w:val="center"/>
        <w:tblLayout w:type="fixed"/>
        <w:tblCellMar>
          <w:top w:w="0" w:type="dxa"/>
          <w:left w:w="108" w:type="dxa"/>
          <w:bottom w:w="0" w:type="dxa"/>
          <w:right w:w="108" w:type="dxa"/>
        </w:tblCellMar>
      </w:tblPr>
      <w:tblGrid>
        <w:gridCol w:w="1390"/>
        <w:gridCol w:w="3146"/>
        <w:gridCol w:w="1390"/>
        <w:gridCol w:w="3146"/>
      </w:tblGrid>
      <w:tr w14:paraId="4CD6E562">
        <w:tblPrEx>
          <w:tblCellMar>
            <w:top w:w="0" w:type="dxa"/>
            <w:left w:w="108" w:type="dxa"/>
            <w:bottom w:w="0" w:type="dxa"/>
            <w:right w:w="108" w:type="dxa"/>
          </w:tblCellMar>
        </w:tblPrEx>
        <w:trPr>
          <w:trHeight w:val="567" w:hRule="atLeast"/>
          <w:jc w:val="center"/>
        </w:trPr>
        <w:tc>
          <w:tcPr>
            <w:tcW w:w="1390" w:type="dxa"/>
          </w:tcPr>
          <w:p w14:paraId="565E987D">
            <w:pPr>
              <w:spacing w:line="360" w:lineRule="auto"/>
              <w:rPr>
                <w:rFonts w:ascii="宋体" w:hAnsi="宋体" w:cs="宋体"/>
                <w:b/>
                <w:color w:val="000000"/>
                <w:sz w:val="24"/>
              </w:rPr>
            </w:pPr>
            <w:r>
              <w:rPr>
                <w:rFonts w:hint="eastAsia" w:ascii="宋体" w:hAnsi="宋体" w:cs="宋体"/>
                <w:b/>
                <w:color w:val="000000"/>
                <w:sz w:val="24"/>
              </w:rPr>
              <w:t>甲方：</w:t>
            </w:r>
          </w:p>
        </w:tc>
        <w:tc>
          <w:tcPr>
            <w:tcW w:w="3146" w:type="dxa"/>
          </w:tcPr>
          <w:p w14:paraId="2D6B3FE2">
            <w:pPr>
              <w:spacing w:line="360" w:lineRule="auto"/>
              <w:jc w:val="right"/>
              <w:rPr>
                <w:rFonts w:ascii="宋体" w:hAnsi="宋体" w:cs="宋体"/>
                <w:color w:val="000000"/>
                <w:sz w:val="24"/>
              </w:rPr>
            </w:pPr>
            <w:r>
              <w:rPr>
                <w:rFonts w:hint="eastAsia" w:ascii="宋体" w:hAnsi="宋体" w:cs="宋体"/>
                <w:color w:val="000000"/>
                <w:sz w:val="24"/>
              </w:rPr>
              <w:t>（盖章）</w:t>
            </w:r>
          </w:p>
        </w:tc>
        <w:tc>
          <w:tcPr>
            <w:tcW w:w="1390" w:type="dxa"/>
          </w:tcPr>
          <w:p w14:paraId="18A79A7E">
            <w:pPr>
              <w:spacing w:line="360" w:lineRule="auto"/>
              <w:rPr>
                <w:rFonts w:ascii="宋体" w:hAnsi="宋体" w:cs="宋体"/>
                <w:b/>
                <w:color w:val="000000"/>
                <w:sz w:val="24"/>
              </w:rPr>
            </w:pPr>
            <w:r>
              <w:rPr>
                <w:rFonts w:hint="eastAsia" w:ascii="宋体" w:hAnsi="宋体" w:cs="宋体"/>
                <w:b/>
                <w:color w:val="000000"/>
                <w:sz w:val="24"/>
              </w:rPr>
              <w:t>乙方：</w:t>
            </w:r>
          </w:p>
        </w:tc>
        <w:tc>
          <w:tcPr>
            <w:tcW w:w="3146" w:type="dxa"/>
          </w:tcPr>
          <w:p w14:paraId="5D81FFBA">
            <w:pPr>
              <w:spacing w:line="360" w:lineRule="auto"/>
              <w:jc w:val="right"/>
              <w:rPr>
                <w:rFonts w:ascii="宋体" w:hAnsi="宋体" w:cs="宋体"/>
                <w:color w:val="000000"/>
                <w:sz w:val="24"/>
              </w:rPr>
            </w:pPr>
            <w:r>
              <w:rPr>
                <w:rFonts w:hint="eastAsia" w:ascii="宋体" w:hAnsi="宋体" w:cs="宋体"/>
                <w:color w:val="000000"/>
                <w:sz w:val="24"/>
              </w:rPr>
              <w:t>（盖章）</w:t>
            </w:r>
          </w:p>
        </w:tc>
      </w:tr>
      <w:tr w14:paraId="3B75A2C4">
        <w:tblPrEx>
          <w:tblCellMar>
            <w:top w:w="0" w:type="dxa"/>
            <w:left w:w="108" w:type="dxa"/>
            <w:bottom w:w="0" w:type="dxa"/>
            <w:right w:w="108" w:type="dxa"/>
          </w:tblCellMar>
        </w:tblPrEx>
        <w:trPr>
          <w:trHeight w:val="567" w:hRule="atLeast"/>
          <w:jc w:val="center"/>
        </w:trPr>
        <w:tc>
          <w:tcPr>
            <w:tcW w:w="1390" w:type="dxa"/>
          </w:tcPr>
          <w:p w14:paraId="04EDB9B9">
            <w:pPr>
              <w:spacing w:line="360" w:lineRule="auto"/>
              <w:rPr>
                <w:rFonts w:ascii="宋体" w:hAnsi="宋体" w:cs="宋体"/>
                <w:b/>
                <w:color w:val="000000"/>
                <w:sz w:val="24"/>
              </w:rPr>
            </w:pPr>
            <w:r>
              <w:rPr>
                <w:rFonts w:hint="eastAsia" w:ascii="宋体" w:hAnsi="宋体" w:cs="宋体"/>
                <w:b/>
                <w:color w:val="000000"/>
                <w:sz w:val="24"/>
              </w:rPr>
              <w:t>签约代表：</w:t>
            </w:r>
          </w:p>
        </w:tc>
        <w:tc>
          <w:tcPr>
            <w:tcW w:w="3146" w:type="dxa"/>
          </w:tcPr>
          <w:p w14:paraId="01470141">
            <w:pPr>
              <w:spacing w:line="360" w:lineRule="auto"/>
              <w:rPr>
                <w:rFonts w:ascii="宋体" w:hAnsi="宋体" w:cs="宋体"/>
                <w:color w:val="000000"/>
                <w:sz w:val="24"/>
              </w:rPr>
            </w:pPr>
          </w:p>
        </w:tc>
        <w:tc>
          <w:tcPr>
            <w:tcW w:w="1390" w:type="dxa"/>
          </w:tcPr>
          <w:p w14:paraId="43B4D53E">
            <w:pPr>
              <w:spacing w:line="360" w:lineRule="auto"/>
              <w:rPr>
                <w:rFonts w:ascii="宋体" w:hAnsi="宋体" w:cs="宋体"/>
                <w:b/>
                <w:color w:val="000000"/>
                <w:sz w:val="24"/>
              </w:rPr>
            </w:pPr>
            <w:r>
              <w:rPr>
                <w:rFonts w:hint="eastAsia" w:ascii="宋体" w:hAnsi="宋体" w:cs="宋体"/>
                <w:b/>
                <w:color w:val="000000"/>
                <w:sz w:val="24"/>
              </w:rPr>
              <w:t>签约代表：</w:t>
            </w:r>
          </w:p>
        </w:tc>
        <w:tc>
          <w:tcPr>
            <w:tcW w:w="3146" w:type="dxa"/>
          </w:tcPr>
          <w:p w14:paraId="6E9FE749">
            <w:pPr>
              <w:spacing w:line="360" w:lineRule="auto"/>
              <w:rPr>
                <w:rFonts w:ascii="宋体" w:hAnsi="宋体" w:cs="宋体"/>
                <w:color w:val="000000"/>
                <w:sz w:val="24"/>
              </w:rPr>
            </w:pPr>
          </w:p>
        </w:tc>
      </w:tr>
      <w:tr w14:paraId="242463DB">
        <w:tblPrEx>
          <w:tblCellMar>
            <w:top w:w="0" w:type="dxa"/>
            <w:left w:w="108" w:type="dxa"/>
            <w:bottom w:w="0" w:type="dxa"/>
            <w:right w:w="108" w:type="dxa"/>
          </w:tblCellMar>
        </w:tblPrEx>
        <w:trPr>
          <w:trHeight w:val="567" w:hRule="atLeast"/>
          <w:jc w:val="center"/>
        </w:trPr>
        <w:tc>
          <w:tcPr>
            <w:tcW w:w="1390" w:type="dxa"/>
          </w:tcPr>
          <w:p w14:paraId="4EABACDB">
            <w:pPr>
              <w:spacing w:line="360" w:lineRule="auto"/>
              <w:rPr>
                <w:rFonts w:ascii="宋体" w:hAnsi="宋体" w:cs="宋体"/>
                <w:b/>
                <w:color w:val="000000"/>
                <w:sz w:val="24"/>
              </w:rPr>
            </w:pPr>
            <w:r>
              <w:rPr>
                <w:rFonts w:hint="eastAsia" w:ascii="宋体" w:hAnsi="宋体" w:cs="宋体"/>
                <w:b/>
                <w:color w:val="000000"/>
                <w:sz w:val="24"/>
              </w:rPr>
              <w:t>地    址：</w:t>
            </w:r>
          </w:p>
        </w:tc>
        <w:tc>
          <w:tcPr>
            <w:tcW w:w="3146" w:type="dxa"/>
          </w:tcPr>
          <w:p w14:paraId="11BE3270">
            <w:pPr>
              <w:spacing w:line="360" w:lineRule="auto"/>
              <w:rPr>
                <w:rFonts w:ascii="宋体" w:hAnsi="宋体" w:cs="宋体"/>
                <w:color w:val="000000"/>
                <w:sz w:val="24"/>
              </w:rPr>
            </w:pPr>
          </w:p>
        </w:tc>
        <w:tc>
          <w:tcPr>
            <w:tcW w:w="1390" w:type="dxa"/>
          </w:tcPr>
          <w:p w14:paraId="55A5F074">
            <w:pPr>
              <w:spacing w:line="360" w:lineRule="auto"/>
              <w:rPr>
                <w:rFonts w:ascii="宋体" w:hAnsi="宋体" w:cs="宋体"/>
                <w:b/>
                <w:color w:val="000000"/>
                <w:sz w:val="24"/>
              </w:rPr>
            </w:pPr>
            <w:r>
              <w:rPr>
                <w:rFonts w:hint="eastAsia" w:ascii="宋体" w:hAnsi="宋体" w:cs="宋体"/>
                <w:b/>
                <w:color w:val="000000"/>
                <w:sz w:val="24"/>
              </w:rPr>
              <w:t>地    址：</w:t>
            </w:r>
          </w:p>
        </w:tc>
        <w:tc>
          <w:tcPr>
            <w:tcW w:w="3146" w:type="dxa"/>
          </w:tcPr>
          <w:p w14:paraId="25EF1556">
            <w:pPr>
              <w:spacing w:line="360" w:lineRule="auto"/>
              <w:rPr>
                <w:rFonts w:ascii="宋体" w:hAnsi="宋体" w:cs="宋体"/>
                <w:color w:val="000000"/>
                <w:sz w:val="24"/>
              </w:rPr>
            </w:pPr>
          </w:p>
        </w:tc>
      </w:tr>
      <w:tr w14:paraId="7916C9A6">
        <w:tblPrEx>
          <w:tblCellMar>
            <w:top w:w="0" w:type="dxa"/>
            <w:left w:w="108" w:type="dxa"/>
            <w:bottom w:w="0" w:type="dxa"/>
            <w:right w:w="108" w:type="dxa"/>
          </w:tblCellMar>
        </w:tblPrEx>
        <w:trPr>
          <w:trHeight w:val="567" w:hRule="atLeast"/>
          <w:jc w:val="center"/>
        </w:trPr>
        <w:tc>
          <w:tcPr>
            <w:tcW w:w="1390" w:type="dxa"/>
          </w:tcPr>
          <w:p w14:paraId="46B90A7A">
            <w:pPr>
              <w:spacing w:line="360" w:lineRule="auto"/>
              <w:rPr>
                <w:rFonts w:ascii="宋体" w:hAnsi="宋体" w:cs="宋体"/>
                <w:b/>
                <w:color w:val="000000"/>
                <w:sz w:val="24"/>
              </w:rPr>
            </w:pPr>
            <w:r>
              <w:rPr>
                <w:rFonts w:hint="eastAsia" w:ascii="宋体" w:hAnsi="宋体" w:cs="宋体"/>
                <w:b/>
                <w:color w:val="000000"/>
                <w:sz w:val="24"/>
              </w:rPr>
              <w:t>电    话：</w:t>
            </w:r>
          </w:p>
        </w:tc>
        <w:tc>
          <w:tcPr>
            <w:tcW w:w="3146" w:type="dxa"/>
          </w:tcPr>
          <w:p w14:paraId="23233FFD">
            <w:pPr>
              <w:spacing w:line="360" w:lineRule="auto"/>
              <w:rPr>
                <w:rFonts w:ascii="宋体" w:hAnsi="宋体" w:cs="宋体"/>
                <w:color w:val="000000"/>
                <w:sz w:val="24"/>
              </w:rPr>
            </w:pPr>
          </w:p>
        </w:tc>
        <w:tc>
          <w:tcPr>
            <w:tcW w:w="1390" w:type="dxa"/>
          </w:tcPr>
          <w:p w14:paraId="2C9A5D20">
            <w:pPr>
              <w:spacing w:line="360" w:lineRule="auto"/>
              <w:rPr>
                <w:rFonts w:ascii="宋体" w:hAnsi="宋体" w:cs="宋体"/>
                <w:b/>
                <w:color w:val="000000"/>
                <w:sz w:val="24"/>
              </w:rPr>
            </w:pPr>
            <w:r>
              <w:rPr>
                <w:rFonts w:hint="eastAsia" w:ascii="宋体" w:hAnsi="宋体" w:cs="宋体"/>
                <w:b/>
                <w:color w:val="000000"/>
                <w:sz w:val="24"/>
              </w:rPr>
              <w:t>电    话：</w:t>
            </w:r>
          </w:p>
        </w:tc>
        <w:tc>
          <w:tcPr>
            <w:tcW w:w="3146" w:type="dxa"/>
          </w:tcPr>
          <w:p w14:paraId="3F1CA1DF">
            <w:pPr>
              <w:spacing w:line="360" w:lineRule="auto"/>
              <w:rPr>
                <w:rFonts w:ascii="宋体" w:hAnsi="宋体" w:cs="宋体"/>
                <w:color w:val="000000"/>
                <w:sz w:val="24"/>
              </w:rPr>
            </w:pPr>
          </w:p>
        </w:tc>
      </w:tr>
      <w:tr w14:paraId="47587FED">
        <w:tblPrEx>
          <w:tblCellMar>
            <w:top w:w="0" w:type="dxa"/>
            <w:left w:w="108" w:type="dxa"/>
            <w:bottom w:w="0" w:type="dxa"/>
            <w:right w:w="108" w:type="dxa"/>
          </w:tblCellMar>
        </w:tblPrEx>
        <w:trPr>
          <w:trHeight w:val="567" w:hRule="atLeast"/>
          <w:jc w:val="center"/>
        </w:trPr>
        <w:tc>
          <w:tcPr>
            <w:tcW w:w="1390" w:type="dxa"/>
          </w:tcPr>
          <w:p w14:paraId="4401FE4A">
            <w:pPr>
              <w:spacing w:line="360" w:lineRule="auto"/>
              <w:rPr>
                <w:rFonts w:ascii="宋体" w:hAnsi="宋体" w:cs="宋体"/>
                <w:b/>
                <w:color w:val="000000"/>
                <w:sz w:val="24"/>
              </w:rPr>
            </w:pPr>
            <w:r>
              <w:rPr>
                <w:rFonts w:hint="eastAsia" w:ascii="宋体" w:hAnsi="宋体" w:cs="宋体"/>
                <w:b/>
                <w:color w:val="000000"/>
                <w:sz w:val="24"/>
              </w:rPr>
              <w:t>传    真：</w:t>
            </w:r>
          </w:p>
        </w:tc>
        <w:tc>
          <w:tcPr>
            <w:tcW w:w="3146" w:type="dxa"/>
          </w:tcPr>
          <w:p w14:paraId="695A970A">
            <w:pPr>
              <w:spacing w:line="360" w:lineRule="auto"/>
              <w:rPr>
                <w:rFonts w:ascii="宋体" w:hAnsi="宋体" w:cs="宋体"/>
                <w:color w:val="000000"/>
                <w:sz w:val="24"/>
              </w:rPr>
            </w:pPr>
          </w:p>
        </w:tc>
        <w:tc>
          <w:tcPr>
            <w:tcW w:w="1390" w:type="dxa"/>
          </w:tcPr>
          <w:p w14:paraId="6BD136BC">
            <w:pPr>
              <w:spacing w:line="360" w:lineRule="auto"/>
              <w:rPr>
                <w:rFonts w:ascii="宋体" w:hAnsi="宋体" w:cs="宋体"/>
                <w:b/>
                <w:color w:val="000000"/>
                <w:sz w:val="24"/>
              </w:rPr>
            </w:pPr>
            <w:r>
              <w:rPr>
                <w:rFonts w:hint="eastAsia" w:ascii="宋体" w:hAnsi="宋体" w:cs="宋体"/>
                <w:b/>
                <w:color w:val="000000"/>
                <w:sz w:val="24"/>
              </w:rPr>
              <w:t>传    真：</w:t>
            </w:r>
          </w:p>
        </w:tc>
        <w:tc>
          <w:tcPr>
            <w:tcW w:w="3146" w:type="dxa"/>
          </w:tcPr>
          <w:p w14:paraId="2F78D2EE">
            <w:pPr>
              <w:spacing w:line="360" w:lineRule="auto"/>
              <w:rPr>
                <w:rFonts w:ascii="宋体" w:hAnsi="宋体" w:cs="宋体"/>
                <w:color w:val="000000"/>
                <w:sz w:val="24"/>
              </w:rPr>
            </w:pPr>
          </w:p>
        </w:tc>
      </w:tr>
      <w:tr w14:paraId="258CD02D">
        <w:tblPrEx>
          <w:tblCellMar>
            <w:top w:w="0" w:type="dxa"/>
            <w:left w:w="108" w:type="dxa"/>
            <w:bottom w:w="0" w:type="dxa"/>
            <w:right w:w="108" w:type="dxa"/>
          </w:tblCellMar>
        </w:tblPrEx>
        <w:trPr>
          <w:trHeight w:val="567" w:hRule="atLeast"/>
          <w:jc w:val="center"/>
        </w:trPr>
        <w:tc>
          <w:tcPr>
            <w:tcW w:w="1390" w:type="dxa"/>
          </w:tcPr>
          <w:p w14:paraId="3F5D156E">
            <w:pPr>
              <w:spacing w:line="360" w:lineRule="auto"/>
              <w:rPr>
                <w:rFonts w:ascii="宋体" w:hAnsi="宋体" w:cs="宋体"/>
                <w:b/>
                <w:color w:val="000000"/>
                <w:sz w:val="24"/>
              </w:rPr>
            </w:pPr>
            <w:r>
              <w:rPr>
                <w:rFonts w:hint="eastAsia" w:ascii="宋体" w:hAnsi="宋体" w:cs="宋体"/>
                <w:b/>
                <w:color w:val="000000"/>
                <w:sz w:val="24"/>
              </w:rPr>
              <w:t>签约日期：</w:t>
            </w:r>
          </w:p>
        </w:tc>
        <w:tc>
          <w:tcPr>
            <w:tcW w:w="3146" w:type="dxa"/>
          </w:tcPr>
          <w:p w14:paraId="4D39B3DB">
            <w:pPr>
              <w:spacing w:line="360" w:lineRule="auto"/>
              <w:rPr>
                <w:rFonts w:ascii="宋体" w:hAnsi="宋体" w:cs="宋体"/>
                <w:color w:val="000000"/>
                <w:sz w:val="24"/>
              </w:rPr>
            </w:pPr>
            <w:r>
              <w:rPr>
                <w:rFonts w:hint="eastAsia" w:ascii="宋体" w:hAnsi="宋体" w:cs="宋体"/>
                <w:color w:val="000000"/>
                <w:sz w:val="24"/>
              </w:rPr>
              <w:t>20  年   月   日</w:t>
            </w:r>
          </w:p>
        </w:tc>
        <w:tc>
          <w:tcPr>
            <w:tcW w:w="1390" w:type="dxa"/>
          </w:tcPr>
          <w:p w14:paraId="1B297085">
            <w:pPr>
              <w:spacing w:line="360" w:lineRule="auto"/>
              <w:rPr>
                <w:rFonts w:ascii="宋体" w:hAnsi="宋体" w:cs="宋体"/>
                <w:b/>
                <w:color w:val="000000"/>
                <w:sz w:val="24"/>
              </w:rPr>
            </w:pPr>
            <w:r>
              <w:rPr>
                <w:rFonts w:hint="eastAsia" w:ascii="宋体" w:hAnsi="宋体" w:cs="宋体"/>
                <w:b/>
                <w:color w:val="000000"/>
                <w:sz w:val="24"/>
              </w:rPr>
              <w:t>签约日期：</w:t>
            </w:r>
          </w:p>
        </w:tc>
        <w:tc>
          <w:tcPr>
            <w:tcW w:w="3146" w:type="dxa"/>
          </w:tcPr>
          <w:p w14:paraId="7CE95538">
            <w:pPr>
              <w:spacing w:line="360" w:lineRule="auto"/>
              <w:rPr>
                <w:rFonts w:ascii="宋体" w:hAnsi="宋体" w:cs="宋体"/>
                <w:color w:val="000000"/>
                <w:sz w:val="24"/>
              </w:rPr>
            </w:pPr>
            <w:r>
              <w:rPr>
                <w:rFonts w:hint="eastAsia" w:ascii="宋体" w:hAnsi="宋体" w:cs="宋体"/>
                <w:color w:val="000000"/>
                <w:sz w:val="24"/>
              </w:rPr>
              <w:t>20  年   月   日</w:t>
            </w:r>
          </w:p>
        </w:tc>
      </w:tr>
    </w:tbl>
    <w:p w14:paraId="785C33B8">
      <w:pPr>
        <w:spacing w:line="360" w:lineRule="auto"/>
        <w:ind w:firstLine="480" w:firstLineChars="200"/>
      </w:pPr>
      <w:r>
        <w:rPr>
          <w:rFonts w:hint="eastAsia" w:ascii="宋体" w:hAnsi="宋体"/>
          <w:sz w:val="24"/>
        </w:rPr>
        <w:tab/>
      </w:r>
      <w:r>
        <w:rPr>
          <w:rFonts w:hint="eastAsia" w:ascii="宋体" w:hAnsi="宋体"/>
          <w:sz w:val="24"/>
        </w:rPr>
        <w:t xml:space="preserve">                                </w:t>
      </w:r>
    </w:p>
    <w:p w14:paraId="6B947FCB">
      <w:pPr>
        <w:rPr>
          <w:b/>
          <w:bCs/>
          <w:sz w:val="24"/>
        </w:rPr>
      </w:pPr>
      <w:bookmarkStart w:id="258" w:name="_Toc28392"/>
      <w:r>
        <w:rPr>
          <w:rFonts w:hint="eastAsia"/>
          <w:b/>
          <w:bCs/>
          <w:sz w:val="24"/>
        </w:rPr>
        <w:t>附：广东省广裕集团英德工贸实业有限公司2024-2026年生产零配件、耗材定点采购项目采购清单</w:t>
      </w:r>
    </w:p>
    <w:p w14:paraId="28EA0833"/>
    <w:p w14:paraId="1E15630F"/>
    <w:p w14:paraId="6378B9E2"/>
    <w:p w14:paraId="4B2EA4EB"/>
    <w:p w14:paraId="084F325A"/>
    <w:p w14:paraId="3AD94298"/>
    <w:p w14:paraId="71CB7894"/>
    <w:p w14:paraId="4F3720D8"/>
    <w:p w14:paraId="532AE966"/>
    <w:p w14:paraId="0542E626"/>
    <w:p w14:paraId="24E6F1D8"/>
    <w:p w14:paraId="39A325B0"/>
    <w:p w14:paraId="55C9CA8C"/>
    <w:p w14:paraId="47825BD3"/>
    <w:p w14:paraId="5B4E901C"/>
    <w:p w14:paraId="1C37E969"/>
    <w:p w14:paraId="1C165FB6"/>
    <w:p w14:paraId="392E3C67"/>
    <w:p w14:paraId="587AC37A"/>
    <w:p w14:paraId="11A2715E"/>
    <w:p w14:paraId="0CCFF4B0"/>
    <w:p w14:paraId="4A6688F0"/>
    <w:p w14:paraId="35CAB70F"/>
    <w:p w14:paraId="32C35560"/>
    <w:p w14:paraId="24B7F2FD"/>
    <w:p w14:paraId="3C24102E">
      <w:pPr>
        <w:pStyle w:val="2"/>
        <w:jc w:val="center"/>
      </w:pPr>
      <w:bookmarkStart w:id="259" w:name="_Toc8749"/>
      <w:bookmarkStart w:id="260" w:name="_Toc4774"/>
      <w:r>
        <w:rPr>
          <w:rFonts w:hint="eastAsia"/>
        </w:rPr>
        <w:t>第六章 投标文件</w:t>
      </w:r>
      <w:bookmarkEnd w:id="248"/>
      <w:bookmarkEnd w:id="249"/>
      <w:bookmarkEnd w:id="250"/>
      <w:bookmarkEnd w:id="251"/>
      <w:bookmarkEnd w:id="252"/>
      <w:r>
        <w:rPr>
          <w:rFonts w:hint="eastAsia"/>
        </w:rPr>
        <w:t>格式</w:t>
      </w:r>
      <w:bookmarkEnd w:id="253"/>
      <w:bookmarkEnd w:id="254"/>
      <w:bookmarkEnd w:id="255"/>
      <w:bookmarkEnd w:id="256"/>
      <w:bookmarkEnd w:id="257"/>
      <w:bookmarkEnd w:id="258"/>
      <w:bookmarkEnd w:id="259"/>
      <w:bookmarkEnd w:id="260"/>
    </w:p>
    <w:p w14:paraId="29039CF0">
      <w:pPr>
        <w:jc w:val="center"/>
        <w:rPr>
          <w:rFonts w:eastAsia="仿宋_GB2312"/>
        </w:rPr>
      </w:pPr>
      <w:r>
        <w:rPr>
          <w:rFonts w:eastAsia="仿宋_GB2312"/>
        </w:rPr>
        <w:br w:type="page"/>
      </w:r>
      <w:bookmarkStart w:id="261" w:name="_Toc196294633"/>
      <w:bookmarkStart w:id="262" w:name="_Toc182886663"/>
      <w:bookmarkStart w:id="263" w:name="_Toc183316723"/>
    </w:p>
    <w:p w14:paraId="03696862">
      <w:pPr>
        <w:jc w:val="center"/>
        <w:rPr>
          <w:rFonts w:ascii="黑体" w:eastAsia="黑体"/>
          <w:sz w:val="57"/>
        </w:rPr>
      </w:pPr>
    </w:p>
    <w:p w14:paraId="2A5BBEEA">
      <w:pPr>
        <w:spacing w:line="360" w:lineRule="auto"/>
        <w:jc w:val="center"/>
        <w:rPr>
          <w:rFonts w:ascii="黑体" w:eastAsia="黑体"/>
          <w:sz w:val="50"/>
          <w:szCs w:val="50"/>
        </w:rPr>
      </w:pPr>
      <w:r>
        <w:rPr>
          <w:rFonts w:hint="eastAsia" w:ascii="黑体" w:eastAsia="黑体"/>
          <w:sz w:val="50"/>
          <w:szCs w:val="50"/>
        </w:rPr>
        <w:t>广东省广裕集团英德工贸实业有限公司2024-2026年生产零配件、耗材定点采购项目</w:t>
      </w:r>
    </w:p>
    <w:p w14:paraId="7C06A634">
      <w:pPr>
        <w:jc w:val="center"/>
        <w:rPr>
          <w:rFonts w:ascii="黑体" w:eastAsia="黑体"/>
          <w:sz w:val="57"/>
        </w:rPr>
      </w:pPr>
    </w:p>
    <w:p w14:paraId="514DD263">
      <w:pPr>
        <w:jc w:val="center"/>
        <w:rPr>
          <w:rFonts w:ascii="黑体" w:eastAsia="黑体"/>
          <w:sz w:val="57"/>
        </w:rPr>
      </w:pPr>
    </w:p>
    <w:p w14:paraId="3CF8054D">
      <w:pPr>
        <w:jc w:val="center"/>
        <w:rPr>
          <w:rFonts w:ascii="黑体" w:eastAsia="黑体"/>
          <w:sz w:val="57"/>
        </w:rPr>
      </w:pPr>
    </w:p>
    <w:p w14:paraId="640136F4">
      <w:pPr>
        <w:jc w:val="center"/>
        <w:rPr>
          <w:rFonts w:ascii="黑体" w:eastAsia="黑体"/>
          <w:sz w:val="57"/>
        </w:rPr>
      </w:pPr>
      <w:r>
        <w:rPr>
          <w:rFonts w:hint="eastAsia" w:ascii="黑体" w:eastAsia="黑体"/>
          <w:sz w:val="57"/>
        </w:rPr>
        <w:t>投标文件</w:t>
      </w:r>
    </w:p>
    <w:p w14:paraId="2B74E3D2">
      <w:pPr>
        <w:jc w:val="center"/>
        <w:rPr>
          <w:rFonts w:ascii="黑体" w:eastAsia="黑体"/>
          <w:sz w:val="57"/>
        </w:rPr>
      </w:pPr>
    </w:p>
    <w:p w14:paraId="0C43F056">
      <w:pPr>
        <w:jc w:val="center"/>
        <w:rPr>
          <w:sz w:val="47"/>
        </w:rPr>
      </w:pPr>
      <w:r>
        <w:rPr>
          <w:rFonts w:hint="eastAsia"/>
          <w:sz w:val="47"/>
        </w:rPr>
        <w:t>（正本/副本）</w:t>
      </w:r>
    </w:p>
    <w:p w14:paraId="07608DE0"/>
    <w:p w14:paraId="0BDA994C"/>
    <w:p w14:paraId="5DC14BFF"/>
    <w:p w14:paraId="60C90AF6"/>
    <w:p w14:paraId="3B66B056">
      <w:pPr>
        <w:adjustRightInd w:val="0"/>
        <w:snapToGrid w:val="0"/>
        <w:spacing w:line="360" w:lineRule="auto"/>
        <w:rPr>
          <w:sz w:val="28"/>
          <w:szCs w:val="28"/>
        </w:rPr>
      </w:pPr>
    </w:p>
    <w:p w14:paraId="0D197F6A">
      <w:pPr>
        <w:adjustRightInd w:val="0"/>
        <w:snapToGrid w:val="0"/>
        <w:spacing w:line="360" w:lineRule="auto"/>
        <w:rPr>
          <w:sz w:val="28"/>
          <w:szCs w:val="28"/>
        </w:rPr>
      </w:pPr>
    </w:p>
    <w:p w14:paraId="7425B428">
      <w:pPr>
        <w:adjustRightInd w:val="0"/>
        <w:snapToGrid w:val="0"/>
        <w:spacing w:line="360" w:lineRule="auto"/>
        <w:rPr>
          <w:sz w:val="28"/>
          <w:szCs w:val="28"/>
        </w:rPr>
      </w:pPr>
    </w:p>
    <w:p w14:paraId="73FCCC00">
      <w:pPr>
        <w:adjustRightInd w:val="0"/>
        <w:snapToGrid w:val="0"/>
        <w:spacing w:line="360" w:lineRule="auto"/>
        <w:rPr>
          <w:sz w:val="28"/>
          <w:szCs w:val="28"/>
        </w:rPr>
      </w:pPr>
      <w:r>
        <w:rPr>
          <w:rFonts w:hint="eastAsia"/>
          <w:sz w:val="28"/>
          <w:szCs w:val="28"/>
        </w:rPr>
        <w:t xml:space="preserve">投标供应商名称（盖章）：                </w:t>
      </w:r>
    </w:p>
    <w:p w14:paraId="49086677">
      <w:pPr>
        <w:adjustRightInd w:val="0"/>
        <w:snapToGrid w:val="0"/>
        <w:spacing w:line="360" w:lineRule="auto"/>
        <w:rPr>
          <w:sz w:val="28"/>
          <w:szCs w:val="28"/>
        </w:rPr>
      </w:pPr>
      <w:r>
        <w:rPr>
          <w:rFonts w:hint="eastAsia"/>
          <w:sz w:val="28"/>
          <w:szCs w:val="28"/>
        </w:rPr>
        <w:t>联系地址：</w:t>
      </w:r>
    </w:p>
    <w:p w14:paraId="3B9A8A2C">
      <w:pPr>
        <w:adjustRightInd w:val="0"/>
        <w:snapToGrid w:val="0"/>
        <w:spacing w:line="360" w:lineRule="auto"/>
        <w:rPr>
          <w:sz w:val="28"/>
          <w:szCs w:val="28"/>
        </w:rPr>
      </w:pPr>
      <w:r>
        <w:rPr>
          <w:rFonts w:hint="eastAsia"/>
          <w:sz w:val="28"/>
          <w:szCs w:val="28"/>
        </w:rPr>
        <w:t>联系人：</w:t>
      </w:r>
    </w:p>
    <w:p w14:paraId="7B33775E">
      <w:pPr>
        <w:adjustRightInd w:val="0"/>
        <w:snapToGrid w:val="0"/>
        <w:spacing w:line="360" w:lineRule="auto"/>
        <w:rPr>
          <w:sz w:val="28"/>
          <w:szCs w:val="28"/>
        </w:rPr>
      </w:pPr>
      <w:r>
        <w:rPr>
          <w:rFonts w:hint="eastAsia"/>
          <w:sz w:val="28"/>
          <w:szCs w:val="28"/>
        </w:rPr>
        <w:t>联系电话：</w:t>
      </w:r>
    </w:p>
    <w:p w14:paraId="6726C021">
      <w:pPr>
        <w:adjustRightInd w:val="0"/>
        <w:snapToGrid w:val="0"/>
        <w:spacing w:line="360" w:lineRule="auto"/>
        <w:rPr>
          <w:sz w:val="28"/>
          <w:szCs w:val="28"/>
        </w:rPr>
      </w:pPr>
      <w:r>
        <w:rPr>
          <w:rFonts w:hint="eastAsia"/>
          <w:sz w:val="28"/>
          <w:szCs w:val="28"/>
        </w:rPr>
        <w:t>日期：    年      月      日</w:t>
      </w:r>
    </w:p>
    <w:p w14:paraId="3A429A10">
      <w:pPr>
        <w:adjustRightInd w:val="0"/>
        <w:snapToGrid w:val="0"/>
        <w:spacing w:line="360" w:lineRule="auto"/>
        <w:rPr>
          <w:sz w:val="28"/>
          <w:szCs w:val="28"/>
        </w:rPr>
      </w:pPr>
    </w:p>
    <w:p w14:paraId="51B84D8B"/>
    <w:p w14:paraId="2C9324CC"/>
    <w:p w14:paraId="0DA40D09"/>
    <w:bookmarkEnd w:id="261"/>
    <w:bookmarkEnd w:id="262"/>
    <w:bookmarkEnd w:id="263"/>
    <w:p w14:paraId="0E8B4204">
      <w:bookmarkStart w:id="264" w:name="_Toc26694"/>
    </w:p>
    <w:p w14:paraId="5EBC475D"/>
    <w:p w14:paraId="7BD350F0"/>
    <w:p w14:paraId="1217C343"/>
    <w:p w14:paraId="7E310D1D"/>
    <w:p w14:paraId="119635CA"/>
    <w:p w14:paraId="4DCFFE14"/>
    <w:p w14:paraId="59CFCF87"/>
    <w:bookmarkEnd w:id="264"/>
    <w:p w14:paraId="02B86CC9"/>
    <w:p w14:paraId="691E1D47"/>
    <w:p w14:paraId="5460A4F5"/>
    <w:p w14:paraId="31DEA5A0"/>
    <w:p w14:paraId="0578FE6A"/>
    <w:p w14:paraId="4D8B6E52"/>
    <w:p w14:paraId="1E8A5B36"/>
    <w:p w14:paraId="1337A179"/>
    <w:p w14:paraId="5E83870A"/>
    <w:p w14:paraId="6612038D"/>
    <w:p w14:paraId="013A02D0"/>
    <w:p w14:paraId="4DF1D91F"/>
    <w:p w14:paraId="73495BE0"/>
    <w:p w14:paraId="387DB3B4"/>
    <w:p w14:paraId="6705C121">
      <w:pPr>
        <w:pStyle w:val="3"/>
        <w:jc w:val="center"/>
        <w:rPr>
          <w:sz w:val="44"/>
          <w:szCs w:val="44"/>
        </w:rPr>
      </w:pPr>
      <w:bookmarkStart w:id="265" w:name="_Toc423021954"/>
      <w:bookmarkStart w:id="266" w:name="_Toc27974"/>
      <w:bookmarkStart w:id="267" w:name="_Toc381489424"/>
      <w:bookmarkStart w:id="268" w:name="_Toc9365"/>
      <w:bookmarkStart w:id="269" w:name="_Toc21320"/>
      <w:r>
        <w:rPr>
          <w:sz w:val="44"/>
          <w:szCs w:val="44"/>
        </w:rPr>
        <w:t>第</w:t>
      </w:r>
      <w:r>
        <w:rPr>
          <w:rFonts w:hint="eastAsia"/>
          <w:sz w:val="44"/>
          <w:szCs w:val="44"/>
        </w:rPr>
        <w:t>一</w:t>
      </w:r>
      <w:r>
        <w:rPr>
          <w:sz w:val="44"/>
          <w:szCs w:val="44"/>
        </w:rPr>
        <w:t xml:space="preserve">部分 </w:t>
      </w:r>
      <w:r>
        <w:rPr>
          <w:rFonts w:hint="eastAsia"/>
          <w:sz w:val="44"/>
          <w:szCs w:val="44"/>
        </w:rPr>
        <w:t>初审文件</w:t>
      </w:r>
      <w:bookmarkEnd w:id="265"/>
      <w:bookmarkEnd w:id="266"/>
      <w:bookmarkEnd w:id="267"/>
      <w:bookmarkEnd w:id="268"/>
      <w:bookmarkEnd w:id="269"/>
    </w:p>
    <w:p w14:paraId="52CD6BD8">
      <w:bookmarkStart w:id="270" w:name="_Toc183316725"/>
      <w:bookmarkStart w:id="271" w:name="_Toc182886665"/>
      <w:bookmarkStart w:id="272" w:name="_Toc169318447"/>
      <w:bookmarkStart w:id="273" w:name="_Toc196294644"/>
      <w:bookmarkStart w:id="274" w:name="_Toc168730817"/>
    </w:p>
    <w:p w14:paraId="6966D5F2"/>
    <w:p w14:paraId="3306C725"/>
    <w:p w14:paraId="76CA8291"/>
    <w:p w14:paraId="0F7347F5"/>
    <w:p w14:paraId="15354A26"/>
    <w:p w14:paraId="344A436E"/>
    <w:p w14:paraId="1FF812A0"/>
    <w:p w14:paraId="56C06193"/>
    <w:p w14:paraId="76F54D34"/>
    <w:p w14:paraId="24888AF1"/>
    <w:p w14:paraId="0841659B"/>
    <w:p w14:paraId="6618A2FA"/>
    <w:p w14:paraId="255CF479"/>
    <w:p w14:paraId="30BED1CE"/>
    <w:p w14:paraId="66361F12"/>
    <w:p w14:paraId="1C76A10D"/>
    <w:p w14:paraId="22E05798"/>
    <w:p w14:paraId="6C58E0F7"/>
    <w:p w14:paraId="4AFE5A6C"/>
    <w:p w14:paraId="1EA3ACC3"/>
    <w:p w14:paraId="11011F40">
      <w:pPr>
        <w:pStyle w:val="4"/>
        <w:numPr>
          <w:ilvl w:val="0"/>
          <w:numId w:val="78"/>
        </w:numPr>
        <w:jc w:val="center"/>
      </w:pPr>
      <w:bookmarkStart w:id="275" w:name="_Toc381489425"/>
      <w:bookmarkStart w:id="276" w:name="_Toc24193"/>
      <w:bookmarkStart w:id="277" w:name="_Toc423021955"/>
      <w:bookmarkStart w:id="278" w:name="_Toc6189"/>
      <w:bookmarkStart w:id="279" w:name="_Toc7618"/>
      <w:r>
        <w:rPr>
          <w:rFonts w:hint="eastAsia"/>
        </w:rPr>
        <w:t>投标函</w:t>
      </w:r>
      <w:bookmarkEnd w:id="270"/>
      <w:bookmarkEnd w:id="271"/>
      <w:bookmarkEnd w:id="272"/>
      <w:bookmarkEnd w:id="273"/>
      <w:bookmarkEnd w:id="274"/>
      <w:bookmarkEnd w:id="275"/>
      <w:bookmarkEnd w:id="276"/>
      <w:bookmarkEnd w:id="277"/>
      <w:bookmarkEnd w:id="278"/>
      <w:bookmarkEnd w:id="279"/>
    </w:p>
    <w:p w14:paraId="4B84E36F">
      <w:pPr>
        <w:adjustRightInd w:val="0"/>
        <w:snapToGrid w:val="0"/>
        <w:spacing w:before="120" w:beforeLines="50" w:after="120" w:afterLines="50" w:line="360" w:lineRule="auto"/>
        <w:rPr>
          <w:rFonts w:ascii="宋体" w:hAnsi="宋体" w:eastAsia="宋体" w:cs="宋体"/>
          <w:b/>
          <w:sz w:val="24"/>
        </w:rPr>
      </w:pPr>
      <w:r>
        <w:rPr>
          <w:rFonts w:hint="eastAsia" w:ascii="宋体" w:hAnsi="宋体" w:eastAsia="宋体" w:cs="宋体"/>
          <w:b/>
          <w:sz w:val="24"/>
        </w:rPr>
        <w:t>致：广东有德招标采购有限公司</w:t>
      </w:r>
    </w:p>
    <w:p w14:paraId="685265C6">
      <w:pPr>
        <w:tabs>
          <w:tab w:val="left" w:pos="7740"/>
        </w:tabs>
        <w:autoSpaceDE w:val="0"/>
        <w:autoSpaceDN w:val="0"/>
        <w:adjustRightInd w:val="0"/>
        <w:snapToGrid w:val="0"/>
        <w:spacing w:line="360" w:lineRule="auto"/>
        <w:ind w:right="28" w:firstLine="480" w:firstLineChars="200"/>
        <w:rPr>
          <w:rFonts w:asciiTheme="majorEastAsia" w:hAnsiTheme="majorEastAsia" w:eastAsiaTheme="majorEastAsia" w:cstheme="majorEastAsia"/>
          <w:kern w:val="0"/>
          <w:sz w:val="24"/>
        </w:rPr>
      </w:pPr>
      <w:bookmarkStart w:id="280" w:name="_Toc182886666"/>
      <w:bookmarkStart w:id="281" w:name="_Toc159221038"/>
      <w:bookmarkStart w:id="282" w:name="_Toc183316726"/>
      <w:bookmarkStart w:id="283" w:name="_Toc124256789"/>
      <w:bookmarkStart w:id="284" w:name="_Toc196294645"/>
      <w:r>
        <w:rPr>
          <w:rFonts w:hint="eastAsia" w:asciiTheme="majorEastAsia" w:hAnsiTheme="majorEastAsia" w:eastAsiaTheme="majorEastAsia" w:cstheme="majorEastAsia"/>
          <w:kern w:val="0"/>
          <w:sz w:val="24"/>
        </w:rPr>
        <w:t>依据贵方</w:t>
      </w:r>
      <w:r>
        <w:rPr>
          <w:rFonts w:hint="eastAsia" w:asciiTheme="majorEastAsia" w:hAnsiTheme="majorEastAsia" w:eastAsiaTheme="majorEastAsia" w:cstheme="majorEastAsia"/>
          <w:sz w:val="24"/>
        </w:rPr>
        <w:t>招标项目</w:t>
      </w:r>
      <w:r>
        <w:rPr>
          <w:rFonts w:hint="eastAsia" w:asciiTheme="majorEastAsia" w:hAnsiTheme="majorEastAsia" w:eastAsiaTheme="majorEastAsia" w:cstheme="majorEastAsia"/>
          <w:sz w:val="24"/>
          <w:u w:val="single"/>
        </w:rPr>
        <w:t xml:space="preserve">名称（项目编号：) </w:t>
      </w:r>
      <w:r>
        <w:rPr>
          <w:rFonts w:hint="eastAsia" w:asciiTheme="majorEastAsia" w:hAnsiTheme="majorEastAsia" w:eastAsiaTheme="majorEastAsia" w:cstheme="majorEastAsia"/>
          <w:kern w:val="0"/>
          <w:sz w:val="24"/>
        </w:rPr>
        <w:t>的投标邀请，我方代表</w:t>
      </w:r>
      <w:r>
        <w:rPr>
          <w:rFonts w:hint="eastAsia" w:asciiTheme="majorEastAsia" w:hAnsiTheme="majorEastAsia" w:eastAsiaTheme="majorEastAsia" w:cstheme="majorEastAsia"/>
          <w:sz w:val="24"/>
          <w:u w:val="single"/>
        </w:rPr>
        <w:t>（姓名、职务）</w:t>
      </w:r>
      <w:r>
        <w:rPr>
          <w:rFonts w:hint="eastAsia" w:asciiTheme="majorEastAsia" w:hAnsiTheme="majorEastAsia" w:eastAsiaTheme="majorEastAsia" w:cstheme="majorEastAsia"/>
          <w:kern w:val="0"/>
          <w:sz w:val="24"/>
        </w:rPr>
        <w:t>经正式授权并代表</w:t>
      </w:r>
      <w:r>
        <w:rPr>
          <w:rFonts w:hint="eastAsia" w:asciiTheme="majorEastAsia" w:hAnsiTheme="majorEastAsia" w:eastAsiaTheme="majorEastAsia" w:cstheme="majorEastAsia"/>
          <w:sz w:val="24"/>
          <w:u w:val="single"/>
        </w:rPr>
        <w:t>（投标人名称、地址）</w:t>
      </w:r>
      <w:r>
        <w:rPr>
          <w:rFonts w:hint="eastAsia" w:asciiTheme="majorEastAsia" w:hAnsiTheme="majorEastAsia" w:eastAsiaTheme="majorEastAsia" w:cstheme="majorEastAsia"/>
          <w:kern w:val="0"/>
          <w:sz w:val="24"/>
        </w:rPr>
        <w:t>提交下述文件正本___份，副本___份。</w:t>
      </w:r>
    </w:p>
    <w:p w14:paraId="41C3D8A9">
      <w:pPr>
        <w:numPr>
          <w:ilvl w:val="0"/>
          <w:numId w:val="79"/>
        </w:numPr>
        <w:tabs>
          <w:tab w:val="left" w:pos="7740"/>
        </w:tabs>
        <w:autoSpaceDE w:val="0"/>
        <w:autoSpaceDN w:val="0"/>
        <w:adjustRightInd w:val="0"/>
        <w:snapToGrid w:val="0"/>
        <w:spacing w:line="360" w:lineRule="auto"/>
        <w:ind w:right="246"/>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自查表</w:t>
      </w:r>
    </w:p>
    <w:p w14:paraId="3565FF68">
      <w:pPr>
        <w:numPr>
          <w:ilvl w:val="0"/>
          <w:numId w:val="79"/>
        </w:numPr>
        <w:tabs>
          <w:tab w:val="left" w:pos="7740"/>
        </w:tabs>
        <w:autoSpaceDE w:val="0"/>
        <w:autoSpaceDN w:val="0"/>
        <w:adjustRightInd w:val="0"/>
        <w:snapToGrid w:val="0"/>
        <w:spacing w:line="360" w:lineRule="auto"/>
        <w:ind w:right="246"/>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初审文件</w:t>
      </w:r>
    </w:p>
    <w:p w14:paraId="3A30A11E">
      <w:pPr>
        <w:numPr>
          <w:ilvl w:val="0"/>
          <w:numId w:val="79"/>
        </w:numPr>
        <w:tabs>
          <w:tab w:val="left" w:pos="7740"/>
        </w:tabs>
        <w:autoSpaceDE w:val="0"/>
        <w:autoSpaceDN w:val="0"/>
        <w:adjustRightInd w:val="0"/>
        <w:snapToGrid w:val="0"/>
        <w:spacing w:line="360" w:lineRule="auto"/>
        <w:ind w:right="246"/>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商务文件</w:t>
      </w:r>
    </w:p>
    <w:p w14:paraId="2606043D">
      <w:pPr>
        <w:numPr>
          <w:ilvl w:val="0"/>
          <w:numId w:val="79"/>
        </w:numPr>
        <w:tabs>
          <w:tab w:val="left" w:pos="7740"/>
        </w:tabs>
        <w:autoSpaceDE w:val="0"/>
        <w:autoSpaceDN w:val="0"/>
        <w:adjustRightInd w:val="0"/>
        <w:snapToGrid w:val="0"/>
        <w:spacing w:line="360" w:lineRule="auto"/>
        <w:ind w:right="24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技术</w:t>
      </w:r>
      <w:r>
        <w:rPr>
          <w:rFonts w:hint="eastAsia" w:asciiTheme="majorEastAsia" w:hAnsiTheme="majorEastAsia" w:eastAsiaTheme="majorEastAsia" w:cstheme="majorEastAsia"/>
          <w:sz w:val="24"/>
        </w:rPr>
        <w:t>文件</w:t>
      </w:r>
    </w:p>
    <w:p w14:paraId="50F9A482">
      <w:pPr>
        <w:numPr>
          <w:ilvl w:val="0"/>
          <w:numId w:val="79"/>
        </w:numPr>
        <w:tabs>
          <w:tab w:val="left" w:pos="7740"/>
        </w:tabs>
        <w:autoSpaceDE w:val="0"/>
        <w:autoSpaceDN w:val="0"/>
        <w:adjustRightInd w:val="0"/>
        <w:snapToGrid w:val="0"/>
        <w:spacing w:line="360" w:lineRule="auto"/>
        <w:ind w:right="32"/>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报价文件</w:t>
      </w:r>
    </w:p>
    <w:p w14:paraId="0735BB03">
      <w:pPr>
        <w:tabs>
          <w:tab w:val="left" w:pos="7740"/>
        </w:tabs>
        <w:autoSpaceDE w:val="0"/>
        <w:autoSpaceDN w:val="0"/>
        <w:adjustRightInd w:val="0"/>
        <w:snapToGrid w:val="0"/>
        <w:spacing w:line="360" w:lineRule="auto"/>
        <w:ind w:right="2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在此，我方声明如下：</w:t>
      </w:r>
    </w:p>
    <w:p w14:paraId="07B271CD">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同意并接受招标文件的各项要求，遵守招标文件中的各项规定，按招标文件的要求提供报价。</w:t>
      </w:r>
    </w:p>
    <w:p w14:paraId="0DEA3280">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投标有效期为递交投标文件</w:t>
      </w:r>
      <w:r>
        <w:rPr>
          <w:rFonts w:hint="eastAsia" w:ascii="宋体" w:hAnsi="宋体" w:eastAsia="宋体" w:cs="宋体"/>
          <w:sz w:val="24"/>
        </w:rPr>
        <w:t>截止</w:t>
      </w:r>
      <w:r>
        <w:rPr>
          <w:rFonts w:hint="eastAsia" w:asciiTheme="majorEastAsia" w:hAnsiTheme="majorEastAsia" w:eastAsiaTheme="majorEastAsia" w:cstheme="majorEastAsia"/>
          <w:sz w:val="24"/>
        </w:rPr>
        <w:t>之日起</w:t>
      </w:r>
      <w:r>
        <w:rPr>
          <w:rFonts w:hint="eastAsia" w:asciiTheme="majorEastAsia" w:hAnsiTheme="majorEastAsia" w:eastAsiaTheme="majorEastAsia" w:cstheme="majorEastAsia"/>
          <w:sz w:val="24"/>
          <w:u w:val="single"/>
        </w:rPr>
        <w:t>90</w:t>
      </w:r>
      <w:r>
        <w:rPr>
          <w:rFonts w:hint="eastAsia" w:asciiTheme="majorEastAsia" w:hAnsiTheme="majorEastAsia" w:eastAsiaTheme="majorEastAsia" w:cstheme="majorEastAsia"/>
          <w:sz w:val="24"/>
        </w:rPr>
        <w:t>天，中标人投标有效期延至合同验收之日。</w:t>
      </w:r>
    </w:p>
    <w:p w14:paraId="54FE16FE">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0A384A84">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我方是依法注册的法人，在法律、财务及运作上完全独立于招标人或招标代理机构。</w:t>
      </w:r>
    </w:p>
    <w:p w14:paraId="67E70E75">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我方已毫无保留地向贵方提供一切所需的证明材料。</w:t>
      </w:r>
    </w:p>
    <w:p w14:paraId="503A1EF1">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我方承诺在本次投标中提供的一切文件，无论是原件还是复印件均为真实和准确的，绝无任何虚假、伪造和夸大的成份，否则，愿承担相应的后果和法律责任。</w:t>
      </w:r>
    </w:p>
    <w:p w14:paraId="5CFA9A28">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我方完全服从和尊重评标委员会所作的评定结果。</w:t>
      </w:r>
    </w:p>
    <w:p w14:paraId="327F2926">
      <w:pPr>
        <w:numPr>
          <w:ilvl w:val="0"/>
          <w:numId w:val="80"/>
        </w:numPr>
        <w:tabs>
          <w:tab w:val="left" w:pos="7740"/>
        </w:tabs>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我方同意按招标文件规定向招标代理机构缴纳</w:t>
      </w:r>
      <w:r>
        <w:rPr>
          <w:rFonts w:hint="eastAsia" w:asciiTheme="majorEastAsia" w:hAnsiTheme="majorEastAsia" w:eastAsiaTheme="majorEastAsia" w:cstheme="majorEastAsia"/>
          <w:sz w:val="24"/>
          <w:lang w:val="en-GB"/>
        </w:rPr>
        <w:t>招标代理</w:t>
      </w:r>
      <w:r>
        <w:rPr>
          <w:rFonts w:hint="eastAsia" w:asciiTheme="majorEastAsia" w:hAnsiTheme="majorEastAsia" w:eastAsiaTheme="majorEastAsia" w:cstheme="majorEastAsia"/>
          <w:sz w:val="24"/>
        </w:rPr>
        <w:t>服务费。</w:t>
      </w:r>
    </w:p>
    <w:p w14:paraId="703EAB80">
      <w:pPr>
        <w:tabs>
          <w:tab w:val="left" w:pos="7740"/>
        </w:tabs>
        <w:adjustRightInd w:val="0"/>
        <w:snapToGrid w:val="0"/>
        <w:spacing w:line="360" w:lineRule="auto"/>
        <w:ind w:left="420"/>
        <w:rPr>
          <w:rFonts w:asciiTheme="majorEastAsia" w:hAnsiTheme="majorEastAsia" w:eastAsiaTheme="majorEastAsia" w:cstheme="majorEastAsia"/>
          <w:sz w:val="24"/>
        </w:rPr>
      </w:pPr>
    </w:p>
    <w:p w14:paraId="4D454B14">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备注：本投标函内容不得擅自删改，否则视为无效投标。</w:t>
      </w:r>
    </w:p>
    <w:p w14:paraId="6E477B96">
      <w:pPr>
        <w:tabs>
          <w:tab w:val="left" w:pos="7740"/>
        </w:tabs>
        <w:adjustRightInd w:val="0"/>
        <w:snapToGrid w:val="0"/>
        <w:spacing w:line="360" w:lineRule="auto"/>
        <w:ind w:left="420"/>
        <w:rPr>
          <w:rFonts w:asciiTheme="majorEastAsia" w:hAnsiTheme="majorEastAsia" w:eastAsiaTheme="majorEastAsia" w:cstheme="majorEastAsia"/>
          <w:sz w:val="24"/>
        </w:rPr>
      </w:pPr>
    </w:p>
    <w:p w14:paraId="1CFE7EDD">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地址：                       电    话：     </w:t>
      </w:r>
    </w:p>
    <w:p w14:paraId="1D3D2BA9">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传真：                       电子邮箱：</w:t>
      </w:r>
    </w:p>
    <w:p w14:paraId="33C866B9">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开户银行：                           </w:t>
      </w:r>
    </w:p>
    <w:p w14:paraId="08F91EDA">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账号：                                    </w:t>
      </w:r>
    </w:p>
    <w:p w14:paraId="673562CF">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p>
    <w:p w14:paraId="5F194B96">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投标人名称（加盖公章）：</w:t>
      </w:r>
    </w:p>
    <w:p w14:paraId="1551A696">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投标人法定代表人或其授权代表（签字或盖章）：                                </w:t>
      </w:r>
    </w:p>
    <w:p w14:paraId="385C2AB8">
      <w:pPr>
        <w:tabs>
          <w:tab w:val="left" w:pos="7740"/>
        </w:tabs>
        <w:autoSpaceDE w:val="0"/>
        <w:autoSpaceDN w:val="0"/>
        <w:adjustRightInd w:val="0"/>
        <w:snapToGrid w:val="0"/>
        <w:spacing w:line="360" w:lineRule="auto"/>
        <w:ind w:right="246"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日期：                                   </w:t>
      </w:r>
    </w:p>
    <w:p w14:paraId="6D695C71">
      <w:pPr>
        <w:adjustRightInd w:val="0"/>
        <w:snapToGrid w:val="0"/>
        <w:spacing w:line="360" w:lineRule="auto"/>
        <w:ind w:firstLine="480" w:firstLineChars="200"/>
        <w:rPr>
          <w:rFonts w:ascii="宋体" w:hAnsi="宋体" w:eastAsia="宋体" w:cs="宋体"/>
          <w:sz w:val="24"/>
        </w:rPr>
      </w:pPr>
    </w:p>
    <w:p w14:paraId="732D2169">
      <w:pPr>
        <w:adjustRightInd w:val="0"/>
        <w:snapToGrid w:val="0"/>
        <w:spacing w:line="360" w:lineRule="auto"/>
        <w:ind w:firstLine="480" w:firstLineChars="200"/>
        <w:rPr>
          <w:rFonts w:ascii="宋体" w:hAnsi="宋体" w:eastAsia="宋体" w:cs="宋体"/>
          <w:sz w:val="24"/>
        </w:rPr>
      </w:pPr>
    </w:p>
    <w:p w14:paraId="6B2FE0E0">
      <w:pPr>
        <w:adjustRightInd w:val="0"/>
        <w:snapToGrid w:val="0"/>
        <w:spacing w:line="360" w:lineRule="auto"/>
        <w:ind w:firstLine="480" w:firstLineChars="200"/>
        <w:rPr>
          <w:rFonts w:ascii="宋体" w:hAnsi="宋体" w:eastAsia="宋体" w:cs="宋体"/>
          <w:sz w:val="24"/>
        </w:rPr>
      </w:pPr>
    </w:p>
    <w:p w14:paraId="749BAF25">
      <w:pPr>
        <w:adjustRightInd w:val="0"/>
        <w:snapToGrid w:val="0"/>
        <w:spacing w:line="360" w:lineRule="auto"/>
        <w:ind w:firstLine="480" w:firstLineChars="200"/>
        <w:rPr>
          <w:rFonts w:ascii="宋体" w:hAnsi="宋体" w:eastAsia="宋体" w:cs="宋体"/>
          <w:sz w:val="24"/>
        </w:rPr>
      </w:pPr>
    </w:p>
    <w:p w14:paraId="0D49C47F">
      <w:pPr>
        <w:rPr>
          <w:sz w:val="24"/>
        </w:rPr>
      </w:pPr>
      <w:bookmarkStart w:id="285" w:name="_Toc417739816"/>
      <w:bookmarkEnd w:id="285"/>
    </w:p>
    <w:bookmarkEnd w:id="280"/>
    <w:bookmarkEnd w:id="281"/>
    <w:bookmarkEnd w:id="282"/>
    <w:bookmarkEnd w:id="283"/>
    <w:bookmarkEnd w:id="284"/>
    <w:p w14:paraId="7A78BB84">
      <w:pPr>
        <w:pStyle w:val="4"/>
        <w:jc w:val="center"/>
        <w:sectPr>
          <w:pgSz w:w="11905" w:h="16838"/>
          <w:pgMar w:top="1440" w:right="1440" w:bottom="1440" w:left="1440" w:header="850" w:footer="822" w:gutter="0"/>
          <w:cols w:space="0" w:num="1"/>
          <w:docGrid w:linePitch="312" w:charSpace="0"/>
        </w:sectPr>
      </w:pPr>
      <w:bookmarkStart w:id="286" w:name="_Toc381489426"/>
      <w:bookmarkStart w:id="287" w:name="_Toc423021956"/>
    </w:p>
    <w:p w14:paraId="6EAE092A">
      <w:pPr>
        <w:pStyle w:val="4"/>
        <w:numPr>
          <w:ilvl w:val="0"/>
          <w:numId w:val="78"/>
        </w:numPr>
        <w:spacing w:after="0" w:line="360" w:lineRule="auto"/>
        <w:jc w:val="center"/>
      </w:pPr>
      <w:bookmarkStart w:id="288" w:name="_Toc3798"/>
      <w:bookmarkStart w:id="289" w:name="_Toc12393"/>
      <w:bookmarkStart w:id="290" w:name="_Toc32599"/>
      <w:r>
        <w:rPr>
          <w:rFonts w:hint="eastAsia"/>
        </w:rPr>
        <w:t>关于资格的声明函</w:t>
      </w:r>
      <w:bookmarkEnd w:id="286"/>
      <w:bookmarkEnd w:id="287"/>
      <w:bookmarkEnd w:id="288"/>
      <w:bookmarkEnd w:id="289"/>
      <w:bookmarkEnd w:id="290"/>
    </w:p>
    <w:p w14:paraId="41ECF64C">
      <w:pPr>
        <w:spacing w:line="360" w:lineRule="auto"/>
        <w:rPr>
          <w:rFonts w:ascii="宋体" w:hAnsi="宋体" w:cs="宋体"/>
          <w:sz w:val="24"/>
        </w:rPr>
      </w:pPr>
      <w:r>
        <w:rPr>
          <w:rFonts w:hint="eastAsia" w:ascii="宋体" w:hAnsi="宋体" w:cs="宋体"/>
          <w:b/>
          <w:sz w:val="24"/>
        </w:rPr>
        <w:t>致：招标人、广东有德招标采购有限公司</w:t>
      </w:r>
    </w:p>
    <w:p w14:paraId="5BB98571">
      <w:pPr>
        <w:spacing w:line="360" w:lineRule="auto"/>
        <w:ind w:firstLine="480" w:firstLineChars="200"/>
        <w:rPr>
          <w:rFonts w:ascii="宋体" w:hAnsi="宋体" w:cs="宋体"/>
          <w:sz w:val="24"/>
        </w:rPr>
      </w:pPr>
      <w:r>
        <w:rPr>
          <w:rFonts w:hint="eastAsia" w:ascii="宋体" w:hAnsi="宋体" w:cs="宋体"/>
          <w:sz w:val="24"/>
        </w:rPr>
        <w:t>关于贵公司发布的</w:t>
      </w:r>
      <w:r>
        <w:rPr>
          <w:rFonts w:hint="eastAsia" w:ascii="宋体" w:hAnsi="宋体" w:cs="宋体"/>
          <w:sz w:val="24"/>
          <w:u w:val="single"/>
        </w:rPr>
        <w:t xml:space="preserve">                        项目（项目编号：     ）</w:t>
      </w:r>
      <w:r>
        <w:rPr>
          <w:rFonts w:hint="eastAsia" w:ascii="宋体" w:hAnsi="宋体" w:cs="宋体"/>
          <w:sz w:val="24"/>
        </w:rPr>
        <w:t>的采购项目，我单位愿意参加投标并在此声明：</w:t>
      </w:r>
    </w:p>
    <w:p w14:paraId="305B5D93">
      <w:pPr>
        <w:numPr>
          <w:ilvl w:val="0"/>
          <w:numId w:val="81"/>
        </w:numPr>
        <w:spacing w:line="360" w:lineRule="auto"/>
        <w:ind w:left="0" w:firstLine="480" w:firstLineChars="200"/>
        <w:rPr>
          <w:rFonts w:ascii="宋体" w:hAnsi="宋体" w:cs="宋体"/>
          <w:sz w:val="24"/>
        </w:rPr>
      </w:pPr>
      <w:r>
        <w:rPr>
          <w:rFonts w:hint="eastAsia" w:ascii="宋体" w:hAnsi="宋体" w:cs="宋体"/>
          <w:sz w:val="24"/>
        </w:rPr>
        <w:t>具有独立承担民事责任的能力；</w:t>
      </w:r>
    </w:p>
    <w:p w14:paraId="4CF72CD0">
      <w:pPr>
        <w:numPr>
          <w:ilvl w:val="0"/>
          <w:numId w:val="81"/>
        </w:numPr>
        <w:spacing w:line="360" w:lineRule="auto"/>
        <w:ind w:left="0" w:firstLine="480" w:firstLineChars="200"/>
        <w:rPr>
          <w:rFonts w:ascii="宋体" w:hAnsi="宋体" w:cs="宋体"/>
          <w:sz w:val="24"/>
        </w:rPr>
      </w:pPr>
      <w:r>
        <w:rPr>
          <w:rFonts w:hint="eastAsia" w:ascii="宋体" w:hAnsi="宋体" w:cs="宋体"/>
          <w:sz w:val="24"/>
        </w:rPr>
        <w:t>具有良好的商业信誉和健全的财务会计制度；</w:t>
      </w:r>
    </w:p>
    <w:p w14:paraId="50EAA38C">
      <w:pPr>
        <w:numPr>
          <w:ilvl w:val="0"/>
          <w:numId w:val="81"/>
        </w:numPr>
        <w:spacing w:line="360" w:lineRule="auto"/>
        <w:ind w:left="0" w:firstLine="480" w:firstLineChars="200"/>
        <w:rPr>
          <w:rFonts w:ascii="宋体" w:hAnsi="宋体" w:cs="宋体"/>
          <w:sz w:val="24"/>
        </w:rPr>
      </w:pPr>
      <w:r>
        <w:rPr>
          <w:rFonts w:hint="eastAsia" w:ascii="宋体" w:hAnsi="宋体" w:cs="宋体"/>
          <w:sz w:val="24"/>
        </w:rPr>
        <w:t>具有履行合同所必需的设备和专业技术能力；</w:t>
      </w:r>
    </w:p>
    <w:p w14:paraId="306DBD1B">
      <w:pPr>
        <w:numPr>
          <w:ilvl w:val="0"/>
          <w:numId w:val="81"/>
        </w:numPr>
        <w:spacing w:line="360" w:lineRule="auto"/>
        <w:ind w:left="0" w:firstLine="480" w:firstLineChars="200"/>
        <w:rPr>
          <w:rFonts w:ascii="宋体" w:hAnsi="宋体" w:cs="宋体"/>
          <w:sz w:val="24"/>
        </w:rPr>
      </w:pPr>
      <w:r>
        <w:rPr>
          <w:rFonts w:hint="eastAsia" w:ascii="宋体" w:hAnsi="宋体" w:cs="宋体"/>
          <w:sz w:val="24"/>
        </w:rPr>
        <w:t>有依法缴纳税收和社会保障资金的良好记录；</w:t>
      </w:r>
    </w:p>
    <w:p w14:paraId="1AD2425D">
      <w:pPr>
        <w:numPr>
          <w:ilvl w:val="0"/>
          <w:numId w:val="81"/>
        </w:numPr>
        <w:spacing w:line="360" w:lineRule="auto"/>
        <w:ind w:left="0" w:firstLine="480" w:firstLineChars="200"/>
        <w:rPr>
          <w:rFonts w:ascii="宋体" w:hAnsi="宋体" w:cs="宋体"/>
          <w:sz w:val="24"/>
        </w:rPr>
      </w:pPr>
      <w:r>
        <w:rPr>
          <w:rFonts w:hint="eastAsia" w:ascii="宋体" w:hAnsi="宋体" w:cs="宋体"/>
          <w:sz w:val="24"/>
        </w:rPr>
        <w:t>我司在近三年承揽的招标活动中，无违法、违规的不良记录，未因申请人违规或违约介入诉讼或仲裁，不存在拖欠工资情况及重大质量问题、重大安全事故，未因我司违规或违约解除合同。我司在投标期间没有处于被责令停业、或财产被接管或冻结、或被暂停参加投标活动的处罚阶段；</w:t>
      </w:r>
    </w:p>
    <w:p w14:paraId="5F8A1680">
      <w:pPr>
        <w:numPr>
          <w:ilvl w:val="0"/>
          <w:numId w:val="81"/>
        </w:numPr>
        <w:spacing w:line="360" w:lineRule="auto"/>
        <w:ind w:left="0" w:firstLine="480" w:firstLineChars="200"/>
        <w:rPr>
          <w:rFonts w:ascii="宋体" w:hAnsi="宋体" w:cs="宋体"/>
          <w:sz w:val="24"/>
        </w:rPr>
      </w:pPr>
      <w:r>
        <w:rPr>
          <w:rFonts w:hint="eastAsia" w:ascii="宋体" w:hAnsi="宋体" w:cs="宋体"/>
          <w:sz w:val="24"/>
        </w:rPr>
        <w:t>符合法律、行政法规规定的其他条件；</w:t>
      </w:r>
    </w:p>
    <w:p w14:paraId="518A1DA6">
      <w:pPr>
        <w:numPr>
          <w:ilvl w:val="0"/>
          <w:numId w:val="81"/>
        </w:numPr>
        <w:spacing w:line="360" w:lineRule="auto"/>
        <w:ind w:left="0" w:firstLine="480" w:firstLineChars="200"/>
        <w:rPr>
          <w:rFonts w:ascii="宋体" w:hAnsi="宋体" w:cs="宋体"/>
          <w:sz w:val="24"/>
        </w:rPr>
      </w:pPr>
      <w:r>
        <w:rPr>
          <w:rFonts w:hint="eastAsia" w:ascii="宋体" w:hAnsi="宋体" w:cs="宋体"/>
          <w:sz w:val="24"/>
        </w:rPr>
        <w:t>与本公司单位负责人为同一人或者与本公司存在控股、管理关系的其他单位包括：</w:t>
      </w:r>
      <w:r>
        <w:rPr>
          <w:rFonts w:hint="eastAsia" w:ascii="宋体" w:hAnsi="宋体" w:cs="宋体"/>
          <w:sz w:val="24"/>
          <w:u w:val="single"/>
        </w:rPr>
        <w:t xml:space="preserve">         </w:t>
      </w:r>
      <w:r>
        <w:rPr>
          <w:rFonts w:hint="eastAsia" w:ascii="宋体" w:hAnsi="宋体" w:cs="宋体"/>
          <w:sz w:val="24"/>
        </w:rPr>
        <w:t>。（注：本条由投标人如实填写，如有，应列出全部满足招标公告资质要求的相关单位的名称；如无，则填写“无”）。我公司不存在单位负责人为同一人或者存在直接控股、管理关系的不同供应商参加同一合同项下的政府采购活动情况。</w:t>
      </w:r>
    </w:p>
    <w:p w14:paraId="2836F4F9">
      <w:pPr>
        <w:numPr>
          <w:ilvl w:val="0"/>
          <w:numId w:val="81"/>
        </w:numPr>
        <w:spacing w:line="360" w:lineRule="auto"/>
        <w:ind w:left="0" w:firstLine="480" w:firstLineChars="200"/>
        <w:rPr>
          <w:rFonts w:ascii="宋体" w:hAnsi="宋体" w:cs="宋体"/>
          <w:sz w:val="24"/>
        </w:rPr>
      </w:pPr>
      <w:r>
        <w:rPr>
          <w:rFonts w:hint="eastAsia" w:ascii="宋体" w:hAnsi="宋体" w:cs="宋体"/>
          <w:sz w:val="24"/>
        </w:rPr>
        <w:t>我单位非为本项目提供整体设计、规范编制或者项目管理、监理、检测等服务的供应商。</w:t>
      </w:r>
    </w:p>
    <w:p w14:paraId="3EE31023">
      <w:pPr>
        <w:numPr>
          <w:ilvl w:val="0"/>
          <w:numId w:val="81"/>
        </w:numPr>
        <w:spacing w:line="360" w:lineRule="auto"/>
        <w:ind w:left="0" w:firstLine="480" w:firstLineChars="200"/>
        <w:rPr>
          <w:rFonts w:ascii="宋体" w:hAnsi="宋体" w:cs="宋体"/>
          <w:sz w:val="24"/>
        </w:rPr>
      </w:pPr>
      <w:r>
        <w:rPr>
          <w:rFonts w:hint="eastAsia" w:ascii="宋体" w:hAnsi="宋体" w:cs="宋体"/>
          <w:sz w:val="24"/>
        </w:rPr>
        <w:t>我公司</w:t>
      </w:r>
      <w:r>
        <w:rPr>
          <w:rFonts w:hint="eastAsia" w:ascii="宋体" w:hAnsi="宋体" w:cs="宋体"/>
          <w:bCs/>
          <w:sz w:val="24"/>
        </w:rPr>
        <w:t>声明</w:t>
      </w:r>
      <w:r>
        <w:rPr>
          <w:rFonts w:hint="eastAsia" w:ascii="宋体" w:hAnsi="宋体" w:cs="宋体"/>
          <w:sz w:val="24"/>
        </w:rPr>
        <w:t>未被列入“中国执行信息公开网”（z*gk.court.gov.cn）“失信被执行人”记录；未被列入“信用中国”网站(www.creditchina.gov.cn)“重大税收违法失信主体”、“政府采购严重违法失信行为”记录名单；未处于中国政府采购网(www.ccgp.gov.cn)“政府采购严重违法失信行为”中的禁止参加政府采购活动期间。</w:t>
      </w:r>
    </w:p>
    <w:p w14:paraId="77CF8DA7">
      <w:pPr>
        <w:spacing w:line="360" w:lineRule="auto"/>
        <w:ind w:firstLine="480" w:firstLineChars="200"/>
        <w:rPr>
          <w:rFonts w:ascii="宋体" w:hAnsi="宋体" w:cs="宋体"/>
          <w:sz w:val="24"/>
        </w:rPr>
      </w:pPr>
      <w:r>
        <w:rPr>
          <w:rFonts w:hint="eastAsia" w:ascii="宋体" w:hAnsi="宋体" w:cs="宋体"/>
          <w:sz w:val="24"/>
        </w:rPr>
        <w:t>若有违反本承诺内容的行为，被招标人、招标代理机构发现或被他人举报查实，将无条件接受监管部门作出的取消投标资格、中标资格、不良行为记录的处罚。对造成的损失，任何法律和经济责任完全由我方负责。</w:t>
      </w:r>
    </w:p>
    <w:p w14:paraId="32102C20">
      <w:pPr>
        <w:adjustRightInd w:val="0"/>
        <w:snapToGrid w:val="0"/>
        <w:spacing w:line="360" w:lineRule="auto"/>
        <w:ind w:firstLine="2940" w:firstLineChars="1225"/>
        <w:rPr>
          <w:rFonts w:ascii="宋体" w:hAnsi="宋体" w:cs="宋体"/>
          <w:sz w:val="24"/>
          <w:u w:val="single"/>
        </w:rPr>
      </w:pPr>
      <w:r>
        <w:rPr>
          <w:rFonts w:hint="eastAsia" w:ascii="宋体" w:hAnsi="宋体" w:cs="宋体"/>
          <w:sz w:val="24"/>
        </w:rPr>
        <w:t>投标人名称（加盖公章）：</w:t>
      </w:r>
    </w:p>
    <w:p w14:paraId="54380FC4">
      <w:pPr>
        <w:adjustRightInd w:val="0"/>
        <w:snapToGrid w:val="0"/>
        <w:spacing w:line="360" w:lineRule="auto"/>
        <w:ind w:firstLine="2940" w:firstLineChars="1225"/>
        <w:rPr>
          <w:rFonts w:ascii="宋体" w:hAnsi="宋体" w:cs="宋体"/>
          <w:sz w:val="24"/>
          <w:u w:val="single"/>
        </w:rPr>
      </w:pPr>
      <w:r>
        <w:rPr>
          <w:rFonts w:hint="eastAsia" w:ascii="宋体" w:hAnsi="宋体" w:cs="宋体"/>
          <w:sz w:val="24"/>
        </w:rPr>
        <w:t>投标人法定代表人或其授权代表（签字或盖章）：</w:t>
      </w:r>
    </w:p>
    <w:p w14:paraId="56D836A0">
      <w:pPr>
        <w:spacing w:line="360" w:lineRule="auto"/>
        <w:ind w:firstLine="2940" w:firstLineChars="1225"/>
        <w:rPr>
          <w:rFonts w:ascii="宋体" w:hAnsi="宋体" w:cs="宋体"/>
          <w:sz w:val="24"/>
        </w:rPr>
      </w:pPr>
      <w:r>
        <w:rPr>
          <w:rFonts w:hint="eastAsia" w:ascii="宋体" w:hAnsi="宋体" w:cs="宋体"/>
          <w:sz w:val="24"/>
        </w:rPr>
        <w:t>日期：   年   月   日</w:t>
      </w:r>
    </w:p>
    <w:p w14:paraId="2A327E90">
      <w:pPr>
        <w:pStyle w:val="4"/>
        <w:numPr>
          <w:ilvl w:val="0"/>
          <w:numId w:val="78"/>
        </w:numPr>
        <w:jc w:val="center"/>
      </w:pPr>
      <w:bookmarkStart w:id="291" w:name="_Toc3507"/>
      <w:bookmarkStart w:id="292" w:name="_Toc21558"/>
      <w:bookmarkStart w:id="293" w:name="_Toc12907"/>
      <w:bookmarkStart w:id="294" w:name="_Toc22784"/>
      <w:bookmarkStart w:id="295" w:name="_Toc21214"/>
      <w:bookmarkStart w:id="296" w:name="_Toc423021960"/>
      <w:bookmarkStart w:id="297" w:name="_Toc73109385"/>
      <w:bookmarkStart w:id="298" w:name="_Toc197799988"/>
      <w:bookmarkStart w:id="299" w:name="_Toc381489429"/>
      <w:bookmarkStart w:id="300" w:name="_Toc196294648"/>
      <w:bookmarkStart w:id="301" w:name="_Toc183316737"/>
      <w:bookmarkStart w:id="302" w:name="_Toc196294649"/>
      <w:bookmarkStart w:id="303" w:name="_Toc182886678"/>
      <w:r>
        <w:rPr>
          <w:rFonts w:hint="eastAsia"/>
        </w:rPr>
        <w:t>法定代表人（负责人）证明书和法定代表人（负责人）授权委托书</w:t>
      </w:r>
      <w:bookmarkEnd w:id="291"/>
      <w:bookmarkEnd w:id="292"/>
      <w:bookmarkEnd w:id="293"/>
      <w:bookmarkEnd w:id="294"/>
      <w:bookmarkEnd w:id="295"/>
      <w:bookmarkEnd w:id="296"/>
      <w:bookmarkEnd w:id="297"/>
    </w:p>
    <w:p w14:paraId="33CCFB96">
      <w:pPr>
        <w:numPr>
          <w:ilvl w:val="0"/>
          <w:numId w:val="82"/>
        </w:numPr>
        <w:spacing w:before="72" w:after="72" w:line="360" w:lineRule="auto"/>
        <w:jc w:val="center"/>
        <w:rPr>
          <w:rFonts w:ascii="宋体" w:hAnsi="Times New Roman" w:eastAsia="宋体" w:cs="宋体"/>
          <w:sz w:val="30"/>
          <w:szCs w:val="30"/>
        </w:rPr>
      </w:pPr>
      <w:r>
        <w:rPr>
          <w:rFonts w:hint="eastAsia" w:ascii="宋体" w:hAnsi="Times New Roman" w:eastAsia="宋体" w:cs="宋体"/>
          <w:b/>
          <w:kern w:val="44"/>
          <w:sz w:val="30"/>
          <w:szCs w:val="30"/>
        </w:rPr>
        <w:t>法定代表人（负责人）证明书</w:t>
      </w:r>
    </w:p>
    <w:p w14:paraId="2A7A0150">
      <w:pPr>
        <w:adjustRightInd w:val="0"/>
        <w:snapToGrid w:val="0"/>
        <w:spacing w:before="120" w:beforeLines="50" w:after="120" w:afterLines="50" w:line="360" w:lineRule="auto"/>
        <w:rPr>
          <w:rFonts w:ascii="宋体" w:hAnsi="Times New Roman" w:eastAsia="宋体" w:cs="宋体"/>
          <w:b/>
          <w:sz w:val="24"/>
        </w:rPr>
      </w:pPr>
      <w:r>
        <w:rPr>
          <w:rFonts w:hint="eastAsia" w:ascii="宋体" w:hAnsi="Times New Roman" w:eastAsia="宋体" w:cs="宋体"/>
          <w:b/>
          <w:sz w:val="24"/>
        </w:rPr>
        <w:t>致：广东有德招标采购有限公司</w:t>
      </w:r>
    </w:p>
    <w:p w14:paraId="12DD66CC">
      <w:pPr>
        <w:spacing w:before="72" w:after="72" w:line="360" w:lineRule="auto"/>
        <w:ind w:firstLine="480" w:firstLineChars="200"/>
        <w:rPr>
          <w:rFonts w:ascii="宋体" w:hAnsi="Times New Roman" w:eastAsia="宋体" w:cs="宋体"/>
          <w:sz w:val="24"/>
        </w:rPr>
      </w:pPr>
      <w:r>
        <w:rPr>
          <w:rFonts w:hint="eastAsia" w:ascii="宋体" w:hAnsi="Times New Roman" w:eastAsia="宋体" w:cs="宋体"/>
          <w:sz w:val="24"/>
          <w:u w:val="single"/>
        </w:rPr>
        <w:t>　　　</w:t>
      </w:r>
      <w:r>
        <w:rPr>
          <w:rFonts w:hint="eastAsia" w:ascii="宋体" w:hAnsi="Times New Roman" w:eastAsia="宋体" w:cs="宋体"/>
          <w:sz w:val="24"/>
        </w:rPr>
        <w:t>同志，现任我单位</w:t>
      </w:r>
      <w:r>
        <w:rPr>
          <w:rFonts w:hint="eastAsia" w:ascii="宋体" w:hAnsi="Times New Roman" w:eastAsia="宋体" w:cs="宋体"/>
          <w:sz w:val="24"/>
          <w:u w:val="single"/>
        </w:rPr>
        <w:t>　　　　　　　</w:t>
      </w:r>
      <w:r>
        <w:rPr>
          <w:rFonts w:hint="eastAsia" w:ascii="宋体" w:hAnsi="Times New Roman" w:eastAsia="宋体" w:cs="宋体"/>
          <w:sz w:val="24"/>
        </w:rPr>
        <w:t>职务，为法定代表人（负责人），特此证明。</w:t>
      </w:r>
    </w:p>
    <w:p w14:paraId="05F3B087">
      <w:pPr>
        <w:spacing w:before="72" w:after="72" w:line="360" w:lineRule="auto"/>
        <w:ind w:firstLine="480" w:firstLineChars="200"/>
        <w:rPr>
          <w:rFonts w:ascii="宋体" w:hAnsi="Times New Roman" w:eastAsia="宋体" w:cs="宋体"/>
          <w:sz w:val="24"/>
        </w:rPr>
      </w:pPr>
      <w:r>
        <w:rPr>
          <w:rFonts w:hint="eastAsia" w:ascii="宋体" w:hAnsi="Times New Roman" w:eastAsia="宋体" w:cs="宋体"/>
          <w:sz w:val="24"/>
        </w:rPr>
        <w:t>本证明书有效期与本公司投标文件中标注的投标有效期相同。</w:t>
      </w:r>
    </w:p>
    <w:p w14:paraId="5F0D7C70">
      <w:pPr>
        <w:spacing w:before="72" w:after="72" w:line="360" w:lineRule="auto"/>
        <w:ind w:firstLine="482" w:firstLineChars="200"/>
        <w:rPr>
          <w:rFonts w:ascii="宋体" w:hAnsi="Times New Roman" w:eastAsia="宋体" w:cs="宋体"/>
          <w:b/>
          <w:sz w:val="24"/>
        </w:rPr>
      </w:pPr>
    </w:p>
    <w:p w14:paraId="0225393F">
      <w:pPr>
        <w:spacing w:before="72" w:after="72" w:line="360" w:lineRule="auto"/>
        <w:ind w:firstLine="420" w:firstLineChars="200"/>
        <w:rPr>
          <w:rFonts w:ascii="宋体" w:hAnsi="Times New Roman" w:eastAsia="宋体" w:cs="宋体"/>
          <w:szCs w:val="21"/>
        </w:rPr>
      </w:pPr>
    </w:p>
    <w:p w14:paraId="10EE8C17">
      <w:pPr>
        <w:spacing w:before="72" w:after="72" w:line="360" w:lineRule="auto"/>
        <w:rPr>
          <w:rFonts w:ascii="宋体" w:hAnsi="Times New Roman" w:eastAsia="宋体" w:cs="宋体"/>
          <w:sz w:val="24"/>
        </w:rPr>
      </w:pPr>
      <w:r>
        <w:rPr>
          <w:rFonts w:hint="eastAsia" w:ascii="宋体" w:hAnsi="Times New Roman" w:eastAsia="宋体" w:cs="宋体"/>
          <w:sz w:val="24"/>
        </w:rPr>
        <w:t>投标人名称（加盖公章）：</w:t>
      </w:r>
    </w:p>
    <w:p w14:paraId="5589F525">
      <w:pPr>
        <w:spacing w:before="240" w:beforeLines="100"/>
        <w:rPr>
          <w:rFonts w:ascii="宋体" w:hAnsi="Times New Roman" w:eastAsia="宋体" w:cs="宋体"/>
          <w:b/>
          <w:bCs/>
          <w:sz w:val="28"/>
          <w:szCs w:val="28"/>
        </w:rPr>
      </w:pPr>
      <w:r>
        <w:rPr>
          <w:rFonts w:hint="eastAsia" w:ascii="宋体" w:hAnsi="Times New Roman" w:eastAsia="宋体" w:cs="宋体"/>
          <w:sz w:val="24"/>
        </w:rPr>
        <w:t>日期：</w:t>
      </w:r>
      <w:r>
        <w:rPr>
          <w:rFonts w:hint="eastAsia" w:ascii="宋体" w:hAnsi="Times New Roman" w:eastAsia="宋体" w:cs="宋体"/>
          <w:bCs/>
          <w:sz w:val="24"/>
        </w:rPr>
        <w:t xml:space="preserve">    年    月    日</w:t>
      </w:r>
    </w:p>
    <w:p w14:paraId="0D4001B5">
      <w:pPr>
        <w:spacing w:before="72" w:after="72" w:line="360" w:lineRule="auto"/>
        <w:ind w:firstLine="480" w:firstLineChars="200"/>
        <w:rPr>
          <w:rFonts w:ascii="宋体" w:hAnsi="Times New Roman" w:eastAsia="宋体" w:cs="宋体"/>
          <w:sz w:val="24"/>
        </w:rPr>
      </w:pPr>
    </w:p>
    <w:p w14:paraId="566B1EBF">
      <w:pPr>
        <w:spacing w:before="72" w:after="72" w:line="360" w:lineRule="auto"/>
        <w:rPr>
          <w:rFonts w:ascii="宋体" w:hAnsi="Times New Roman" w:eastAsia="宋体" w:cs="宋体"/>
          <w:b/>
          <w:sz w:val="24"/>
        </w:rPr>
      </w:pPr>
    </w:p>
    <w:p w14:paraId="40CBF832">
      <w:pPr>
        <w:spacing w:before="72" w:after="72" w:line="360" w:lineRule="auto"/>
        <w:rPr>
          <w:rFonts w:ascii="宋体" w:hAnsi="Times New Roman" w:eastAsia="宋体" w:cs="宋体"/>
          <w:b/>
          <w:sz w:val="24"/>
        </w:rPr>
      </w:pPr>
      <w:r>
        <w:rPr>
          <w:rFonts w:hint="eastAsia" w:ascii="宋体" w:hAnsi="Times New Roman" w:eastAsia="宋体" w:cs="宋体"/>
          <w:b/>
          <w:sz w:val="24"/>
        </w:rPr>
        <w:t>附法人身份证粘贴处（正反面）</w:t>
      </w:r>
    </w:p>
    <w:p w14:paraId="32E68185">
      <w:pPr>
        <w:spacing w:before="72" w:after="72" w:line="360" w:lineRule="auto"/>
        <w:rPr>
          <w:rFonts w:ascii="宋体" w:hAnsi="Times New Roman" w:eastAsia="宋体" w:cs="宋体"/>
          <w:b/>
          <w:bCs/>
          <w:sz w:val="24"/>
        </w:rPr>
      </w:pPr>
      <w:r>
        <w:rPr>
          <w:rFonts w:ascii="Times New Roman" w:hAnsi="Times New Roman" w:eastAsia="宋体" w:cs="宋体"/>
          <w:b/>
          <w:bCs/>
          <w:sz w:val="24"/>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37465</wp:posOffset>
                </wp:positionV>
                <wp:extent cx="2628900" cy="1755140"/>
                <wp:effectExtent l="0" t="0" r="19050" b="16510"/>
                <wp:wrapNone/>
                <wp:docPr id="14" name="矩形 1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ln>
                        <a:effectLst/>
                      </wps:spPr>
                      <wps:txbx>
                        <w:txbxContent>
                          <w:p w14:paraId="7815DEF7">
                            <w:pPr>
                              <w:spacing w:before="72" w:after="72"/>
                              <w:rPr>
                                <w:rFonts w:eastAsia="黑体"/>
                                <w:b/>
                                <w:sz w:val="30"/>
                              </w:rPr>
                            </w:pPr>
                          </w:p>
                          <w:p w14:paraId="4889B11C">
                            <w:pPr>
                              <w:spacing w:before="72" w:after="72"/>
                              <w:rPr>
                                <w:rFonts w:eastAsia="黑体"/>
                                <w:b/>
                                <w:sz w:val="30"/>
                              </w:rPr>
                            </w:pPr>
                          </w:p>
                          <w:p w14:paraId="09CE82AF">
                            <w:pPr>
                              <w:spacing w:before="72" w:after="72"/>
                              <w:jc w:val="center"/>
                              <w:rPr>
                                <w:rFonts w:ascii="宋体" w:cs="宋体"/>
                                <w:sz w:val="24"/>
                              </w:rPr>
                            </w:pPr>
                            <w:r>
                              <w:rPr>
                                <w:rFonts w:hint="eastAsia" w:ascii="宋体" w:cs="宋体"/>
                                <w:sz w:val="24"/>
                              </w:rPr>
                              <w:t>法定代表人（负责人）</w:t>
                            </w:r>
                          </w:p>
                          <w:p w14:paraId="4D4D5989">
                            <w:pPr>
                              <w:spacing w:before="72" w:after="72"/>
                              <w:jc w:val="center"/>
                              <w:rPr>
                                <w:rFonts w:ascii="宋体" w:cs="宋体"/>
                                <w:sz w:val="24"/>
                              </w:rPr>
                            </w:pPr>
                            <w:r>
                              <w:rPr>
                                <w:rFonts w:hint="eastAsia" w:ascii="宋体" w:cs="宋体"/>
                                <w:sz w:val="24"/>
                              </w:rPr>
                              <w:t>居民身份证复印件粘贴处</w:t>
                            </w:r>
                          </w:p>
                          <w:p w14:paraId="3518EC37">
                            <w:pPr>
                              <w:spacing w:before="72" w:after="72"/>
                              <w:jc w:val="center"/>
                              <w:rPr>
                                <w:rFonts w:ascii="宋体" w:cs="宋体"/>
                                <w:sz w:val="24"/>
                              </w:rPr>
                            </w:pPr>
                            <w:r>
                              <w:rPr>
                                <w:rFonts w:hint="eastAsia" w:ascii="宋体" w:cs="宋体"/>
                                <w:sz w:val="24"/>
                              </w:rPr>
                              <w:t>（正面）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14.85pt;margin-top:2.95pt;height:138.2pt;width:207pt;z-index:251663360;mso-width-relative:page;mso-height-relative:page;" fillcolor="#FFFFFF" filled="t" stroked="t" coordsize="21600,21600" o:gfxdata="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UKEIjXAAAACQEAAA8AAAAAAAAAAQAgAAAAIgAAAGRycy9kb3ducmV2LnhtbFBLAQIU&#10;ABQAAAAIAIdO4kBFNVCbLQIAAGcEAAAOAAAAAAAAAAEAIAAAACYBAABkcnMvZTJvRG9jLnhtbFBL&#10;BQYAAAAABgAGAFkBAADFBQAAAAA=&#10;">
                <v:fill on="t" focussize="0,0"/>
                <v:stroke color="#000000" joinstyle="miter"/>
                <v:imagedata o:title=""/>
                <o:lock v:ext="edit" aspectratio="f"/>
                <v:textbox>
                  <w:txbxContent>
                    <w:p w14:paraId="7815DEF7">
                      <w:pPr>
                        <w:spacing w:before="72" w:after="72"/>
                        <w:rPr>
                          <w:rFonts w:eastAsia="黑体"/>
                          <w:b/>
                          <w:sz w:val="30"/>
                        </w:rPr>
                      </w:pPr>
                    </w:p>
                    <w:p w14:paraId="4889B11C">
                      <w:pPr>
                        <w:spacing w:before="72" w:after="72"/>
                        <w:rPr>
                          <w:rFonts w:eastAsia="黑体"/>
                          <w:b/>
                          <w:sz w:val="30"/>
                        </w:rPr>
                      </w:pPr>
                    </w:p>
                    <w:p w14:paraId="09CE82AF">
                      <w:pPr>
                        <w:spacing w:before="72" w:after="72"/>
                        <w:jc w:val="center"/>
                        <w:rPr>
                          <w:rFonts w:ascii="宋体" w:cs="宋体"/>
                          <w:sz w:val="24"/>
                        </w:rPr>
                      </w:pPr>
                      <w:r>
                        <w:rPr>
                          <w:rFonts w:hint="eastAsia" w:ascii="宋体" w:cs="宋体"/>
                          <w:sz w:val="24"/>
                        </w:rPr>
                        <w:t>法定代表人（负责人）</w:t>
                      </w:r>
                    </w:p>
                    <w:p w14:paraId="4D4D5989">
                      <w:pPr>
                        <w:spacing w:before="72" w:after="72"/>
                        <w:jc w:val="center"/>
                        <w:rPr>
                          <w:rFonts w:ascii="宋体" w:cs="宋体"/>
                          <w:sz w:val="24"/>
                        </w:rPr>
                      </w:pPr>
                      <w:r>
                        <w:rPr>
                          <w:rFonts w:hint="eastAsia" w:ascii="宋体" w:cs="宋体"/>
                          <w:sz w:val="24"/>
                        </w:rPr>
                        <w:t>居民身份证复印件粘贴处</w:t>
                      </w:r>
                    </w:p>
                    <w:p w14:paraId="3518EC37">
                      <w:pPr>
                        <w:spacing w:before="72" w:after="72"/>
                        <w:jc w:val="center"/>
                        <w:rPr>
                          <w:rFonts w:ascii="宋体" w:cs="宋体"/>
                          <w:sz w:val="24"/>
                        </w:rPr>
                      </w:pPr>
                      <w:r>
                        <w:rPr>
                          <w:rFonts w:hint="eastAsia" w:ascii="宋体" w:cs="宋体"/>
                          <w:sz w:val="24"/>
                        </w:rPr>
                        <w:t>（正面）</w:t>
                      </w:r>
                    </w:p>
                  </w:txbxContent>
                </v:textbox>
              </v:rect>
            </w:pict>
          </mc:Fallback>
        </mc:AlternateContent>
      </w:r>
      <w:r>
        <w:rPr>
          <w:rFonts w:ascii="Times New Roman" w:hAnsi="Times New Roman" w:eastAsia="宋体" w:cs="宋体"/>
          <w:b/>
          <w:bCs/>
          <w:sz w:val="24"/>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36830</wp:posOffset>
                </wp:positionV>
                <wp:extent cx="2562225" cy="1811020"/>
                <wp:effectExtent l="0" t="0" r="28575" b="17780"/>
                <wp:wrapNone/>
                <wp:docPr id="13" name="矩形 13"/>
                <wp:cNvGraphicFramePr/>
                <a:graphic xmlns:a="http://schemas.openxmlformats.org/drawingml/2006/main">
                  <a:graphicData uri="http://schemas.microsoft.com/office/word/2010/wordprocessingShape">
                    <wps:wsp>
                      <wps:cNvSpPr/>
                      <wps:spPr>
                        <a:xfrm>
                          <a:off x="0" y="0"/>
                          <a:ext cx="2562225" cy="1811020"/>
                        </a:xfrm>
                        <a:prstGeom prst="rect">
                          <a:avLst/>
                        </a:prstGeom>
                        <a:solidFill>
                          <a:srgbClr val="FFFFFF"/>
                        </a:solidFill>
                        <a:ln w="9525" cap="flat" cmpd="sng">
                          <a:solidFill>
                            <a:srgbClr val="000000"/>
                          </a:solidFill>
                          <a:prstDash val="solid"/>
                          <a:miter/>
                        </a:ln>
                        <a:effectLst/>
                      </wps:spPr>
                      <wps:txbx>
                        <w:txbxContent>
                          <w:p w14:paraId="0EE4009F">
                            <w:pPr>
                              <w:spacing w:before="72" w:after="72"/>
                              <w:rPr>
                                <w:rFonts w:eastAsia="黑体"/>
                                <w:b/>
                                <w:sz w:val="30"/>
                              </w:rPr>
                            </w:pPr>
                          </w:p>
                          <w:p w14:paraId="7CFB43F5">
                            <w:pPr>
                              <w:spacing w:before="72" w:after="72"/>
                              <w:rPr>
                                <w:rFonts w:eastAsia="黑体"/>
                                <w:b/>
                                <w:sz w:val="30"/>
                              </w:rPr>
                            </w:pPr>
                          </w:p>
                          <w:p w14:paraId="48D28A7D">
                            <w:pPr>
                              <w:spacing w:before="72" w:after="72"/>
                              <w:jc w:val="center"/>
                              <w:rPr>
                                <w:rFonts w:ascii="宋体" w:cs="宋体"/>
                                <w:sz w:val="24"/>
                              </w:rPr>
                            </w:pPr>
                            <w:r>
                              <w:rPr>
                                <w:rFonts w:hint="eastAsia" w:ascii="宋体" w:cs="宋体"/>
                                <w:sz w:val="24"/>
                              </w:rPr>
                              <w:t>法定代表人（负责人）</w:t>
                            </w:r>
                          </w:p>
                          <w:p w14:paraId="11889827">
                            <w:pPr>
                              <w:spacing w:before="72" w:after="72"/>
                              <w:jc w:val="center"/>
                              <w:rPr>
                                <w:rFonts w:ascii="宋体" w:cs="宋体"/>
                                <w:sz w:val="24"/>
                              </w:rPr>
                            </w:pPr>
                            <w:r>
                              <w:rPr>
                                <w:rFonts w:hint="eastAsia" w:ascii="宋体" w:cs="宋体"/>
                                <w:sz w:val="24"/>
                              </w:rPr>
                              <w:t>居民身份证复印件粘贴处</w:t>
                            </w:r>
                          </w:p>
                          <w:p w14:paraId="7E86A515">
                            <w:pPr>
                              <w:spacing w:before="72" w:after="72"/>
                              <w:jc w:val="center"/>
                              <w:rPr>
                                <w:rFonts w:ascii="宋体" w:cs="宋体"/>
                                <w:sz w:val="24"/>
                              </w:rPr>
                            </w:pPr>
                            <w:r>
                              <w:rPr>
                                <w:rFonts w:hint="eastAsia" w:ascii="宋体" w:cs="宋体"/>
                                <w:sz w:val="24"/>
                              </w:rPr>
                              <w:t>（反面）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5.9pt;margin-top:2.9pt;height:142.6pt;width:201.75pt;z-index:251662336;mso-width-relative:page;mso-height-relative:page;" fillcolor="#FFFFFF" filled="t" stroked="t" coordsize="21600,21600" o:gfxdata="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NarnYAAAACQEAAA8AAAAAAAAAAQAgAAAAIgAAAGRycy9kb3ducmV2LnhtbFBLAQIU&#10;ABQAAAAIAIdO4kAqBQhdLAIAAGcEAAAOAAAAAAAAAAEAIAAAACcBAABkcnMvZTJvRG9jLnhtbFBL&#10;BQYAAAAABgAGAFkBAADFBQAAAAA=&#10;">
                <v:fill on="t" focussize="0,0"/>
                <v:stroke color="#000000" joinstyle="miter"/>
                <v:imagedata o:title=""/>
                <o:lock v:ext="edit" aspectratio="f"/>
                <v:textbox>
                  <w:txbxContent>
                    <w:p w14:paraId="0EE4009F">
                      <w:pPr>
                        <w:spacing w:before="72" w:after="72"/>
                        <w:rPr>
                          <w:rFonts w:eastAsia="黑体"/>
                          <w:b/>
                          <w:sz w:val="30"/>
                        </w:rPr>
                      </w:pPr>
                    </w:p>
                    <w:p w14:paraId="7CFB43F5">
                      <w:pPr>
                        <w:spacing w:before="72" w:after="72"/>
                        <w:rPr>
                          <w:rFonts w:eastAsia="黑体"/>
                          <w:b/>
                          <w:sz w:val="30"/>
                        </w:rPr>
                      </w:pPr>
                    </w:p>
                    <w:p w14:paraId="48D28A7D">
                      <w:pPr>
                        <w:spacing w:before="72" w:after="72"/>
                        <w:jc w:val="center"/>
                        <w:rPr>
                          <w:rFonts w:ascii="宋体" w:cs="宋体"/>
                          <w:sz w:val="24"/>
                        </w:rPr>
                      </w:pPr>
                      <w:r>
                        <w:rPr>
                          <w:rFonts w:hint="eastAsia" w:ascii="宋体" w:cs="宋体"/>
                          <w:sz w:val="24"/>
                        </w:rPr>
                        <w:t>法定代表人（负责人）</w:t>
                      </w:r>
                    </w:p>
                    <w:p w14:paraId="11889827">
                      <w:pPr>
                        <w:spacing w:before="72" w:after="72"/>
                        <w:jc w:val="center"/>
                        <w:rPr>
                          <w:rFonts w:ascii="宋体" w:cs="宋体"/>
                          <w:sz w:val="24"/>
                        </w:rPr>
                      </w:pPr>
                      <w:r>
                        <w:rPr>
                          <w:rFonts w:hint="eastAsia" w:ascii="宋体" w:cs="宋体"/>
                          <w:sz w:val="24"/>
                        </w:rPr>
                        <w:t>居民身份证复印件粘贴处</w:t>
                      </w:r>
                    </w:p>
                    <w:p w14:paraId="7E86A515">
                      <w:pPr>
                        <w:spacing w:before="72" w:after="72"/>
                        <w:jc w:val="center"/>
                        <w:rPr>
                          <w:rFonts w:ascii="宋体" w:cs="宋体"/>
                          <w:sz w:val="24"/>
                        </w:rPr>
                      </w:pPr>
                      <w:r>
                        <w:rPr>
                          <w:rFonts w:hint="eastAsia" w:ascii="宋体" w:cs="宋体"/>
                          <w:sz w:val="24"/>
                        </w:rPr>
                        <w:t>（反面）</w:t>
                      </w:r>
                    </w:p>
                  </w:txbxContent>
                </v:textbox>
              </v:rect>
            </w:pict>
          </mc:Fallback>
        </mc:AlternateContent>
      </w:r>
    </w:p>
    <w:p w14:paraId="3955907C">
      <w:pPr>
        <w:spacing w:before="72" w:after="72" w:line="360" w:lineRule="auto"/>
        <w:rPr>
          <w:rFonts w:ascii="宋体" w:hAnsi="Times New Roman" w:eastAsia="宋体" w:cs="宋体"/>
          <w:b/>
          <w:bCs/>
          <w:sz w:val="24"/>
        </w:rPr>
      </w:pPr>
    </w:p>
    <w:p w14:paraId="15E46C05">
      <w:pPr>
        <w:spacing w:before="72" w:after="72" w:line="360" w:lineRule="auto"/>
        <w:rPr>
          <w:rFonts w:ascii="宋体" w:hAnsi="Times New Roman" w:eastAsia="宋体" w:cs="宋体"/>
          <w:b/>
          <w:bCs/>
          <w:sz w:val="24"/>
        </w:rPr>
      </w:pPr>
    </w:p>
    <w:p w14:paraId="21FE331A">
      <w:pPr>
        <w:spacing w:before="72" w:after="72" w:line="360" w:lineRule="auto"/>
        <w:rPr>
          <w:rFonts w:ascii="宋体" w:hAnsi="Times New Roman" w:eastAsia="宋体" w:cs="宋体"/>
          <w:b/>
          <w:bCs/>
          <w:sz w:val="24"/>
        </w:rPr>
      </w:pPr>
    </w:p>
    <w:p w14:paraId="1CD92866">
      <w:pPr>
        <w:spacing w:before="72" w:after="72" w:line="360" w:lineRule="auto"/>
        <w:rPr>
          <w:rFonts w:ascii="宋体" w:hAnsi="Times New Roman" w:eastAsia="宋体" w:cs="宋体"/>
          <w:b/>
          <w:bCs/>
          <w:sz w:val="24"/>
        </w:rPr>
      </w:pPr>
    </w:p>
    <w:p w14:paraId="4B70D7D3">
      <w:pPr>
        <w:spacing w:before="72" w:after="72" w:line="360" w:lineRule="auto"/>
        <w:rPr>
          <w:rFonts w:ascii="宋体" w:hAnsi="Times New Roman" w:eastAsia="宋体" w:cs="宋体"/>
          <w:b/>
          <w:bCs/>
          <w:sz w:val="24"/>
        </w:rPr>
      </w:pPr>
    </w:p>
    <w:p w14:paraId="235FA084">
      <w:pPr>
        <w:spacing w:before="72" w:after="72" w:line="360" w:lineRule="auto"/>
        <w:rPr>
          <w:rFonts w:ascii="宋体" w:hAnsi="宋体" w:eastAsia="宋体" w:cs="宋体"/>
          <w:b/>
          <w:bCs/>
          <w:sz w:val="24"/>
        </w:rPr>
      </w:pPr>
      <w:r>
        <w:rPr>
          <w:rFonts w:hint="eastAsia" w:ascii="宋体" w:hAnsi="宋体" w:eastAsia="宋体" w:cs="宋体"/>
          <w:b/>
          <w:bCs/>
          <w:sz w:val="24"/>
        </w:rPr>
        <w:t>说明：</w:t>
      </w:r>
    </w:p>
    <w:p w14:paraId="78D66544">
      <w:pPr>
        <w:spacing w:before="72" w:after="72" w:line="360" w:lineRule="auto"/>
        <w:rPr>
          <w:rFonts w:ascii="宋体" w:hAnsi="Times New Roman" w:eastAsia="宋体" w:cs="宋体"/>
          <w:b/>
          <w:bCs/>
          <w:sz w:val="24"/>
        </w:rPr>
      </w:pPr>
      <w:r>
        <w:rPr>
          <w:rFonts w:hint="eastAsia" w:ascii="宋体" w:hAnsi="宋体" w:eastAsia="宋体" w:cs="宋体"/>
          <w:b/>
          <w:bCs/>
          <w:sz w:val="24"/>
        </w:rPr>
        <w:t>1、分支机构参加投标的，提供分支机构营业执照上载明的负责人证明。</w:t>
      </w:r>
    </w:p>
    <w:p w14:paraId="483B2C9E">
      <w:pPr>
        <w:spacing w:before="72" w:after="72" w:line="360" w:lineRule="auto"/>
        <w:rPr>
          <w:rFonts w:ascii="宋体" w:hAnsi="Times New Roman" w:eastAsia="宋体" w:cs="宋体"/>
          <w:b/>
          <w:bCs/>
          <w:sz w:val="24"/>
        </w:rPr>
        <w:sectPr>
          <w:pgSz w:w="11905" w:h="16838"/>
          <w:pgMar w:top="1440" w:right="1440" w:bottom="1440" w:left="1440" w:header="850" w:footer="822" w:gutter="0"/>
          <w:cols w:space="0" w:num="1"/>
          <w:docGrid w:linePitch="312" w:charSpace="0"/>
        </w:sectPr>
      </w:pPr>
    </w:p>
    <w:p w14:paraId="2106FE89">
      <w:pPr>
        <w:numPr>
          <w:ilvl w:val="0"/>
          <w:numId w:val="82"/>
        </w:numPr>
        <w:spacing w:before="72" w:after="72" w:line="360" w:lineRule="auto"/>
        <w:jc w:val="center"/>
        <w:rPr>
          <w:rFonts w:ascii="宋体" w:hAnsi="Times New Roman" w:eastAsia="宋体" w:cs="宋体"/>
          <w:b/>
          <w:kern w:val="44"/>
          <w:sz w:val="30"/>
          <w:szCs w:val="30"/>
        </w:rPr>
      </w:pPr>
      <w:bookmarkStart w:id="304" w:name="_Toc417738414"/>
      <w:bookmarkStart w:id="305" w:name="_Toc415494949"/>
      <w:bookmarkStart w:id="306" w:name="_Toc413373063"/>
      <w:bookmarkStart w:id="307" w:name="_Toc413372470"/>
      <w:bookmarkStart w:id="308" w:name="_Toc413404716"/>
      <w:bookmarkStart w:id="309" w:name="_Toc415496511"/>
      <w:bookmarkStart w:id="310" w:name="_Toc381489428"/>
      <w:bookmarkStart w:id="311" w:name="_Toc414383032"/>
      <w:bookmarkStart w:id="312" w:name="_Toc414383247"/>
      <w:r>
        <w:rPr>
          <w:rFonts w:hint="eastAsia" w:ascii="宋体" w:hAnsi="Times New Roman" w:eastAsia="宋体" w:cs="宋体"/>
          <w:b/>
          <w:kern w:val="44"/>
          <w:sz w:val="30"/>
          <w:szCs w:val="30"/>
        </w:rPr>
        <w:t>法定代表人（负责人）授权委托书</w:t>
      </w:r>
      <w:bookmarkEnd w:id="304"/>
      <w:bookmarkEnd w:id="305"/>
      <w:bookmarkEnd w:id="306"/>
      <w:bookmarkEnd w:id="307"/>
      <w:bookmarkEnd w:id="308"/>
      <w:bookmarkEnd w:id="309"/>
      <w:bookmarkEnd w:id="310"/>
      <w:bookmarkEnd w:id="311"/>
      <w:bookmarkEnd w:id="312"/>
    </w:p>
    <w:p w14:paraId="67D52808">
      <w:pPr>
        <w:spacing w:before="120" w:beforeLines="50" w:after="120" w:afterLines="50" w:line="360" w:lineRule="auto"/>
        <w:rPr>
          <w:rFonts w:ascii="宋体" w:hAnsi="Times New Roman" w:eastAsia="宋体" w:cs="宋体"/>
          <w:b/>
          <w:sz w:val="24"/>
        </w:rPr>
      </w:pPr>
      <w:r>
        <w:rPr>
          <w:rFonts w:hint="eastAsia" w:ascii="宋体" w:hAnsi="Times New Roman" w:eastAsia="宋体" w:cs="宋体"/>
          <w:b/>
          <w:sz w:val="24"/>
        </w:rPr>
        <w:t>致：广东有德招标采购有限公司</w:t>
      </w:r>
    </w:p>
    <w:p w14:paraId="6D5AC485">
      <w:pPr>
        <w:spacing w:before="72" w:after="72" w:line="360" w:lineRule="auto"/>
        <w:ind w:firstLine="420"/>
        <w:rPr>
          <w:rFonts w:ascii="宋体" w:hAnsi="Times New Roman" w:eastAsia="宋体" w:cs="宋体"/>
          <w:sz w:val="24"/>
        </w:rPr>
      </w:pPr>
      <w:r>
        <w:rPr>
          <w:rFonts w:hint="eastAsia" w:ascii="宋体" w:hAnsi="Times New Roman" w:eastAsia="宋体" w:cs="宋体"/>
          <w:sz w:val="24"/>
        </w:rPr>
        <w:t>我</w:t>
      </w:r>
      <w:r>
        <w:rPr>
          <w:rFonts w:hint="eastAsia" w:ascii="宋体" w:hAnsi="Times New Roman" w:eastAsia="宋体" w:cs="宋体"/>
          <w:sz w:val="24"/>
          <w:u w:val="single"/>
        </w:rPr>
        <w:t>　　   　　</w:t>
      </w:r>
      <w:r>
        <w:rPr>
          <w:rFonts w:hint="eastAsia" w:ascii="宋体" w:hAnsi="Times New Roman" w:eastAsia="宋体" w:cs="宋体"/>
          <w:sz w:val="24"/>
        </w:rPr>
        <w:t>（姓名）系</w:t>
      </w:r>
      <w:r>
        <w:rPr>
          <w:rFonts w:hint="eastAsia" w:ascii="宋体" w:hAnsi="Times New Roman" w:eastAsia="宋体" w:cs="宋体"/>
          <w:sz w:val="24"/>
          <w:u w:val="single"/>
        </w:rPr>
        <w:t>　　  　　　　</w:t>
      </w:r>
      <w:r>
        <w:rPr>
          <w:rFonts w:hint="eastAsia" w:ascii="宋体" w:hAnsi="Times New Roman" w:eastAsia="宋体" w:cs="宋体"/>
          <w:sz w:val="24"/>
        </w:rPr>
        <w:t>（投标人名称）的法定代表人（负责人），现授权委托</w:t>
      </w:r>
      <w:r>
        <w:rPr>
          <w:rFonts w:hint="eastAsia" w:ascii="宋体" w:hAnsi="Times New Roman" w:eastAsia="宋体" w:cs="宋体"/>
          <w:sz w:val="24"/>
          <w:u w:val="single"/>
        </w:rPr>
        <w:t>　　　  　　　　　   　　　</w:t>
      </w:r>
      <w:r>
        <w:rPr>
          <w:rFonts w:hint="eastAsia" w:ascii="宋体" w:hAnsi="Times New Roman" w:eastAsia="宋体" w:cs="宋体"/>
          <w:sz w:val="24"/>
        </w:rPr>
        <w:t>（被授权人姓名、职务）为我公司授权代表，以本公司的名义参加</w:t>
      </w:r>
      <w:r>
        <w:rPr>
          <w:rFonts w:hint="eastAsia" w:ascii="宋体" w:hAnsi="Times New Roman" w:eastAsia="宋体" w:cs="宋体"/>
          <w:sz w:val="24"/>
          <w:u w:val="single"/>
          <w:lang w:val="zh-CN"/>
        </w:rPr>
        <w:t>（项目名称、项目编号）</w:t>
      </w:r>
      <w:r>
        <w:rPr>
          <w:rFonts w:hint="eastAsia" w:ascii="宋体" w:hAnsi="Times New Roman" w:eastAsia="宋体" w:cs="宋体"/>
          <w:sz w:val="24"/>
        </w:rPr>
        <w:t>的投标活动以及处理与之有关的一切事务。</w:t>
      </w:r>
    </w:p>
    <w:p w14:paraId="08835983">
      <w:pPr>
        <w:spacing w:before="72" w:after="72" w:line="360" w:lineRule="auto"/>
        <w:ind w:firstLine="420"/>
        <w:rPr>
          <w:rFonts w:ascii="宋体" w:hAnsi="Times New Roman" w:eastAsia="宋体" w:cs="宋体"/>
          <w:sz w:val="24"/>
        </w:rPr>
      </w:pPr>
      <w:r>
        <w:rPr>
          <w:rFonts w:hint="eastAsia" w:ascii="宋体" w:hAnsi="Times New Roman" w:eastAsia="宋体" w:cs="宋体"/>
          <w:sz w:val="24"/>
        </w:rPr>
        <w:t>本授权委托书自法定代表人（负责人）签字之日起生效，被授权人</w:t>
      </w:r>
      <w:r>
        <w:rPr>
          <w:rFonts w:hint="eastAsia" w:ascii="宋体" w:hAnsi="Times New Roman" w:eastAsia="宋体" w:cs="宋体"/>
          <w:sz w:val="24"/>
          <w:u w:val="single"/>
        </w:rPr>
        <w:t>（投标人授权代表）</w:t>
      </w:r>
      <w:r>
        <w:rPr>
          <w:rFonts w:hint="eastAsia" w:ascii="宋体" w:hAnsi="Times New Roman" w:eastAsia="宋体" w:cs="宋体"/>
          <w:sz w:val="24"/>
        </w:rPr>
        <w:t>无转委托权限。</w:t>
      </w:r>
    </w:p>
    <w:p w14:paraId="1006CBD3">
      <w:pPr>
        <w:spacing w:before="72" w:after="72" w:line="360" w:lineRule="auto"/>
        <w:rPr>
          <w:rFonts w:ascii="宋体" w:hAnsi="Times New Roman" w:eastAsia="宋体" w:cs="宋体"/>
          <w:sz w:val="24"/>
        </w:rPr>
      </w:pPr>
    </w:p>
    <w:p w14:paraId="2A71E8B3">
      <w:pPr>
        <w:adjustRightInd w:val="0"/>
        <w:snapToGrid w:val="0"/>
        <w:spacing w:before="72" w:after="72" w:line="480" w:lineRule="auto"/>
        <w:rPr>
          <w:rFonts w:ascii="宋体" w:hAnsi="宋体" w:eastAsia="宋体" w:cs="宋体"/>
          <w:sz w:val="24"/>
        </w:rPr>
      </w:pPr>
      <w:r>
        <w:rPr>
          <w:rFonts w:hint="eastAsia" w:ascii="宋体" w:hAnsi="宋体" w:eastAsia="宋体" w:cs="宋体"/>
          <w:sz w:val="24"/>
        </w:rPr>
        <w:t>投标人名称（加盖公章）：</w:t>
      </w:r>
    </w:p>
    <w:p w14:paraId="47B3EA55">
      <w:pPr>
        <w:adjustRightInd w:val="0"/>
        <w:snapToGrid w:val="0"/>
        <w:spacing w:before="72" w:after="72" w:line="480" w:lineRule="auto"/>
        <w:rPr>
          <w:rFonts w:ascii="宋体" w:hAnsi="宋体" w:eastAsia="宋体" w:cs="宋体"/>
          <w:sz w:val="24"/>
        </w:rPr>
      </w:pPr>
      <w:r>
        <w:rPr>
          <w:rFonts w:hint="eastAsia" w:ascii="宋体" w:hAnsi="宋体" w:eastAsia="宋体" w:cs="宋体"/>
          <w:sz w:val="24"/>
        </w:rPr>
        <w:t>投标人法定代表人（负责人）（签字或盖章）：</w:t>
      </w:r>
    </w:p>
    <w:p w14:paraId="284C2BFB">
      <w:pPr>
        <w:adjustRightInd w:val="0"/>
        <w:snapToGrid w:val="0"/>
        <w:spacing w:before="72" w:after="72" w:line="480" w:lineRule="auto"/>
        <w:rPr>
          <w:rFonts w:ascii="宋体" w:hAnsi="宋体" w:eastAsia="宋体" w:cs="宋体"/>
          <w:sz w:val="24"/>
        </w:rPr>
      </w:pPr>
      <w:r>
        <w:rPr>
          <w:rFonts w:hint="eastAsia" w:ascii="宋体" w:hAnsi="宋体" w:eastAsia="宋体" w:cs="宋体"/>
          <w:sz w:val="24"/>
        </w:rPr>
        <w:t>投标人被授权代表（签字或盖章）：</w:t>
      </w:r>
    </w:p>
    <w:p w14:paraId="3619962E">
      <w:pPr>
        <w:adjustRightInd w:val="0"/>
        <w:snapToGrid w:val="0"/>
        <w:spacing w:before="72" w:after="72" w:line="480" w:lineRule="auto"/>
        <w:rPr>
          <w:rFonts w:ascii="宋体" w:hAnsi="宋体" w:eastAsia="宋体" w:cs="宋体"/>
          <w:sz w:val="24"/>
        </w:rPr>
      </w:pPr>
      <w:r>
        <w:rPr>
          <w:rFonts w:hint="eastAsia" w:ascii="宋体" w:hAnsi="宋体" w:eastAsia="宋体" w:cs="宋体"/>
          <w:sz w:val="24"/>
        </w:rPr>
        <w:t>签发日期：   年   月   日</w:t>
      </w:r>
    </w:p>
    <w:p w14:paraId="43336A06">
      <w:pPr>
        <w:spacing w:before="72" w:after="72" w:line="360" w:lineRule="auto"/>
        <w:rPr>
          <w:rFonts w:ascii="宋体" w:hAnsi="Times New Roman" w:eastAsia="宋体" w:cs="宋体"/>
          <w:b/>
          <w:bCs/>
          <w:sz w:val="24"/>
        </w:rPr>
      </w:pPr>
    </w:p>
    <w:p w14:paraId="4E93C7BE">
      <w:pPr>
        <w:spacing w:before="72" w:after="72" w:line="360" w:lineRule="auto"/>
        <w:rPr>
          <w:rFonts w:ascii="宋体" w:hAnsi="Times New Roman" w:eastAsia="宋体" w:cs="宋体"/>
          <w:b/>
          <w:bCs/>
          <w:sz w:val="24"/>
        </w:rPr>
      </w:pPr>
      <w:r>
        <w:rPr>
          <w:rFonts w:hint="eastAsia" w:ascii="Times New Roman" w:hAnsi="Times New Roman" w:eastAsia="宋体" w:cs="宋体"/>
          <w:b/>
          <w:sz w:val="24"/>
        </w:rPr>
        <w:t>附被授权人（授权代表）身份证粘贴处（正反面）</w:t>
      </w:r>
    </w:p>
    <w:p w14:paraId="3B1708A2">
      <w:pPr>
        <w:spacing w:before="72" w:after="72" w:line="360" w:lineRule="auto"/>
        <w:rPr>
          <w:rFonts w:ascii="宋体" w:hAnsi="Times New Roman" w:eastAsia="宋体" w:cs="宋体"/>
          <w:b/>
          <w:bCs/>
          <w:sz w:val="24"/>
        </w:rPr>
      </w:pPr>
      <w:r>
        <w:rPr>
          <w:rFonts w:ascii="宋体" w:hAnsi="Times New Roman" w:eastAsia="宋体" w:cs="宋体"/>
          <w:b/>
          <w:bCs/>
          <w:sz w:val="24"/>
        </w:rPr>
        <mc:AlternateContent>
          <mc:Choice Requires="wps">
            <w:drawing>
              <wp:anchor distT="0" distB="0" distL="114300" distR="114300" simplePos="0" relativeHeight="251665408" behindDoc="0" locked="0" layoutInCell="1" allowOverlap="1">
                <wp:simplePos x="0" y="0"/>
                <wp:positionH relativeFrom="column">
                  <wp:posOffset>2794000</wp:posOffset>
                </wp:positionH>
                <wp:positionV relativeFrom="paragraph">
                  <wp:posOffset>274955</wp:posOffset>
                </wp:positionV>
                <wp:extent cx="2628900" cy="1651000"/>
                <wp:effectExtent l="0" t="0" r="19050" b="25400"/>
                <wp:wrapNone/>
                <wp:docPr id="11" name="矩形 11"/>
                <wp:cNvGraphicFramePr/>
                <a:graphic xmlns:a="http://schemas.openxmlformats.org/drawingml/2006/main">
                  <a:graphicData uri="http://schemas.microsoft.com/office/word/2010/wordprocessingShape">
                    <wps:wsp>
                      <wps:cNvSpPr/>
                      <wps:spPr>
                        <a:xfrm>
                          <a:off x="0" y="0"/>
                          <a:ext cx="2628900" cy="1651000"/>
                        </a:xfrm>
                        <a:prstGeom prst="rect">
                          <a:avLst/>
                        </a:prstGeom>
                        <a:solidFill>
                          <a:srgbClr val="FFFFFF"/>
                        </a:solidFill>
                        <a:ln w="9525" cap="flat" cmpd="sng">
                          <a:solidFill>
                            <a:srgbClr val="000000"/>
                          </a:solidFill>
                          <a:prstDash val="solid"/>
                          <a:miter/>
                        </a:ln>
                        <a:effectLst/>
                      </wps:spPr>
                      <wps:txbx>
                        <w:txbxContent>
                          <w:p w14:paraId="53254B9C">
                            <w:pPr>
                              <w:spacing w:before="72" w:after="72"/>
                              <w:rPr>
                                <w:rFonts w:eastAsia="黑体"/>
                                <w:b/>
                                <w:sz w:val="30"/>
                              </w:rPr>
                            </w:pPr>
                          </w:p>
                          <w:p w14:paraId="4A1E8C81">
                            <w:pPr>
                              <w:spacing w:before="72" w:after="72"/>
                              <w:rPr>
                                <w:rFonts w:ascii="宋体" w:cs="宋体"/>
                                <w:b/>
                                <w:sz w:val="30"/>
                              </w:rPr>
                            </w:pPr>
                          </w:p>
                          <w:p w14:paraId="63CFD840">
                            <w:pPr>
                              <w:spacing w:before="72" w:after="72"/>
                              <w:jc w:val="center"/>
                              <w:rPr>
                                <w:rFonts w:ascii="宋体" w:cs="宋体"/>
                                <w:sz w:val="24"/>
                              </w:rPr>
                            </w:pPr>
                            <w:r>
                              <w:rPr>
                                <w:rFonts w:hint="eastAsia" w:ascii="宋体" w:cs="宋体"/>
                                <w:sz w:val="24"/>
                              </w:rPr>
                              <w:t>被授权人（授权代表）</w:t>
                            </w:r>
                          </w:p>
                          <w:p w14:paraId="2636012D">
                            <w:pPr>
                              <w:spacing w:before="72" w:after="72"/>
                              <w:jc w:val="center"/>
                              <w:rPr>
                                <w:rFonts w:ascii="宋体" w:cs="宋体"/>
                                <w:sz w:val="24"/>
                              </w:rPr>
                            </w:pPr>
                            <w:r>
                              <w:rPr>
                                <w:rFonts w:hint="eastAsia" w:ascii="宋体" w:cs="宋体"/>
                                <w:sz w:val="24"/>
                              </w:rPr>
                              <w:t>居民身份证复印件粘贴处</w:t>
                            </w:r>
                          </w:p>
                          <w:p w14:paraId="25D5D5DE">
                            <w:pPr>
                              <w:spacing w:before="72" w:after="72"/>
                              <w:jc w:val="center"/>
                              <w:rPr>
                                <w:rFonts w:ascii="宋体" w:cs="宋体"/>
                                <w:sz w:val="24"/>
                              </w:rPr>
                            </w:pPr>
                            <w:r>
                              <w:rPr>
                                <w:rFonts w:hint="eastAsia" w:ascii="宋体" w:cs="宋体"/>
                                <w:sz w:val="24"/>
                              </w:rPr>
                              <w:t>（反面）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20pt;margin-top:21.65pt;height:130pt;width:207pt;z-index:251665408;mso-width-relative:page;mso-height-relative:page;" fillcolor="#FFFFFF" filled="t" stroked="t" coordsize="21600,21600" o:gfxdata="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VEgm2AAAAAoBAAAPAAAAAAAAAAEAIAAAACIAAABkcnMvZG93bnJldi54bWxQSwECFAAU&#10;AAAACACHTuJARUOPGCoCAABnBAAADgAAAAAAAAABACAAAAAnAQAAZHJzL2Uyb0RvYy54bWxQSwUG&#10;AAAAAAYABgBZAQAAwwUAAAAA&#10;">
                <v:fill on="t" focussize="0,0"/>
                <v:stroke color="#000000" joinstyle="miter"/>
                <v:imagedata o:title=""/>
                <o:lock v:ext="edit" aspectratio="f"/>
                <v:textbox>
                  <w:txbxContent>
                    <w:p w14:paraId="53254B9C">
                      <w:pPr>
                        <w:spacing w:before="72" w:after="72"/>
                        <w:rPr>
                          <w:rFonts w:eastAsia="黑体"/>
                          <w:b/>
                          <w:sz w:val="30"/>
                        </w:rPr>
                      </w:pPr>
                    </w:p>
                    <w:p w14:paraId="4A1E8C81">
                      <w:pPr>
                        <w:spacing w:before="72" w:after="72"/>
                        <w:rPr>
                          <w:rFonts w:ascii="宋体" w:cs="宋体"/>
                          <w:b/>
                          <w:sz w:val="30"/>
                        </w:rPr>
                      </w:pPr>
                    </w:p>
                    <w:p w14:paraId="63CFD840">
                      <w:pPr>
                        <w:spacing w:before="72" w:after="72"/>
                        <w:jc w:val="center"/>
                        <w:rPr>
                          <w:rFonts w:ascii="宋体" w:cs="宋体"/>
                          <w:sz w:val="24"/>
                        </w:rPr>
                      </w:pPr>
                      <w:r>
                        <w:rPr>
                          <w:rFonts w:hint="eastAsia" w:ascii="宋体" w:cs="宋体"/>
                          <w:sz w:val="24"/>
                        </w:rPr>
                        <w:t>被授权人（授权代表）</w:t>
                      </w:r>
                    </w:p>
                    <w:p w14:paraId="2636012D">
                      <w:pPr>
                        <w:spacing w:before="72" w:after="72"/>
                        <w:jc w:val="center"/>
                        <w:rPr>
                          <w:rFonts w:ascii="宋体" w:cs="宋体"/>
                          <w:sz w:val="24"/>
                        </w:rPr>
                      </w:pPr>
                      <w:r>
                        <w:rPr>
                          <w:rFonts w:hint="eastAsia" w:ascii="宋体" w:cs="宋体"/>
                          <w:sz w:val="24"/>
                        </w:rPr>
                        <w:t>居民身份证复印件粘贴处</w:t>
                      </w:r>
                    </w:p>
                    <w:p w14:paraId="25D5D5DE">
                      <w:pPr>
                        <w:spacing w:before="72" w:after="72"/>
                        <w:jc w:val="center"/>
                        <w:rPr>
                          <w:rFonts w:ascii="宋体" w:cs="宋体"/>
                          <w:sz w:val="24"/>
                        </w:rPr>
                      </w:pPr>
                      <w:r>
                        <w:rPr>
                          <w:rFonts w:hint="eastAsia" w:ascii="宋体" w:cs="宋体"/>
                          <w:sz w:val="24"/>
                        </w:rPr>
                        <w:t>（反面）</w:t>
                      </w:r>
                    </w:p>
                  </w:txbxContent>
                </v:textbox>
              </v:rect>
            </w:pict>
          </mc:Fallback>
        </mc:AlternateContent>
      </w:r>
      <w:r>
        <w:rPr>
          <w:rFonts w:ascii="Times New Roman" w:hAnsi="Times New Roman" w:eastAsia="宋体" w:cs="宋体"/>
          <w:b/>
          <w:bCs/>
          <w:sz w:val="24"/>
        </w:rPr>
        <mc:AlternateContent>
          <mc:Choice Requires="wps">
            <w:drawing>
              <wp:anchor distT="0" distB="0" distL="114300" distR="114300" simplePos="0" relativeHeight="251664384" behindDoc="0" locked="0" layoutInCell="1" allowOverlap="1">
                <wp:simplePos x="0" y="0"/>
                <wp:positionH relativeFrom="column">
                  <wp:posOffset>-143510</wp:posOffset>
                </wp:positionH>
                <wp:positionV relativeFrom="paragraph">
                  <wp:posOffset>274955</wp:posOffset>
                </wp:positionV>
                <wp:extent cx="2628900" cy="1755140"/>
                <wp:effectExtent l="0" t="0" r="19050" b="16510"/>
                <wp:wrapNone/>
                <wp:docPr id="10" name="矩形 10"/>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ln>
                        <a:effectLst/>
                      </wps:spPr>
                      <wps:txbx>
                        <w:txbxContent>
                          <w:p w14:paraId="2DF29507">
                            <w:pPr>
                              <w:spacing w:before="72" w:after="72"/>
                              <w:rPr>
                                <w:rFonts w:eastAsia="黑体"/>
                                <w:b/>
                                <w:sz w:val="30"/>
                              </w:rPr>
                            </w:pPr>
                          </w:p>
                          <w:p w14:paraId="302CE4CA">
                            <w:pPr>
                              <w:spacing w:before="72" w:after="72"/>
                              <w:rPr>
                                <w:rFonts w:eastAsia="黑体"/>
                                <w:b/>
                                <w:sz w:val="30"/>
                              </w:rPr>
                            </w:pPr>
                          </w:p>
                          <w:p w14:paraId="0C7D923C">
                            <w:pPr>
                              <w:spacing w:before="72" w:after="72"/>
                              <w:jc w:val="center"/>
                              <w:rPr>
                                <w:rFonts w:ascii="宋体" w:cs="宋体"/>
                                <w:sz w:val="24"/>
                              </w:rPr>
                            </w:pPr>
                            <w:r>
                              <w:rPr>
                                <w:rFonts w:hint="eastAsia" w:ascii="宋体" w:cs="宋体"/>
                                <w:sz w:val="24"/>
                              </w:rPr>
                              <w:t>被授权人（授权代表）</w:t>
                            </w:r>
                          </w:p>
                          <w:p w14:paraId="17A3E5F5">
                            <w:pPr>
                              <w:spacing w:before="72" w:after="72"/>
                              <w:jc w:val="center"/>
                              <w:rPr>
                                <w:rFonts w:ascii="宋体" w:cs="宋体"/>
                                <w:sz w:val="24"/>
                              </w:rPr>
                            </w:pPr>
                            <w:r>
                              <w:rPr>
                                <w:rFonts w:hint="eastAsia" w:ascii="宋体" w:cs="宋体"/>
                                <w:sz w:val="24"/>
                              </w:rPr>
                              <w:t>居民身份证复印件粘贴处</w:t>
                            </w:r>
                          </w:p>
                          <w:p w14:paraId="4BAC66A3">
                            <w:pPr>
                              <w:spacing w:before="72" w:after="72"/>
                              <w:jc w:val="center"/>
                              <w:rPr>
                                <w:rFonts w:ascii="宋体" w:cs="宋体"/>
                                <w:sz w:val="24"/>
                              </w:rPr>
                            </w:pPr>
                            <w:r>
                              <w:rPr>
                                <w:rFonts w:hint="eastAsia" w:ascii="宋体" w:cs="宋体"/>
                                <w:sz w:val="24"/>
                              </w:rPr>
                              <w:t>（正面）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1.3pt;margin-top:21.65pt;height:138.2pt;width:207pt;z-index:251664384;mso-width-relative:page;mso-height-relative:page;" fillcolor="#FFFFFF" filled="t" stroked="t" coordsize="21600,21600" o:gfxdata="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nYmLS2QAAAAoBAAAPAAAAAAAAAAEAIAAAACIAAABkcnMvZG93bnJldi54bWxQSwEC&#10;FAAUAAAACACHTuJAzgp+uiwCAABnBAAADgAAAAAAAAABACAAAAAoAQAAZHJzL2Uyb0RvYy54bWxQ&#10;SwUGAAAAAAYABgBZAQAAxgUAAAAA&#10;">
                <v:fill on="t" focussize="0,0"/>
                <v:stroke color="#000000" joinstyle="miter"/>
                <v:imagedata o:title=""/>
                <o:lock v:ext="edit" aspectratio="f"/>
                <v:textbox>
                  <w:txbxContent>
                    <w:p w14:paraId="2DF29507">
                      <w:pPr>
                        <w:spacing w:before="72" w:after="72"/>
                        <w:rPr>
                          <w:rFonts w:eastAsia="黑体"/>
                          <w:b/>
                          <w:sz w:val="30"/>
                        </w:rPr>
                      </w:pPr>
                    </w:p>
                    <w:p w14:paraId="302CE4CA">
                      <w:pPr>
                        <w:spacing w:before="72" w:after="72"/>
                        <w:rPr>
                          <w:rFonts w:eastAsia="黑体"/>
                          <w:b/>
                          <w:sz w:val="30"/>
                        </w:rPr>
                      </w:pPr>
                    </w:p>
                    <w:p w14:paraId="0C7D923C">
                      <w:pPr>
                        <w:spacing w:before="72" w:after="72"/>
                        <w:jc w:val="center"/>
                        <w:rPr>
                          <w:rFonts w:ascii="宋体" w:cs="宋体"/>
                          <w:sz w:val="24"/>
                        </w:rPr>
                      </w:pPr>
                      <w:r>
                        <w:rPr>
                          <w:rFonts w:hint="eastAsia" w:ascii="宋体" w:cs="宋体"/>
                          <w:sz w:val="24"/>
                        </w:rPr>
                        <w:t>被授权人（授权代表）</w:t>
                      </w:r>
                    </w:p>
                    <w:p w14:paraId="17A3E5F5">
                      <w:pPr>
                        <w:spacing w:before="72" w:after="72"/>
                        <w:jc w:val="center"/>
                        <w:rPr>
                          <w:rFonts w:ascii="宋体" w:cs="宋体"/>
                          <w:sz w:val="24"/>
                        </w:rPr>
                      </w:pPr>
                      <w:r>
                        <w:rPr>
                          <w:rFonts w:hint="eastAsia" w:ascii="宋体" w:cs="宋体"/>
                          <w:sz w:val="24"/>
                        </w:rPr>
                        <w:t>居民身份证复印件粘贴处</w:t>
                      </w:r>
                    </w:p>
                    <w:p w14:paraId="4BAC66A3">
                      <w:pPr>
                        <w:spacing w:before="72" w:after="72"/>
                        <w:jc w:val="center"/>
                        <w:rPr>
                          <w:rFonts w:ascii="宋体" w:cs="宋体"/>
                          <w:sz w:val="24"/>
                        </w:rPr>
                      </w:pPr>
                      <w:r>
                        <w:rPr>
                          <w:rFonts w:hint="eastAsia" w:ascii="宋体" w:cs="宋体"/>
                          <w:sz w:val="24"/>
                        </w:rPr>
                        <w:t>（正面）</w:t>
                      </w:r>
                    </w:p>
                  </w:txbxContent>
                </v:textbox>
              </v:rect>
            </w:pict>
          </mc:Fallback>
        </mc:AlternateContent>
      </w:r>
    </w:p>
    <w:p w14:paraId="11CBC1B5">
      <w:pPr>
        <w:spacing w:before="72" w:after="72" w:line="360" w:lineRule="auto"/>
        <w:rPr>
          <w:rFonts w:ascii="宋体" w:hAnsi="Times New Roman" w:eastAsia="宋体" w:cs="宋体"/>
          <w:b/>
          <w:bCs/>
          <w:sz w:val="24"/>
        </w:rPr>
      </w:pPr>
    </w:p>
    <w:p w14:paraId="3EF8524B">
      <w:pPr>
        <w:spacing w:before="72" w:after="72" w:line="360" w:lineRule="auto"/>
        <w:rPr>
          <w:rFonts w:ascii="宋体" w:hAnsi="Times New Roman" w:eastAsia="宋体" w:cs="宋体"/>
          <w:b/>
          <w:bCs/>
          <w:sz w:val="24"/>
        </w:rPr>
      </w:pPr>
    </w:p>
    <w:p w14:paraId="38CEF915">
      <w:pPr>
        <w:spacing w:before="72" w:after="72" w:line="360" w:lineRule="auto"/>
        <w:rPr>
          <w:rFonts w:ascii="宋体" w:hAnsi="Times New Roman" w:eastAsia="宋体" w:cs="宋体"/>
          <w:b/>
          <w:bCs/>
          <w:sz w:val="24"/>
        </w:rPr>
      </w:pPr>
    </w:p>
    <w:p w14:paraId="59EAC8E6">
      <w:pPr>
        <w:spacing w:before="72" w:after="72" w:line="360" w:lineRule="auto"/>
        <w:jc w:val="center"/>
        <w:rPr>
          <w:rFonts w:ascii="宋体" w:hAnsi="Times New Roman" w:eastAsia="宋体" w:cs="宋体"/>
          <w:b/>
          <w:bCs/>
          <w:sz w:val="24"/>
        </w:rPr>
      </w:pPr>
    </w:p>
    <w:bookmarkEnd w:id="298"/>
    <w:bookmarkEnd w:id="299"/>
    <w:bookmarkEnd w:id="300"/>
    <w:p w14:paraId="42DC3ACF">
      <w:pPr>
        <w:rPr>
          <w:rFonts w:ascii="Times New Roman" w:hAnsi="Times New Roman" w:eastAsia="宋体" w:cs="Arial"/>
        </w:rPr>
      </w:pPr>
    </w:p>
    <w:p w14:paraId="2465FECE">
      <w:pPr>
        <w:ind w:firstLine="480" w:firstLineChars="200"/>
        <w:rPr>
          <w:rFonts w:ascii="Times New Roman" w:hAnsi="Times New Roman" w:eastAsia="宋体" w:cs="Times New Roman"/>
          <w:sz w:val="24"/>
          <w:szCs w:val="22"/>
        </w:rPr>
      </w:pPr>
    </w:p>
    <w:p w14:paraId="66871BB2">
      <w:pPr>
        <w:ind w:firstLine="480" w:firstLineChars="200"/>
        <w:rPr>
          <w:rFonts w:ascii="Times New Roman" w:hAnsi="Times New Roman" w:eastAsia="宋体" w:cs="Times New Roman"/>
          <w:sz w:val="24"/>
          <w:szCs w:val="22"/>
        </w:rPr>
      </w:pPr>
    </w:p>
    <w:p w14:paraId="3B907B02">
      <w:pPr>
        <w:spacing w:line="360" w:lineRule="auto"/>
        <w:rPr>
          <w:rFonts w:ascii="宋体" w:hAnsi="宋体" w:eastAsia="宋体" w:cs="宋体"/>
          <w:b/>
          <w:bCs/>
          <w:sz w:val="24"/>
        </w:rPr>
      </w:pPr>
      <w:r>
        <w:rPr>
          <w:rFonts w:hint="eastAsia" w:ascii="宋体" w:hAnsi="宋体" w:eastAsia="宋体" w:cs="宋体"/>
          <w:b/>
          <w:bCs/>
          <w:sz w:val="24"/>
        </w:rPr>
        <w:t>说明：</w:t>
      </w:r>
    </w:p>
    <w:p w14:paraId="73FA48B9">
      <w:pPr>
        <w:numPr>
          <w:ilvl w:val="0"/>
          <w:numId w:val="83"/>
        </w:numPr>
        <w:spacing w:line="360" w:lineRule="auto"/>
        <w:rPr>
          <w:rFonts w:ascii="宋体" w:hAnsi="宋体" w:eastAsia="宋体" w:cs="宋体"/>
          <w:b/>
          <w:bCs/>
          <w:sz w:val="24"/>
        </w:rPr>
      </w:pPr>
      <w:r>
        <w:rPr>
          <w:rFonts w:hint="eastAsia" w:ascii="宋体" w:hAnsi="宋体" w:eastAsia="宋体" w:cs="宋体"/>
          <w:b/>
          <w:bCs/>
          <w:sz w:val="24"/>
        </w:rPr>
        <w:t>法定代表人参加投标的，无需提交本授权书。</w:t>
      </w:r>
    </w:p>
    <w:p w14:paraId="75424445">
      <w:pPr>
        <w:numPr>
          <w:ilvl w:val="0"/>
          <w:numId w:val="83"/>
        </w:numPr>
        <w:spacing w:line="360" w:lineRule="auto"/>
        <w:rPr>
          <w:rFonts w:ascii="宋体" w:hAnsi="宋体" w:eastAsia="宋体" w:cs="宋体"/>
          <w:b/>
          <w:bCs/>
          <w:sz w:val="24"/>
        </w:rPr>
      </w:pPr>
      <w:r>
        <w:rPr>
          <w:rFonts w:hint="eastAsia" w:ascii="宋体" w:hAnsi="宋体" w:eastAsia="宋体" w:cs="宋体"/>
          <w:b/>
          <w:bCs/>
          <w:sz w:val="24"/>
        </w:rPr>
        <w:t>非法人参加投标的，负责人指《营业执照》上载明的负责人。</w:t>
      </w:r>
    </w:p>
    <w:bookmarkEnd w:id="301"/>
    <w:bookmarkEnd w:id="302"/>
    <w:bookmarkEnd w:id="303"/>
    <w:p w14:paraId="47110D2B">
      <w:pPr>
        <w:pStyle w:val="4"/>
        <w:numPr>
          <w:ilvl w:val="0"/>
          <w:numId w:val="78"/>
        </w:numPr>
        <w:jc w:val="center"/>
      </w:pPr>
      <w:bookmarkStart w:id="313" w:name="_Toc423021970"/>
      <w:bookmarkStart w:id="314" w:name="_Toc19909"/>
      <w:bookmarkStart w:id="315" w:name="_Toc583"/>
      <w:bookmarkStart w:id="316" w:name="_Toc3556"/>
      <w:bookmarkStart w:id="317" w:name="_Toc196294634"/>
      <w:r>
        <w:rPr>
          <w:rFonts w:hint="eastAsia"/>
        </w:rPr>
        <w:t>招标代理服务费支付承诺书</w:t>
      </w:r>
      <w:bookmarkEnd w:id="313"/>
      <w:bookmarkEnd w:id="314"/>
      <w:bookmarkEnd w:id="315"/>
      <w:bookmarkEnd w:id="316"/>
    </w:p>
    <w:p w14:paraId="42866078">
      <w:pPr>
        <w:spacing w:before="120" w:beforeLines="50" w:after="120" w:afterLines="50" w:line="360" w:lineRule="auto"/>
        <w:rPr>
          <w:rFonts w:ascii="宋体" w:hAnsi="宋体" w:eastAsia="宋体" w:cs="宋体"/>
          <w:b/>
          <w:bCs/>
          <w:sz w:val="24"/>
        </w:rPr>
      </w:pPr>
      <w:r>
        <w:rPr>
          <w:rFonts w:hint="eastAsia" w:ascii="宋体" w:hAnsi="宋体" w:eastAsia="宋体" w:cs="宋体"/>
          <w:b/>
          <w:bCs/>
          <w:sz w:val="24"/>
        </w:rPr>
        <w:t>致：广东有德招标采购有限公司</w:t>
      </w:r>
    </w:p>
    <w:p w14:paraId="28DC44D7">
      <w:pPr>
        <w:spacing w:before="72" w:after="72" w:line="360" w:lineRule="auto"/>
        <w:ind w:firstLine="480" w:firstLineChars="200"/>
        <w:rPr>
          <w:rFonts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(投标人全称)   </w:t>
      </w:r>
      <w:r>
        <w:rPr>
          <w:rFonts w:hint="eastAsia" w:ascii="宋体" w:hAnsi="宋体" w:eastAsia="宋体" w:cs="宋体"/>
          <w:sz w:val="24"/>
        </w:rPr>
        <w:t>在参加贵公司举行的</w:t>
      </w:r>
      <w:r>
        <w:rPr>
          <w:rFonts w:hint="eastAsia" w:ascii="宋体" w:hAnsi="宋体" w:eastAsia="宋体" w:cs="宋体"/>
          <w:sz w:val="24"/>
          <w:u w:val="single"/>
        </w:rPr>
        <w:t>（项目名称）(项目编号： )</w:t>
      </w:r>
      <w:r>
        <w:rPr>
          <w:rFonts w:hint="eastAsia" w:ascii="宋体" w:hAnsi="宋体" w:eastAsia="宋体" w:cs="宋体"/>
          <w:sz w:val="24"/>
        </w:rPr>
        <w:t>招标中如获中标,保证在收到贵公司发出的中标通知书的同时，向贵公司交纳招标代理服务费。</w:t>
      </w:r>
    </w:p>
    <w:p w14:paraId="22A42260">
      <w:pPr>
        <w:spacing w:before="72" w:after="72" w:line="360" w:lineRule="auto"/>
        <w:ind w:firstLine="480" w:firstLineChars="200"/>
        <w:rPr>
          <w:rFonts w:ascii="宋体" w:hAnsi="宋体" w:eastAsia="宋体" w:cs="宋体"/>
          <w:sz w:val="24"/>
        </w:rPr>
      </w:pPr>
      <w:r>
        <w:rPr>
          <w:rFonts w:hint="eastAsia" w:ascii="宋体" w:hAnsi="宋体" w:eastAsia="宋体" w:cs="宋体"/>
          <w:sz w:val="24"/>
        </w:rPr>
        <w:t>如我公司违反上述承诺，愿意承担由此引起的全部法律责任。</w:t>
      </w:r>
    </w:p>
    <w:p w14:paraId="33E1C315">
      <w:pPr>
        <w:spacing w:before="72" w:after="72" w:line="360" w:lineRule="auto"/>
        <w:ind w:firstLine="544" w:firstLineChars="227"/>
        <w:rPr>
          <w:rFonts w:ascii="宋体" w:hAnsi="宋体" w:eastAsia="宋体" w:cs="宋体"/>
          <w:sz w:val="24"/>
        </w:rPr>
      </w:pPr>
      <w:r>
        <w:rPr>
          <w:rFonts w:hint="eastAsia" w:ascii="宋体" w:hAnsi="宋体" w:eastAsia="宋体" w:cs="宋体"/>
          <w:sz w:val="24"/>
        </w:rPr>
        <w:t>特此承诺。</w:t>
      </w:r>
    </w:p>
    <w:p w14:paraId="4EB536B8">
      <w:pPr>
        <w:spacing w:before="72" w:after="72" w:line="360" w:lineRule="auto"/>
        <w:ind w:left="315"/>
        <w:rPr>
          <w:rFonts w:ascii="宋体" w:hAnsi="宋体" w:eastAsia="宋体" w:cs="宋体"/>
          <w:sz w:val="24"/>
        </w:rPr>
      </w:pPr>
    </w:p>
    <w:p w14:paraId="5AE6B0A4">
      <w:pPr>
        <w:spacing w:before="72" w:after="72" w:line="360" w:lineRule="auto"/>
        <w:ind w:left="315"/>
        <w:rPr>
          <w:rFonts w:ascii="宋体" w:hAnsi="宋体" w:eastAsia="宋体" w:cs="宋体"/>
          <w:sz w:val="24"/>
        </w:rPr>
      </w:pPr>
    </w:p>
    <w:p w14:paraId="3DEBA037">
      <w:pPr>
        <w:spacing w:before="72" w:after="72" w:line="360" w:lineRule="auto"/>
        <w:ind w:left="315"/>
        <w:rPr>
          <w:rFonts w:ascii="宋体" w:hAnsi="宋体" w:eastAsia="宋体" w:cs="宋体"/>
          <w:sz w:val="24"/>
        </w:rPr>
      </w:pPr>
    </w:p>
    <w:p w14:paraId="65B8818E">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255998D9">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0B124A20">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日期：   年   月   日</w:t>
      </w:r>
    </w:p>
    <w:p w14:paraId="141DB493">
      <w:pPr>
        <w:spacing w:before="72" w:after="72" w:line="400" w:lineRule="exact"/>
        <w:ind w:firstLine="3578" w:firstLineChars="1491"/>
        <w:rPr>
          <w:rFonts w:ascii="宋体" w:hAnsi="宋体" w:eastAsia="宋体" w:cs="宋体"/>
          <w:sz w:val="24"/>
        </w:rPr>
      </w:pPr>
    </w:p>
    <w:p w14:paraId="14023758">
      <w:pPr>
        <w:spacing w:before="72" w:after="72" w:line="400" w:lineRule="exact"/>
        <w:ind w:firstLine="3578" w:firstLineChars="1491"/>
        <w:rPr>
          <w:rFonts w:ascii="宋体" w:hAnsi="宋体" w:eastAsia="宋体" w:cs="宋体"/>
          <w:sz w:val="24"/>
        </w:rPr>
      </w:pPr>
    </w:p>
    <w:p w14:paraId="053A8AD4">
      <w:pPr>
        <w:spacing w:before="72" w:after="72" w:line="400" w:lineRule="exact"/>
        <w:ind w:firstLine="3578" w:firstLineChars="1491"/>
        <w:rPr>
          <w:rFonts w:ascii="宋体" w:hAnsi="宋体" w:eastAsia="宋体" w:cs="宋体"/>
          <w:sz w:val="24"/>
        </w:rPr>
      </w:pPr>
    </w:p>
    <w:p w14:paraId="461BA8F7">
      <w:pPr>
        <w:spacing w:before="72" w:after="72" w:line="400" w:lineRule="exact"/>
        <w:ind w:firstLine="3578" w:firstLineChars="1491"/>
        <w:rPr>
          <w:rFonts w:ascii="宋体" w:hAnsi="宋体" w:eastAsia="宋体" w:cs="宋体"/>
          <w:sz w:val="24"/>
        </w:rPr>
      </w:pPr>
    </w:p>
    <w:p w14:paraId="2C08B713">
      <w:pPr>
        <w:spacing w:before="72" w:after="72" w:line="400" w:lineRule="exact"/>
        <w:ind w:firstLine="3578" w:firstLineChars="1491"/>
        <w:rPr>
          <w:rFonts w:ascii="宋体" w:hAnsi="宋体" w:eastAsia="宋体" w:cs="宋体"/>
          <w:sz w:val="24"/>
        </w:rPr>
      </w:pPr>
    </w:p>
    <w:p w14:paraId="43CB6D4A">
      <w:pPr>
        <w:spacing w:before="72" w:after="72" w:line="400" w:lineRule="exact"/>
        <w:ind w:firstLine="3578" w:firstLineChars="1491"/>
        <w:rPr>
          <w:rFonts w:ascii="宋体" w:hAnsi="宋体" w:eastAsia="宋体" w:cs="宋体"/>
          <w:sz w:val="24"/>
        </w:rPr>
      </w:pPr>
    </w:p>
    <w:p w14:paraId="2D691135">
      <w:pPr>
        <w:spacing w:before="72" w:after="72" w:line="400" w:lineRule="exact"/>
        <w:ind w:firstLine="3578" w:firstLineChars="1491"/>
        <w:rPr>
          <w:rFonts w:ascii="宋体" w:hAnsi="宋体" w:eastAsia="宋体" w:cs="宋体"/>
          <w:sz w:val="24"/>
        </w:rPr>
      </w:pPr>
    </w:p>
    <w:p w14:paraId="392FA973">
      <w:pPr>
        <w:autoSpaceDE w:val="0"/>
        <w:autoSpaceDN w:val="0"/>
        <w:spacing w:line="360" w:lineRule="auto"/>
        <w:jc w:val="center"/>
        <w:rPr>
          <w:rFonts w:ascii="仿宋_GB2312" w:hAnsi="仿宋" w:eastAsia="仿宋_GB2312"/>
          <w:b/>
          <w:sz w:val="28"/>
          <w:szCs w:val="28"/>
        </w:rPr>
        <w:sectPr>
          <w:pgSz w:w="11905" w:h="16838"/>
          <w:pgMar w:top="1440" w:right="1440" w:bottom="1440" w:left="1440" w:header="850" w:footer="822" w:gutter="0"/>
          <w:cols w:space="0" w:num="1"/>
          <w:docGrid w:linePitch="312" w:charSpace="0"/>
        </w:sectPr>
      </w:pPr>
    </w:p>
    <w:p w14:paraId="2868063C"/>
    <w:p w14:paraId="3CC3B8EE"/>
    <w:p w14:paraId="05214179"/>
    <w:p w14:paraId="5B6B327A"/>
    <w:p w14:paraId="05BF58FB"/>
    <w:p w14:paraId="29AABDAC"/>
    <w:p w14:paraId="6DF1F9A9"/>
    <w:p w14:paraId="3C9EA8CC"/>
    <w:p w14:paraId="60C51BB9"/>
    <w:p w14:paraId="4B17D622"/>
    <w:p w14:paraId="7C70592D"/>
    <w:p w14:paraId="11DFF0AC"/>
    <w:p w14:paraId="4F249E0D"/>
    <w:p w14:paraId="37E1B027"/>
    <w:p w14:paraId="4B8F963B"/>
    <w:p w14:paraId="1B6446F2"/>
    <w:p w14:paraId="040C6C22"/>
    <w:p w14:paraId="5841D1D6"/>
    <w:p w14:paraId="65595EB3"/>
    <w:p w14:paraId="54042A28"/>
    <w:p w14:paraId="31A5AD74">
      <w:pPr>
        <w:pStyle w:val="3"/>
        <w:jc w:val="center"/>
        <w:rPr>
          <w:sz w:val="44"/>
          <w:szCs w:val="44"/>
        </w:rPr>
      </w:pPr>
      <w:bookmarkStart w:id="318" w:name="_Toc15591"/>
      <w:bookmarkStart w:id="319" w:name="_Toc20635"/>
      <w:bookmarkStart w:id="320" w:name="_Toc26626"/>
      <w:bookmarkStart w:id="321" w:name="_Toc381489435"/>
      <w:bookmarkStart w:id="322" w:name="_Toc423021961"/>
      <w:r>
        <w:rPr>
          <w:sz w:val="44"/>
          <w:szCs w:val="44"/>
        </w:rPr>
        <w:t>第</w:t>
      </w:r>
      <w:r>
        <w:rPr>
          <w:rFonts w:hint="eastAsia"/>
          <w:sz w:val="44"/>
          <w:szCs w:val="44"/>
        </w:rPr>
        <w:t>二</w:t>
      </w:r>
      <w:r>
        <w:rPr>
          <w:sz w:val="44"/>
          <w:szCs w:val="44"/>
        </w:rPr>
        <w:t xml:space="preserve">部分 </w:t>
      </w:r>
      <w:r>
        <w:rPr>
          <w:rFonts w:hint="eastAsia"/>
          <w:sz w:val="44"/>
          <w:szCs w:val="44"/>
        </w:rPr>
        <w:t>商务</w:t>
      </w:r>
      <w:r>
        <w:rPr>
          <w:sz w:val="44"/>
          <w:szCs w:val="44"/>
        </w:rPr>
        <w:t>文件</w:t>
      </w:r>
      <w:bookmarkEnd w:id="317"/>
      <w:bookmarkEnd w:id="318"/>
      <w:bookmarkEnd w:id="319"/>
      <w:bookmarkEnd w:id="320"/>
      <w:bookmarkEnd w:id="321"/>
      <w:bookmarkEnd w:id="322"/>
    </w:p>
    <w:p w14:paraId="6F3D77BF"/>
    <w:p w14:paraId="5573B3B9"/>
    <w:p w14:paraId="04482296"/>
    <w:p w14:paraId="7759AED0"/>
    <w:p w14:paraId="1BF5CD58"/>
    <w:p w14:paraId="00FDD0C3"/>
    <w:p w14:paraId="36FA78BE"/>
    <w:p w14:paraId="4B25B671"/>
    <w:p w14:paraId="4FDFB342"/>
    <w:p w14:paraId="54D1BA78"/>
    <w:p w14:paraId="72601891"/>
    <w:p w14:paraId="21BA9504"/>
    <w:p w14:paraId="7AD815D3"/>
    <w:p w14:paraId="0D8B3B07"/>
    <w:p w14:paraId="32C45B69"/>
    <w:p w14:paraId="6D11EFE5"/>
    <w:p w14:paraId="6017511C"/>
    <w:p w14:paraId="2682F811"/>
    <w:p w14:paraId="41178797">
      <w:pPr>
        <w:sectPr>
          <w:pgSz w:w="11905" w:h="16838"/>
          <w:pgMar w:top="1440" w:right="1440" w:bottom="1440" w:left="1440" w:header="850" w:footer="822" w:gutter="0"/>
          <w:cols w:space="0" w:num="1"/>
          <w:docGrid w:linePitch="312" w:charSpace="0"/>
        </w:sectPr>
      </w:pPr>
    </w:p>
    <w:p w14:paraId="71FA9995"/>
    <w:p w14:paraId="7FCD4C53">
      <w:pPr>
        <w:pStyle w:val="4"/>
        <w:numPr>
          <w:ilvl w:val="0"/>
          <w:numId w:val="84"/>
        </w:numPr>
        <w:adjustRightInd w:val="0"/>
        <w:snapToGrid w:val="0"/>
        <w:spacing w:before="0" w:after="0"/>
        <w:jc w:val="center"/>
      </w:pPr>
      <w:bookmarkStart w:id="323" w:name="_Toc9533"/>
      <w:bookmarkStart w:id="324" w:name="_Toc381489436"/>
      <w:bookmarkStart w:id="325" w:name="_Toc423021962"/>
      <w:bookmarkStart w:id="326" w:name="_Toc31174"/>
      <w:bookmarkStart w:id="327" w:name="_Toc6303"/>
      <w:r>
        <w:rPr>
          <w:rFonts w:hint="eastAsia"/>
        </w:rPr>
        <w:t>投标人</w:t>
      </w:r>
      <w:bookmarkEnd w:id="323"/>
      <w:bookmarkEnd w:id="324"/>
      <w:bookmarkEnd w:id="325"/>
      <w:r>
        <w:rPr>
          <w:rFonts w:hint="eastAsia"/>
        </w:rPr>
        <w:t>概况</w:t>
      </w:r>
      <w:bookmarkEnd w:id="326"/>
      <w:bookmarkEnd w:id="327"/>
    </w:p>
    <w:p w14:paraId="782349F4">
      <w:pPr>
        <w:numPr>
          <w:ilvl w:val="0"/>
          <w:numId w:val="85"/>
        </w:numPr>
        <w:adjustRightInd w:val="0"/>
        <w:snapToGri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投标人情况介绍表</w:t>
      </w:r>
    </w:p>
    <w:tbl>
      <w:tblPr>
        <w:tblStyle w:val="24"/>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740"/>
        <w:gridCol w:w="1215"/>
        <w:gridCol w:w="2598"/>
        <w:gridCol w:w="777"/>
        <w:gridCol w:w="1380"/>
      </w:tblGrid>
      <w:tr w14:paraId="51B9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5339D903">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7710" w:type="dxa"/>
            <w:gridSpan w:val="5"/>
            <w:vAlign w:val="center"/>
          </w:tcPr>
          <w:p w14:paraId="71BB0137">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44D4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303F4FB0">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p>
        </w:tc>
        <w:tc>
          <w:tcPr>
            <w:tcW w:w="7710" w:type="dxa"/>
            <w:gridSpan w:val="5"/>
            <w:vAlign w:val="center"/>
          </w:tcPr>
          <w:p w14:paraId="09406F73">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1A4B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253098CA">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主管部门</w:t>
            </w:r>
          </w:p>
        </w:tc>
        <w:tc>
          <w:tcPr>
            <w:tcW w:w="1740" w:type="dxa"/>
            <w:vAlign w:val="center"/>
          </w:tcPr>
          <w:p w14:paraId="0FE92356">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1215" w:type="dxa"/>
            <w:vAlign w:val="center"/>
          </w:tcPr>
          <w:p w14:paraId="2F790D88">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法人代表</w:t>
            </w:r>
          </w:p>
        </w:tc>
        <w:tc>
          <w:tcPr>
            <w:tcW w:w="2598" w:type="dxa"/>
            <w:vAlign w:val="center"/>
          </w:tcPr>
          <w:p w14:paraId="3D73E81D">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777" w:type="dxa"/>
            <w:vAlign w:val="center"/>
          </w:tcPr>
          <w:p w14:paraId="5F54741B">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w:t>
            </w:r>
          </w:p>
        </w:tc>
        <w:tc>
          <w:tcPr>
            <w:tcW w:w="1380" w:type="dxa"/>
          </w:tcPr>
          <w:p w14:paraId="5D3ADF72">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746B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36E57089">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经济类型</w:t>
            </w:r>
          </w:p>
        </w:tc>
        <w:tc>
          <w:tcPr>
            <w:tcW w:w="1740" w:type="dxa"/>
            <w:vAlign w:val="center"/>
          </w:tcPr>
          <w:p w14:paraId="6AB5806E">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1215" w:type="dxa"/>
            <w:vAlign w:val="center"/>
          </w:tcPr>
          <w:p w14:paraId="0532FFF3">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授权代表</w:t>
            </w:r>
          </w:p>
        </w:tc>
        <w:tc>
          <w:tcPr>
            <w:tcW w:w="2598" w:type="dxa"/>
            <w:vAlign w:val="center"/>
          </w:tcPr>
          <w:p w14:paraId="334369E8">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777" w:type="dxa"/>
            <w:vAlign w:val="center"/>
          </w:tcPr>
          <w:p w14:paraId="64973CE8">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w:t>
            </w:r>
          </w:p>
        </w:tc>
        <w:tc>
          <w:tcPr>
            <w:tcW w:w="1380" w:type="dxa"/>
          </w:tcPr>
          <w:p w14:paraId="0C5428AD">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2DAE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68A60A0C">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邮编</w:t>
            </w:r>
          </w:p>
        </w:tc>
        <w:tc>
          <w:tcPr>
            <w:tcW w:w="1740" w:type="dxa"/>
            <w:vAlign w:val="center"/>
          </w:tcPr>
          <w:p w14:paraId="4A39B21F">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1215" w:type="dxa"/>
            <w:vAlign w:val="center"/>
          </w:tcPr>
          <w:p w14:paraId="5A5B344D">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2598" w:type="dxa"/>
            <w:vAlign w:val="center"/>
          </w:tcPr>
          <w:p w14:paraId="4BEAD32D">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c>
          <w:tcPr>
            <w:tcW w:w="777" w:type="dxa"/>
            <w:vAlign w:val="center"/>
          </w:tcPr>
          <w:p w14:paraId="628FB7EF">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1380" w:type="dxa"/>
          </w:tcPr>
          <w:p w14:paraId="18AA4383">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3393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14:paraId="03E7790E">
            <w:pPr>
              <w:tabs>
                <w:tab w:val="left" w:pos="540"/>
              </w:tabs>
              <w:ind w:left="-128" w:leftChars="-62"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单位简介及机构设置</w:t>
            </w:r>
          </w:p>
        </w:tc>
        <w:tc>
          <w:tcPr>
            <w:tcW w:w="7710" w:type="dxa"/>
            <w:gridSpan w:val="5"/>
          </w:tcPr>
          <w:p w14:paraId="0365F5ED">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r w14:paraId="5D38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11" w:type="dxa"/>
            <w:vAlign w:val="center"/>
          </w:tcPr>
          <w:p w14:paraId="4E12302B">
            <w:pPr>
              <w:tabs>
                <w:tab w:val="left" w:pos="540"/>
              </w:tabs>
              <w:ind w:left="-128" w:leftChars="-62" w:right="-105" w:rightChars="-50" w:hanging="2"/>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单位优势及特长</w:t>
            </w:r>
          </w:p>
        </w:tc>
        <w:tc>
          <w:tcPr>
            <w:tcW w:w="7710" w:type="dxa"/>
            <w:gridSpan w:val="5"/>
          </w:tcPr>
          <w:p w14:paraId="49654D3C">
            <w:pPr>
              <w:tabs>
                <w:tab w:val="left" w:pos="540"/>
              </w:tabs>
              <w:spacing w:line="440" w:lineRule="exact"/>
              <w:ind w:left="-130" w:leftChars="-63" w:right="-105" w:rightChars="-50" w:hanging="2"/>
              <w:jc w:val="center"/>
              <w:rPr>
                <w:rFonts w:asciiTheme="majorEastAsia" w:hAnsiTheme="majorEastAsia" w:eastAsiaTheme="majorEastAsia" w:cstheme="majorEastAsia"/>
                <w:sz w:val="24"/>
              </w:rPr>
            </w:pPr>
          </w:p>
        </w:tc>
      </w:tr>
    </w:tbl>
    <w:p w14:paraId="7B1FDDBC">
      <w:pPr>
        <w:pStyle w:val="30"/>
        <w:spacing w:line="360" w:lineRule="auto"/>
        <w:ind w:left="960" w:hanging="960" w:hangingChars="400"/>
        <w:rPr>
          <w:rFonts w:asciiTheme="majorEastAsia" w:hAnsiTheme="majorEastAsia" w:eastAsiaTheme="majorEastAsia" w:cstheme="majorEastAsia"/>
          <w:bCs w:val="0"/>
          <w:spacing w:val="0"/>
          <w:kern w:val="2"/>
          <w:szCs w:val="24"/>
          <w:lang w:val="en-GB"/>
        </w:rPr>
      </w:pPr>
      <w:r>
        <w:rPr>
          <w:rFonts w:hint="eastAsia" w:asciiTheme="majorEastAsia" w:hAnsiTheme="majorEastAsia" w:eastAsiaTheme="majorEastAsia" w:cstheme="majorEastAsia"/>
          <w:bCs w:val="0"/>
          <w:spacing w:val="0"/>
          <w:kern w:val="2"/>
          <w:szCs w:val="24"/>
          <w:lang w:val="en-GB"/>
        </w:rPr>
        <w:t>注：</w:t>
      </w:r>
    </w:p>
    <w:p w14:paraId="228FA116">
      <w:pPr>
        <w:pStyle w:val="30"/>
        <w:numPr>
          <w:ilvl w:val="0"/>
          <w:numId w:val="86"/>
        </w:numPr>
        <w:spacing w:line="360" w:lineRule="auto"/>
        <w:rPr>
          <w:rFonts w:asciiTheme="majorEastAsia" w:hAnsiTheme="majorEastAsia" w:eastAsiaTheme="majorEastAsia" w:cstheme="majorEastAsia"/>
          <w:bCs w:val="0"/>
          <w:spacing w:val="0"/>
          <w:kern w:val="2"/>
          <w:szCs w:val="24"/>
          <w:lang w:val="en-GB"/>
        </w:rPr>
      </w:pPr>
      <w:r>
        <w:rPr>
          <w:rFonts w:hint="eastAsia" w:asciiTheme="majorEastAsia" w:hAnsiTheme="majorEastAsia" w:eastAsiaTheme="majorEastAsia" w:cstheme="majorEastAsia"/>
          <w:bCs w:val="0"/>
          <w:spacing w:val="0"/>
          <w:kern w:val="2"/>
          <w:szCs w:val="24"/>
          <w:lang w:val="en-GB"/>
        </w:rPr>
        <w:t>上表内容可以采用文字描述（企业性质、发展历程、主营产品、技术力量等）或图片描述。</w:t>
      </w:r>
    </w:p>
    <w:p w14:paraId="56DC9FF3">
      <w:pPr>
        <w:pStyle w:val="30"/>
        <w:numPr>
          <w:ilvl w:val="0"/>
          <w:numId w:val="86"/>
        </w:numPr>
        <w:rPr>
          <w:rFonts w:asciiTheme="majorEastAsia" w:hAnsiTheme="majorEastAsia" w:eastAsiaTheme="majorEastAsia" w:cstheme="majorEastAsia"/>
          <w:bCs w:val="0"/>
          <w:spacing w:val="0"/>
          <w:kern w:val="2"/>
          <w:szCs w:val="24"/>
          <w:lang w:val="en-GB"/>
        </w:rPr>
      </w:pPr>
      <w:r>
        <w:rPr>
          <w:rFonts w:hint="eastAsia" w:asciiTheme="majorEastAsia" w:hAnsiTheme="majorEastAsia" w:eastAsiaTheme="majorEastAsia" w:cstheme="majorEastAsia"/>
          <w:bCs w:val="0"/>
          <w:spacing w:val="0"/>
          <w:kern w:val="2"/>
          <w:szCs w:val="24"/>
          <w:lang w:val="en-GB"/>
        </w:rPr>
        <w:t>如投标人此表数据有虚假，一经查实，自行承担相关责任。</w:t>
      </w:r>
    </w:p>
    <w:p w14:paraId="69540C22">
      <w:pPr>
        <w:pStyle w:val="30"/>
        <w:ind w:firstLine="420" w:firstLineChars="200"/>
        <w:rPr>
          <w:rFonts w:ascii="仿宋_GB2312" w:hAnsi="仿宋" w:eastAsia="仿宋_GB2312"/>
          <w:bCs w:val="0"/>
          <w:spacing w:val="0"/>
          <w:kern w:val="2"/>
          <w:sz w:val="21"/>
          <w:szCs w:val="21"/>
          <w:lang w:val="en-GB"/>
        </w:rPr>
      </w:pPr>
    </w:p>
    <w:p w14:paraId="18E837E7">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31AB2DD3">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03404F18">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p w14:paraId="55A8F075">
      <w:pPr>
        <w:numPr>
          <w:ilvl w:val="0"/>
          <w:numId w:val="85"/>
        </w:numPr>
        <w:spacing w:before="72" w:after="72"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同类项目业绩介绍</w:t>
      </w:r>
    </w:p>
    <w:tbl>
      <w:tblPr>
        <w:tblStyle w:val="2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6AB6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D7D7D7" w:themeFill="background1" w:themeFillShade="D8"/>
            <w:vAlign w:val="center"/>
          </w:tcPr>
          <w:p w14:paraId="29ED375C">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872" w:type="dxa"/>
            <w:shd w:val="clear" w:color="auto" w:fill="D7D7D7" w:themeFill="background1" w:themeFillShade="D8"/>
            <w:vAlign w:val="center"/>
          </w:tcPr>
          <w:p w14:paraId="5E19ADBC">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客户名称</w:t>
            </w:r>
          </w:p>
        </w:tc>
        <w:tc>
          <w:tcPr>
            <w:tcW w:w="2819" w:type="dxa"/>
            <w:shd w:val="clear" w:color="auto" w:fill="D7D7D7" w:themeFill="background1" w:themeFillShade="D8"/>
            <w:vAlign w:val="center"/>
          </w:tcPr>
          <w:p w14:paraId="05C81326">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项目名称及合同金额</w:t>
            </w:r>
          </w:p>
        </w:tc>
        <w:tc>
          <w:tcPr>
            <w:tcW w:w="1236" w:type="dxa"/>
            <w:shd w:val="clear" w:color="auto" w:fill="D7D7D7" w:themeFill="background1" w:themeFillShade="D8"/>
            <w:vAlign w:val="center"/>
          </w:tcPr>
          <w:p w14:paraId="016D057D">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完成时间</w:t>
            </w:r>
          </w:p>
        </w:tc>
        <w:tc>
          <w:tcPr>
            <w:tcW w:w="2237" w:type="dxa"/>
            <w:shd w:val="clear" w:color="auto" w:fill="D7D7D7" w:themeFill="background1" w:themeFillShade="D8"/>
            <w:vAlign w:val="center"/>
          </w:tcPr>
          <w:p w14:paraId="60FB3ABE">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联系人及电话</w:t>
            </w:r>
          </w:p>
        </w:tc>
      </w:tr>
      <w:tr w14:paraId="4796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67403BF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72" w:type="dxa"/>
            <w:vAlign w:val="center"/>
          </w:tcPr>
          <w:p w14:paraId="5FF8FF31">
            <w:pPr>
              <w:jc w:val="center"/>
              <w:rPr>
                <w:rFonts w:asciiTheme="majorEastAsia" w:hAnsiTheme="majorEastAsia" w:eastAsiaTheme="majorEastAsia" w:cstheme="majorEastAsia"/>
                <w:sz w:val="24"/>
              </w:rPr>
            </w:pPr>
          </w:p>
        </w:tc>
        <w:tc>
          <w:tcPr>
            <w:tcW w:w="2819" w:type="dxa"/>
            <w:vAlign w:val="center"/>
          </w:tcPr>
          <w:p w14:paraId="39F4F1D0">
            <w:pPr>
              <w:jc w:val="center"/>
              <w:rPr>
                <w:rFonts w:asciiTheme="majorEastAsia" w:hAnsiTheme="majorEastAsia" w:eastAsiaTheme="majorEastAsia" w:cstheme="majorEastAsia"/>
                <w:sz w:val="24"/>
              </w:rPr>
            </w:pPr>
          </w:p>
        </w:tc>
        <w:tc>
          <w:tcPr>
            <w:tcW w:w="1236" w:type="dxa"/>
            <w:vAlign w:val="center"/>
          </w:tcPr>
          <w:p w14:paraId="799D87C0">
            <w:pPr>
              <w:jc w:val="center"/>
              <w:rPr>
                <w:rFonts w:asciiTheme="majorEastAsia" w:hAnsiTheme="majorEastAsia" w:eastAsiaTheme="majorEastAsia" w:cstheme="majorEastAsia"/>
                <w:sz w:val="24"/>
              </w:rPr>
            </w:pPr>
          </w:p>
        </w:tc>
        <w:tc>
          <w:tcPr>
            <w:tcW w:w="2237" w:type="dxa"/>
            <w:vAlign w:val="center"/>
          </w:tcPr>
          <w:p w14:paraId="22A51A89">
            <w:pPr>
              <w:jc w:val="center"/>
              <w:rPr>
                <w:rFonts w:asciiTheme="majorEastAsia" w:hAnsiTheme="majorEastAsia" w:eastAsiaTheme="majorEastAsia" w:cstheme="majorEastAsia"/>
                <w:sz w:val="24"/>
              </w:rPr>
            </w:pPr>
          </w:p>
        </w:tc>
      </w:tr>
      <w:tr w14:paraId="6BBF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7E1E85A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72" w:type="dxa"/>
            <w:vAlign w:val="center"/>
          </w:tcPr>
          <w:p w14:paraId="6C55B465">
            <w:pPr>
              <w:jc w:val="center"/>
              <w:rPr>
                <w:rFonts w:asciiTheme="majorEastAsia" w:hAnsiTheme="majorEastAsia" w:eastAsiaTheme="majorEastAsia" w:cstheme="majorEastAsia"/>
                <w:sz w:val="24"/>
              </w:rPr>
            </w:pPr>
          </w:p>
        </w:tc>
        <w:tc>
          <w:tcPr>
            <w:tcW w:w="2819" w:type="dxa"/>
            <w:vAlign w:val="center"/>
          </w:tcPr>
          <w:p w14:paraId="37B5E166">
            <w:pPr>
              <w:jc w:val="center"/>
              <w:rPr>
                <w:rFonts w:asciiTheme="majorEastAsia" w:hAnsiTheme="majorEastAsia" w:eastAsiaTheme="majorEastAsia" w:cstheme="majorEastAsia"/>
                <w:sz w:val="24"/>
              </w:rPr>
            </w:pPr>
          </w:p>
        </w:tc>
        <w:tc>
          <w:tcPr>
            <w:tcW w:w="1236" w:type="dxa"/>
            <w:vAlign w:val="center"/>
          </w:tcPr>
          <w:p w14:paraId="6098A9FE">
            <w:pPr>
              <w:pStyle w:val="34"/>
              <w:rPr>
                <w:rFonts w:asciiTheme="majorEastAsia" w:hAnsiTheme="majorEastAsia" w:eastAsiaTheme="majorEastAsia" w:cstheme="majorEastAsia"/>
                <w:color w:val="auto"/>
                <w:sz w:val="24"/>
                <w:szCs w:val="24"/>
              </w:rPr>
            </w:pPr>
          </w:p>
        </w:tc>
        <w:tc>
          <w:tcPr>
            <w:tcW w:w="2237" w:type="dxa"/>
            <w:vAlign w:val="center"/>
          </w:tcPr>
          <w:p w14:paraId="1C899594">
            <w:pPr>
              <w:jc w:val="center"/>
              <w:rPr>
                <w:rFonts w:asciiTheme="majorEastAsia" w:hAnsiTheme="majorEastAsia" w:eastAsiaTheme="majorEastAsia" w:cstheme="majorEastAsia"/>
                <w:sz w:val="24"/>
              </w:rPr>
            </w:pPr>
          </w:p>
        </w:tc>
      </w:tr>
      <w:tr w14:paraId="5618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75DCE6B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72" w:type="dxa"/>
            <w:vAlign w:val="center"/>
          </w:tcPr>
          <w:p w14:paraId="045E5DF0">
            <w:pPr>
              <w:jc w:val="center"/>
              <w:rPr>
                <w:rFonts w:asciiTheme="majorEastAsia" w:hAnsiTheme="majorEastAsia" w:eastAsiaTheme="majorEastAsia" w:cstheme="majorEastAsia"/>
                <w:sz w:val="24"/>
              </w:rPr>
            </w:pPr>
          </w:p>
        </w:tc>
        <w:tc>
          <w:tcPr>
            <w:tcW w:w="2819" w:type="dxa"/>
            <w:vAlign w:val="center"/>
          </w:tcPr>
          <w:p w14:paraId="33C9145B">
            <w:pPr>
              <w:jc w:val="center"/>
              <w:rPr>
                <w:rFonts w:asciiTheme="majorEastAsia" w:hAnsiTheme="majorEastAsia" w:eastAsiaTheme="majorEastAsia" w:cstheme="majorEastAsia"/>
                <w:sz w:val="24"/>
              </w:rPr>
            </w:pPr>
          </w:p>
        </w:tc>
        <w:tc>
          <w:tcPr>
            <w:tcW w:w="1236" w:type="dxa"/>
            <w:vAlign w:val="center"/>
          </w:tcPr>
          <w:p w14:paraId="2C8B95B0">
            <w:pPr>
              <w:jc w:val="center"/>
              <w:rPr>
                <w:rFonts w:asciiTheme="majorEastAsia" w:hAnsiTheme="majorEastAsia" w:eastAsiaTheme="majorEastAsia" w:cstheme="majorEastAsia"/>
                <w:sz w:val="24"/>
              </w:rPr>
            </w:pPr>
          </w:p>
        </w:tc>
        <w:tc>
          <w:tcPr>
            <w:tcW w:w="2237" w:type="dxa"/>
            <w:vAlign w:val="center"/>
          </w:tcPr>
          <w:p w14:paraId="7546C31E">
            <w:pPr>
              <w:jc w:val="center"/>
              <w:rPr>
                <w:rFonts w:asciiTheme="majorEastAsia" w:hAnsiTheme="majorEastAsia" w:eastAsiaTheme="majorEastAsia" w:cstheme="majorEastAsia"/>
                <w:sz w:val="24"/>
              </w:rPr>
            </w:pPr>
          </w:p>
        </w:tc>
      </w:tr>
      <w:tr w14:paraId="1DA2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7CE9A96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1872" w:type="dxa"/>
            <w:vAlign w:val="center"/>
          </w:tcPr>
          <w:p w14:paraId="23D484C1">
            <w:pPr>
              <w:jc w:val="center"/>
              <w:rPr>
                <w:rFonts w:asciiTheme="majorEastAsia" w:hAnsiTheme="majorEastAsia" w:eastAsiaTheme="majorEastAsia" w:cstheme="majorEastAsia"/>
                <w:sz w:val="24"/>
              </w:rPr>
            </w:pPr>
          </w:p>
        </w:tc>
        <w:tc>
          <w:tcPr>
            <w:tcW w:w="2819" w:type="dxa"/>
            <w:vAlign w:val="center"/>
          </w:tcPr>
          <w:p w14:paraId="79FF8928">
            <w:pPr>
              <w:jc w:val="center"/>
              <w:rPr>
                <w:rFonts w:asciiTheme="majorEastAsia" w:hAnsiTheme="majorEastAsia" w:eastAsiaTheme="majorEastAsia" w:cstheme="majorEastAsia"/>
                <w:sz w:val="24"/>
              </w:rPr>
            </w:pPr>
          </w:p>
        </w:tc>
        <w:tc>
          <w:tcPr>
            <w:tcW w:w="1236" w:type="dxa"/>
            <w:vAlign w:val="center"/>
          </w:tcPr>
          <w:p w14:paraId="745C0BA4">
            <w:pPr>
              <w:jc w:val="center"/>
              <w:rPr>
                <w:rFonts w:asciiTheme="majorEastAsia" w:hAnsiTheme="majorEastAsia" w:eastAsiaTheme="majorEastAsia" w:cstheme="majorEastAsia"/>
                <w:sz w:val="24"/>
              </w:rPr>
            </w:pPr>
          </w:p>
        </w:tc>
        <w:tc>
          <w:tcPr>
            <w:tcW w:w="2237" w:type="dxa"/>
            <w:vAlign w:val="center"/>
          </w:tcPr>
          <w:p w14:paraId="5124B82F">
            <w:pPr>
              <w:jc w:val="center"/>
              <w:rPr>
                <w:rFonts w:asciiTheme="majorEastAsia" w:hAnsiTheme="majorEastAsia" w:eastAsiaTheme="majorEastAsia" w:cstheme="majorEastAsia"/>
                <w:sz w:val="24"/>
              </w:rPr>
            </w:pPr>
          </w:p>
        </w:tc>
      </w:tr>
    </w:tbl>
    <w:p w14:paraId="5191B4FC">
      <w:pPr>
        <w:adjustRightInd w:val="0"/>
        <w:snapToGrid w:val="0"/>
        <w:spacing w:line="360" w:lineRule="auto"/>
        <w:ind w:left="-420" w:leftChars="-200" w:firstLine="420" w:firstLineChars="175"/>
        <w:rPr>
          <w:rFonts w:ascii="宋体" w:hAnsi="宋体" w:eastAsia="宋体" w:cs="宋体"/>
          <w:sz w:val="24"/>
        </w:rPr>
      </w:pPr>
      <w:r>
        <w:rPr>
          <w:rFonts w:hint="eastAsia" w:ascii="宋体" w:hAnsi="宋体" w:eastAsia="宋体" w:cs="宋体"/>
          <w:sz w:val="24"/>
        </w:rPr>
        <w:t>注：</w:t>
      </w:r>
    </w:p>
    <w:p w14:paraId="1596E5B9">
      <w:pPr>
        <w:numPr>
          <w:ilvl w:val="0"/>
          <w:numId w:val="87"/>
        </w:numPr>
        <w:adjustRightInd w:val="0"/>
        <w:snapToGrid w:val="0"/>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业绩必须是以投标人名义完成并已验收的项目。</w:t>
      </w:r>
    </w:p>
    <w:p w14:paraId="73A21D5B">
      <w:pPr>
        <w:numPr>
          <w:ilvl w:val="0"/>
          <w:numId w:val="87"/>
        </w:numPr>
        <w:adjustRightInd w:val="0"/>
        <w:snapToGrid w:val="0"/>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投标人必须提供合同复印件。</w:t>
      </w:r>
    </w:p>
    <w:p w14:paraId="7815A8DB">
      <w:pPr>
        <w:rPr>
          <w:rFonts w:ascii="仿宋_GB2312" w:hAnsi="仿宋" w:eastAsia="仿宋_GB2312"/>
        </w:rPr>
      </w:pPr>
    </w:p>
    <w:p w14:paraId="36FA2169">
      <w:pPr>
        <w:rPr>
          <w:rFonts w:ascii="仿宋_GB2312" w:hAnsi="仿宋" w:eastAsia="仿宋_GB2312"/>
        </w:rPr>
      </w:pPr>
    </w:p>
    <w:p w14:paraId="65A7B12E">
      <w:pPr>
        <w:rPr>
          <w:rFonts w:ascii="仿宋_GB2312" w:hAnsi="仿宋" w:eastAsia="仿宋_GB2312"/>
        </w:rPr>
      </w:pPr>
    </w:p>
    <w:p w14:paraId="631B27D0">
      <w:pPr>
        <w:pStyle w:val="30"/>
        <w:rPr>
          <w:rFonts w:ascii="仿宋_GB2312" w:hAnsi="仿宋" w:eastAsia="仿宋_GB2312"/>
        </w:rPr>
      </w:pPr>
    </w:p>
    <w:p w14:paraId="0E472CFD">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0C249BD2">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668ECB86">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p w14:paraId="05C1D62B">
      <w:pPr>
        <w:numPr>
          <w:ilvl w:val="0"/>
          <w:numId w:val="85"/>
        </w:numPr>
        <w:spacing w:before="72" w:after="72"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拟任管理及技术人员情况</w:t>
      </w:r>
    </w:p>
    <w:tbl>
      <w:tblPr>
        <w:tblStyle w:val="2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18"/>
        <w:gridCol w:w="992"/>
        <w:gridCol w:w="1905"/>
        <w:gridCol w:w="930"/>
        <w:gridCol w:w="735"/>
        <w:gridCol w:w="1965"/>
      </w:tblGrid>
      <w:tr w14:paraId="51A4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057" w:type="dxa"/>
            <w:tcBorders>
              <w:top w:val="single" w:color="auto" w:sz="4" w:space="0"/>
              <w:left w:val="single" w:color="auto" w:sz="4" w:space="0"/>
              <w:bottom w:val="nil"/>
              <w:right w:val="single" w:color="auto" w:sz="4" w:space="0"/>
            </w:tcBorders>
            <w:shd w:val="clear" w:color="auto" w:fill="D7D7D7" w:themeFill="background1" w:themeFillShade="D8"/>
            <w:vAlign w:val="center"/>
          </w:tcPr>
          <w:p w14:paraId="54EB44DD">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职责</w:t>
            </w:r>
          </w:p>
          <w:p w14:paraId="7536F4C2">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分工</w:t>
            </w:r>
          </w:p>
        </w:tc>
        <w:tc>
          <w:tcPr>
            <w:tcW w:w="1418" w:type="dxa"/>
            <w:tcBorders>
              <w:top w:val="single" w:color="auto" w:sz="4" w:space="0"/>
              <w:left w:val="single" w:color="auto" w:sz="4" w:space="0"/>
              <w:bottom w:val="nil"/>
              <w:right w:val="single" w:color="auto" w:sz="4" w:space="0"/>
            </w:tcBorders>
            <w:shd w:val="clear" w:color="auto" w:fill="D7D7D7" w:themeFill="background1" w:themeFillShade="D8"/>
            <w:vAlign w:val="center"/>
          </w:tcPr>
          <w:p w14:paraId="1C75CEEA">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姓名</w:t>
            </w:r>
          </w:p>
        </w:tc>
        <w:tc>
          <w:tcPr>
            <w:tcW w:w="992" w:type="dxa"/>
            <w:tcBorders>
              <w:top w:val="single" w:color="auto" w:sz="4" w:space="0"/>
              <w:left w:val="single" w:color="auto" w:sz="4" w:space="0"/>
              <w:bottom w:val="nil"/>
            </w:tcBorders>
            <w:shd w:val="clear" w:color="auto" w:fill="D7D7D7" w:themeFill="background1" w:themeFillShade="D8"/>
            <w:vAlign w:val="center"/>
          </w:tcPr>
          <w:p w14:paraId="5295A0EA">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现职务</w:t>
            </w:r>
          </w:p>
        </w:tc>
        <w:tc>
          <w:tcPr>
            <w:tcW w:w="1905" w:type="dxa"/>
            <w:tcBorders>
              <w:top w:val="single" w:color="auto" w:sz="4" w:space="0"/>
              <w:bottom w:val="nil"/>
            </w:tcBorders>
            <w:shd w:val="clear" w:color="auto" w:fill="D7D7D7" w:themeFill="background1" w:themeFillShade="D8"/>
            <w:vAlign w:val="center"/>
          </w:tcPr>
          <w:p w14:paraId="623C3892">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曾主持/参与的同类项目经历</w:t>
            </w:r>
          </w:p>
        </w:tc>
        <w:tc>
          <w:tcPr>
            <w:tcW w:w="930" w:type="dxa"/>
            <w:tcBorders>
              <w:top w:val="single" w:color="auto" w:sz="4" w:space="0"/>
              <w:bottom w:val="nil"/>
            </w:tcBorders>
            <w:shd w:val="clear" w:color="auto" w:fill="D7D7D7" w:themeFill="background1" w:themeFillShade="D8"/>
            <w:vAlign w:val="center"/>
          </w:tcPr>
          <w:p w14:paraId="7346D321">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职称</w:t>
            </w:r>
          </w:p>
        </w:tc>
        <w:tc>
          <w:tcPr>
            <w:tcW w:w="735" w:type="dxa"/>
            <w:tcBorders>
              <w:top w:val="single" w:color="auto" w:sz="4" w:space="0"/>
              <w:bottom w:val="nil"/>
              <w:right w:val="single" w:color="auto" w:sz="4" w:space="0"/>
            </w:tcBorders>
            <w:shd w:val="clear" w:color="auto" w:fill="D7D7D7" w:themeFill="background1" w:themeFillShade="D8"/>
            <w:vAlign w:val="center"/>
          </w:tcPr>
          <w:p w14:paraId="57BBC4C2">
            <w:pPr>
              <w:ind w:firstLine="1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专业工龄</w:t>
            </w:r>
          </w:p>
        </w:tc>
        <w:tc>
          <w:tcPr>
            <w:tcW w:w="1965" w:type="dxa"/>
            <w:tcBorders>
              <w:top w:val="single" w:color="auto" w:sz="4" w:space="0"/>
              <w:bottom w:val="nil"/>
              <w:right w:val="single" w:color="auto" w:sz="4" w:space="0"/>
            </w:tcBorders>
            <w:shd w:val="clear" w:color="auto" w:fill="D7D7D7" w:themeFill="background1" w:themeFillShade="D8"/>
            <w:vAlign w:val="center"/>
          </w:tcPr>
          <w:p w14:paraId="50FD44D9">
            <w:pPr>
              <w:ind w:firstLine="1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联系电话/手机</w:t>
            </w:r>
          </w:p>
        </w:tc>
      </w:tr>
      <w:tr w14:paraId="283B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057" w:type="dxa"/>
            <w:tcBorders>
              <w:top w:val="single" w:color="auto" w:sz="4" w:space="0"/>
              <w:left w:val="single" w:color="auto" w:sz="4" w:space="0"/>
              <w:bottom w:val="nil"/>
              <w:right w:val="single" w:color="auto" w:sz="4" w:space="0"/>
            </w:tcBorders>
            <w:vAlign w:val="center"/>
          </w:tcPr>
          <w:p w14:paraId="473520CF">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项目负责人</w:t>
            </w:r>
          </w:p>
        </w:tc>
        <w:tc>
          <w:tcPr>
            <w:tcW w:w="1418" w:type="dxa"/>
            <w:tcBorders>
              <w:top w:val="single" w:color="auto" w:sz="4" w:space="0"/>
              <w:left w:val="single" w:color="auto" w:sz="4" w:space="0"/>
              <w:bottom w:val="nil"/>
              <w:right w:val="single" w:color="auto" w:sz="4" w:space="0"/>
            </w:tcBorders>
            <w:vAlign w:val="center"/>
          </w:tcPr>
          <w:p w14:paraId="2FA73F74">
            <w:pPr>
              <w:jc w:val="center"/>
              <w:rPr>
                <w:rFonts w:asciiTheme="majorEastAsia" w:hAnsiTheme="majorEastAsia" w:eastAsiaTheme="majorEastAsia" w:cstheme="majorEastAsia"/>
                <w:sz w:val="24"/>
              </w:rPr>
            </w:pPr>
          </w:p>
        </w:tc>
        <w:tc>
          <w:tcPr>
            <w:tcW w:w="992" w:type="dxa"/>
            <w:tcBorders>
              <w:top w:val="single" w:color="auto" w:sz="4" w:space="0"/>
              <w:left w:val="single" w:color="auto" w:sz="4" w:space="0"/>
              <w:bottom w:val="nil"/>
            </w:tcBorders>
            <w:vAlign w:val="center"/>
          </w:tcPr>
          <w:p w14:paraId="6497AD0A">
            <w:pPr>
              <w:jc w:val="center"/>
              <w:rPr>
                <w:rFonts w:asciiTheme="majorEastAsia" w:hAnsiTheme="majorEastAsia" w:eastAsiaTheme="majorEastAsia" w:cstheme="majorEastAsia"/>
                <w:sz w:val="24"/>
              </w:rPr>
            </w:pPr>
          </w:p>
        </w:tc>
        <w:tc>
          <w:tcPr>
            <w:tcW w:w="1905" w:type="dxa"/>
            <w:tcBorders>
              <w:top w:val="single" w:color="auto" w:sz="4" w:space="0"/>
              <w:bottom w:val="nil"/>
            </w:tcBorders>
            <w:vAlign w:val="center"/>
          </w:tcPr>
          <w:p w14:paraId="5DC91538">
            <w:pPr>
              <w:pStyle w:val="31"/>
              <w:keepNext w:val="0"/>
              <w:adjustRightInd/>
              <w:spacing w:line="240" w:lineRule="auto"/>
              <w:textAlignment w:val="auto"/>
              <w:rPr>
                <w:rFonts w:asciiTheme="majorEastAsia" w:hAnsiTheme="majorEastAsia" w:eastAsiaTheme="majorEastAsia" w:cstheme="majorEastAsia"/>
                <w:snapToGrid/>
                <w:spacing w:val="0"/>
                <w:kern w:val="2"/>
                <w:szCs w:val="24"/>
              </w:rPr>
            </w:pPr>
          </w:p>
        </w:tc>
        <w:tc>
          <w:tcPr>
            <w:tcW w:w="930" w:type="dxa"/>
            <w:tcBorders>
              <w:top w:val="single" w:color="auto" w:sz="4" w:space="0"/>
              <w:bottom w:val="nil"/>
            </w:tcBorders>
            <w:vAlign w:val="center"/>
          </w:tcPr>
          <w:p w14:paraId="46550E2C">
            <w:pPr>
              <w:jc w:val="center"/>
              <w:rPr>
                <w:rFonts w:asciiTheme="majorEastAsia" w:hAnsiTheme="majorEastAsia" w:eastAsiaTheme="majorEastAsia" w:cstheme="majorEastAsia"/>
                <w:sz w:val="24"/>
              </w:rPr>
            </w:pPr>
          </w:p>
        </w:tc>
        <w:tc>
          <w:tcPr>
            <w:tcW w:w="735" w:type="dxa"/>
            <w:tcBorders>
              <w:top w:val="single" w:color="auto" w:sz="4" w:space="0"/>
              <w:bottom w:val="nil"/>
              <w:right w:val="single" w:color="auto" w:sz="4" w:space="0"/>
            </w:tcBorders>
            <w:vAlign w:val="center"/>
          </w:tcPr>
          <w:p w14:paraId="56298631">
            <w:pPr>
              <w:ind w:firstLine="12"/>
              <w:jc w:val="center"/>
              <w:rPr>
                <w:rFonts w:asciiTheme="majorEastAsia" w:hAnsiTheme="majorEastAsia" w:eastAsiaTheme="majorEastAsia" w:cstheme="majorEastAsia"/>
                <w:sz w:val="24"/>
              </w:rPr>
            </w:pPr>
          </w:p>
        </w:tc>
        <w:tc>
          <w:tcPr>
            <w:tcW w:w="1965" w:type="dxa"/>
            <w:tcBorders>
              <w:top w:val="single" w:color="auto" w:sz="4" w:space="0"/>
              <w:bottom w:val="nil"/>
              <w:right w:val="single" w:color="auto" w:sz="4" w:space="0"/>
            </w:tcBorders>
            <w:vAlign w:val="center"/>
          </w:tcPr>
          <w:p w14:paraId="51EC0F80">
            <w:pPr>
              <w:ind w:firstLine="12"/>
              <w:jc w:val="center"/>
              <w:rPr>
                <w:rFonts w:asciiTheme="majorEastAsia" w:hAnsiTheme="majorEastAsia" w:eastAsiaTheme="majorEastAsia" w:cstheme="majorEastAsia"/>
                <w:sz w:val="24"/>
              </w:rPr>
            </w:pPr>
          </w:p>
        </w:tc>
      </w:tr>
      <w:tr w14:paraId="0D7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57" w:type="dxa"/>
            <w:vMerge w:val="restart"/>
            <w:tcBorders>
              <w:left w:val="single" w:color="auto" w:sz="4" w:space="0"/>
              <w:right w:val="single" w:color="auto" w:sz="4" w:space="0"/>
            </w:tcBorders>
            <w:vAlign w:val="center"/>
          </w:tcPr>
          <w:p w14:paraId="27DDA89A">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其他主要技术人员</w:t>
            </w:r>
          </w:p>
        </w:tc>
        <w:tc>
          <w:tcPr>
            <w:tcW w:w="1418" w:type="dxa"/>
            <w:tcBorders>
              <w:left w:val="single" w:color="auto" w:sz="4" w:space="0"/>
              <w:right w:val="single" w:color="auto" w:sz="4" w:space="0"/>
            </w:tcBorders>
            <w:vAlign w:val="center"/>
          </w:tcPr>
          <w:p w14:paraId="46F7ED99">
            <w:pPr>
              <w:jc w:val="center"/>
              <w:rPr>
                <w:rFonts w:asciiTheme="majorEastAsia" w:hAnsiTheme="majorEastAsia" w:eastAsiaTheme="majorEastAsia" w:cstheme="majorEastAsia"/>
                <w:sz w:val="24"/>
              </w:rPr>
            </w:pPr>
          </w:p>
        </w:tc>
        <w:tc>
          <w:tcPr>
            <w:tcW w:w="992" w:type="dxa"/>
            <w:tcBorders>
              <w:left w:val="single" w:color="auto" w:sz="4" w:space="0"/>
            </w:tcBorders>
            <w:vAlign w:val="center"/>
          </w:tcPr>
          <w:p w14:paraId="1E824018">
            <w:pPr>
              <w:jc w:val="center"/>
              <w:rPr>
                <w:rFonts w:asciiTheme="majorEastAsia" w:hAnsiTheme="majorEastAsia" w:eastAsiaTheme="majorEastAsia" w:cstheme="majorEastAsia"/>
                <w:sz w:val="24"/>
              </w:rPr>
            </w:pPr>
          </w:p>
        </w:tc>
        <w:tc>
          <w:tcPr>
            <w:tcW w:w="1905" w:type="dxa"/>
            <w:vAlign w:val="center"/>
          </w:tcPr>
          <w:p w14:paraId="076DCEAB">
            <w:pPr>
              <w:jc w:val="center"/>
              <w:rPr>
                <w:rFonts w:asciiTheme="majorEastAsia" w:hAnsiTheme="majorEastAsia" w:eastAsiaTheme="majorEastAsia" w:cstheme="majorEastAsia"/>
                <w:sz w:val="24"/>
              </w:rPr>
            </w:pPr>
          </w:p>
        </w:tc>
        <w:tc>
          <w:tcPr>
            <w:tcW w:w="930" w:type="dxa"/>
            <w:vAlign w:val="center"/>
          </w:tcPr>
          <w:p w14:paraId="5C32B0B6">
            <w:pPr>
              <w:jc w:val="center"/>
              <w:rPr>
                <w:rFonts w:asciiTheme="majorEastAsia" w:hAnsiTheme="majorEastAsia" w:eastAsiaTheme="majorEastAsia" w:cstheme="majorEastAsia"/>
                <w:sz w:val="24"/>
              </w:rPr>
            </w:pPr>
          </w:p>
        </w:tc>
        <w:tc>
          <w:tcPr>
            <w:tcW w:w="735" w:type="dxa"/>
            <w:tcBorders>
              <w:right w:val="single" w:color="auto" w:sz="4" w:space="0"/>
            </w:tcBorders>
            <w:vAlign w:val="center"/>
          </w:tcPr>
          <w:p w14:paraId="51B2ED8B">
            <w:pPr>
              <w:jc w:val="center"/>
              <w:rPr>
                <w:rFonts w:asciiTheme="majorEastAsia" w:hAnsiTheme="majorEastAsia" w:eastAsiaTheme="majorEastAsia" w:cstheme="majorEastAsia"/>
                <w:sz w:val="24"/>
              </w:rPr>
            </w:pPr>
          </w:p>
        </w:tc>
        <w:tc>
          <w:tcPr>
            <w:tcW w:w="1965" w:type="dxa"/>
            <w:tcBorders>
              <w:right w:val="single" w:color="auto" w:sz="4" w:space="0"/>
            </w:tcBorders>
            <w:vAlign w:val="center"/>
          </w:tcPr>
          <w:p w14:paraId="32CD3E3C">
            <w:pPr>
              <w:jc w:val="center"/>
              <w:rPr>
                <w:rFonts w:asciiTheme="majorEastAsia" w:hAnsiTheme="majorEastAsia" w:eastAsiaTheme="majorEastAsia" w:cstheme="majorEastAsia"/>
                <w:sz w:val="24"/>
              </w:rPr>
            </w:pPr>
          </w:p>
        </w:tc>
      </w:tr>
      <w:tr w14:paraId="0B21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57" w:type="dxa"/>
            <w:vMerge w:val="continue"/>
            <w:tcBorders>
              <w:left w:val="single" w:color="auto" w:sz="4" w:space="0"/>
              <w:right w:val="single" w:color="auto" w:sz="4" w:space="0"/>
            </w:tcBorders>
            <w:vAlign w:val="center"/>
          </w:tcPr>
          <w:p w14:paraId="156025E3">
            <w:pPr>
              <w:rPr>
                <w:rFonts w:asciiTheme="majorEastAsia" w:hAnsiTheme="majorEastAsia" w:eastAsiaTheme="majorEastAsia" w:cstheme="majorEastAsia"/>
                <w:sz w:val="24"/>
              </w:rPr>
            </w:pPr>
          </w:p>
        </w:tc>
        <w:tc>
          <w:tcPr>
            <w:tcW w:w="1418" w:type="dxa"/>
            <w:tcBorders>
              <w:left w:val="single" w:color="auto" w:sz="4" w:space="0"/>
              <w:right w:val="single" w:color="auto" w:sz="4" w:space="0"/>
            </w:tcBorders>
            <w:vAlign w:val="center"/>
          </w:tcPr>
          <w:p w14:paraId="22BC547A">
            <w:pPr>
              <w:jc w:val="center"/>
              <w:rPr>
                <w:rFonts w:asciiTheme="majorEastAsia" w:hAnsiTheme="majorEastAsia" w:eastAsiaTheme="majorEastAsia" w:cstheme="majorEastAsia"/>
                <w:sz w:val="24"/>
              </w:rPr>
            </w:pPr>
          </w:p>
        </w:tc>
        <w:tc>
          <w:tcPr>
            <w:tcW w:w="992" w:type="dxa"/>
            <w:tcBorders>
              <w:left w:val="single" w:color="auto" w:sz="4" w:space="0"/>
            </w:tcBorders>
            <w:vAlign w:val="center"/>
          </w:tcPr>
          <w:p w14:paraId="1FDC4F65">
            <w:pPr>
              <w:jc w:val="center"/>
              <w:rPr>
                <w:rFonts w:asciiTheme="majorEastAsia" w:hAnsiTheme="majorEastAsia" w:eastAsiaTheme="majorEastAsia" w:cstheme="majorEastAsia"/>
                <w:sz w:val="24"/>
              </w:rPr>
            </w:pPr>
          </w:p>
        </w:tc>
        <w:tc>
          <w:tcPr>
            <w:tcW w:w="1905" w:type="dxa"/>
            <w:vAlign w:val="center"/>
          </w:tcPr>
          <w:p w14:paraId="1680887D">
            <w:pPr>
              <w:jc w:val="center"/>
              <w:rPr>
                <w:rFonts w:asciiTheme="majorEastAsia" w:hAnsiTheme="majorEastAsia" w:eastAsiaTheme="majorEastAsia" w:cstheme="majorEastAsia"/>
                <w:sz w:val="24"/>
              </w:rPr>
            </w:pPr>
          </w:p>
        </w:tc>
        <w:tc>
          <w:tcPr>
            <w:tcW w:w="930" w:type="dxa"/>
            <w:vAlign w:val="center"/>
          </w:tcPr>
          <w:p w14:paraId="074219E0">
            <w:pPr>
              <w:jc w:val="center"/>
              <w:rPr>
                <w:rFonts w:asciiTheme="majorEastAsia" w:hAnsiTheme="majorEastAsia" w:eastAsiaTheme="majorEastAsia" w:cstheme="majorEastAsia"/>
                <w:sz w:val="24"/>
              </w:rPr>
            </w:pPr>
          </w:p>
        </w:tc>
        <w:tc>
          <w:tcPr>
            <w:tcW w:w="735" w:type="dxa"/>
            <w:tcBorders>
              <w:right w:val="single" w:color="auto" w:sz="4" w:space="0"/>
            </w:tcBorders>
            <w:vAlign w:val="center"/>
          </w:tcPr>
          <w:p w14:paraId="1B49161B">
            <w:pPr>
              <w:jc w:val="center"/>
              <w:rPr>
                <w:rFonts w:asciiTheme="majorEastAsia" w:hAnsiTheme="majorEastAsia" w:eastAsiaTheme="majorEastAsia" w:cstheme="majorEastAsia"/>
                <w:sz w:val="24"/>
              </w:rPr>
            </w:pPr>
          </w:p>
        </w:tc>
        <w:tc>
          <w:tcPr>
            <w:tcW w:w="1965" w:type="dxa"/>
            <w:tcBorders>
              <w:right w:val="single" w:color="auto" w:sz="4" w:space="0"/>
            </w:tcBorders>
            <w:vAlign w:val="center"/>
          </w:tcPr>
          <w:p w14:paraId="3D103A8F">
            <w:pPr>
              <w:jc w:val="center"/>
              <w:rPr>
                <w:rFonts w:asciiTheme="majorEastAsia" w:hAnsiTheme="majorEastAsia" w:eastAsiaTheme="majorEastAsia" w:cstheme="majorEastAsia"/>
                <w:sz w:val="24"/>
              </w:rPr>
            </w:pPr>
          </w:p>
        </w:tc>
      </w:tr>
      <w:tr w14:paraId="674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57" w:type="dxa"/>
            <w:vMerge w:val="continue"/>
            <w:tcBorders>
              <w:left w:val="single" w:color="auto" w:sz="4" w:space="0"/>
              <w:right w:val="single" w:color="auto" w:sz="4" w:space="0"/>
            </w:tcBorders>
            <w:vAlign w:val="center"/>
          </w:tcPr>
          <w:p w14:paraId="3CFFA913">
            <w:pPr>
              <w:rPr>
                <w:rFonts w:asciiTheme="majorEastAsia" w:hAnsiTheme="majorEastAsia" w:eastAsiaTheme="majorEastAsia" w:cstheme="majorEastAsia"/>
                <w:sz w:val="24"/>
              </w:rPr>
            </w:pPr>
          </w:p>
        </w:tc>
        <w:tc>
          <w:tcPr>
            <w:tcW w:w="1418" w:type="dxa"/>
            <w:tcBorders>
              <w:left w:val="single" w:color="auto" w:sz="4" w:space="0"/>
              <w:right w:val="single" w:color="auto" w:sz="4" w:space="0"/>
            </w:tcBorders>
            <w:vAlign w:val="center"/>
          </w:tcPr>
          <w:p w14:paraId="42072D94">
            <w:pPr>
              <w:jc w:val="center"/>
              <w:rPr>
                <w:rFonts w:asciiTheme="majorEastAsia" w:hAnsiTheme="majorEastAsia" w:eastAsiaTheme="majorEastAsia" w:cstheme="majorEastAsia"/>
                <w:sz w:val="24"/>
              </w:rPr>
            </w:pPr>
          </w:p>
        </w:tc>
        <w:tc>
          <w:tcPr>
            <w:tcW w:w="992" w:type="dxa"/>
            <w:tcBorders>
              <w:left w:val="single" w:color="auto" w:sz="4" w:space="0"/>
            </w:tcBorders>
            <w:vAlign w:val="center"/>
          </w:tcPr>
          <w:p w14:paraId="0D9F6DB9">
            <w:pPr>
              <w:jc w:val="center"/>
              <w:rPr>
                <w:rFonts w:asciiTheme="majorEastAsia" w:hAnsiTheme="majorEastAsia" w:eastAsiaTheme="majorEastAsia" w:cstheme="majorEastAsia"/>
                <w:sz w:val="24"/>
              </w:rPr>
            </w:pPr>
          </w:p>
        </w:tc>
        <w:tc>
          <w:tcPr>
            <w:tcW w:w="1905" w:type="dxa"/>
            <w:vAlign w:val="center"/>
          </w:tcPr>
          <w:p w14:paraId="7CC430FA">
            <w:pPr>
              <w:jc w:val="center"/>
              <w:rPr>
                <w:rFonts w:asciiTheme="majorEastAsia" w:hAnsiTheme="majorEastAsia" w:eastAsiaTheme="majorEastAsia" w:cstheme="majorEastAsia"/>
                <w:sz w:val="24"/>
              </w:rPr>
            </w:pPr>
          </w:p>
        </w:tc>
        <w:tc>
          <w:tcPr>
            <w:tcW w:w="930" w:type="dxa"/>
            <w:vAlign w:val="center"/>
          </w:tcPr>
          <w:p w14:paraId="0042C73B">
            <w:pPr>
              <w:jc w:val="center"/>
              <w:rPr>
                <w:rFonts w:asciiTheme="majorEastAsia" w:hAnsiTheme="majorEastAsia" w:eastAsiaTheme="majorEastAsia" w:cstheme="majorEastAsia"/>
                <w:sz w:val="24"/>
              </w:rPr>
            </w:pPr>
          </w:p>
        </w:tc>
        <w:tc>
          <w:tcPr>
            <w:tcW w:w="735" w:type="dxa"/>
            <w:tcBorders>
              <w:right w:val="single" w:color="auto" w:sz="4" w:space="0"/>
            </w:tcBorders>
            <w:vAlign w:val="center"/>
          </w:tcPr>
          <w:p w14:paraId="6ABE62DC">
            <w:pPr>
              <w:jc w:val="center"/>
              <w:rPr>
                <w:rFonts w:asciiTheme="majorEastAsia" w:hAnsiTheme="majorEastAsia" w:eastAsiaTheme="majorEastAsia" w:cstheme="majorEastAsia"/>
                <w:sz w:val="24"/>
              </w:rPr>
            </w:pPr>
          </w:p>
        </w:tc>
        <w:tc>
          <w:tcPr>
            <w:tcW w:w="1965" w:type="dxa"/>
            <w:tcBorders>
              <w:right w:val="single" w:color="auto" w:sz="4" w:space="0"/>
            </w:tcBorders>
            <w:vAlign w:val="center"/>
          </w:tcPr>
          <w:p w14:paraId="08F28589">
            <w:pPr>
              <w:jc w:val="center"/>
              <w:rPr>
                <w:rFonts w:asciiTheme="majorEastAsia" w:hAnsiTheme="majorEastAsia" w:eastAsiaTheme="majorEastAsia" w:cstheme="majorEastAsia"/>
                <w:sz w:val="24"/>
              </w:rPr>
            </w:pPr>
          </w:p>
        </w:tc>
      </w:tr>
      <w:tr w14:paraId="3C0C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57" w:type="dxa"/>
            <w:vMerge w:val="continue"/>
            <w:tcBorders>
              <w:left w:val="single" w:color="auto" w:sz="4" w:space="0"/>
              <w:right w:val="single" w:color="auto" w:sz="4" w:space="0"/>
            </w:tcBorders>
            <w:vAlign w:val="center"/>
          </w:tcPr>
          <w:p w14:paraId="7855C819">
            <w:pPr>
              <w:jc w:val="center"/>
              <w:rPr>
                <w:rFonts w:asciiTheme="majorEastAsia" w:hAnsiTheme="majorEastAsia" w:eastAsiaTheme="majorEastAsia" w:cstheme="majorEastAsia"/>
                <w:sz w:val="24"/>
              </w:rPr>
            </w:pPr>
          </w:p>
        </w:tc>
        <w:tc>
          <w:tcPr>
            <w:tcW w:w="1418" w:type="dxa"/>
            <w:tcBorders>
              <w:left w:val="single" w:color="auto" w:sz="4" w:space="0"/>
              <w:right w:val="single" w:color="auto" w:sz="4" w:space="0"/>
            </w:tcBorders>
            <w:vAlign w:val="center"/>
          </w:tcPr>
          <w:p w14:paraId="447E649A">
            <w:pPr>
              <w:jc w:val="center"/>
              <w:rPr>
                <w:rFonts w:asciiTheme="majorEastAsia" w:hAnsiTheme="majorEastAsia" w:eastAsiaTheme="majorEastAsia" w:cstheme="majorEastAsia"/>
                <w:sz w:val="24"/>
              </w:rPr>
            </w:pPr>
          </w:p>
        </w:tc>
        <w:tc>
          <w:tcPr>
            <w:tcW w:w="992" w:type="dxa"/>
            <w:tcBorders>
              <w:left w:val="single" w:color="auto" w:sz="4" w:space="0"/>
            </w:tcBorders>
            <w:vAlign w:val="center"/>
          </w:tcPr>
          <w:p w14:paraId="4E7CA354">
            <w:pPr>
              <w:jc w:val="center"/>
              <w:rPr>
                <w:rFonts w:asciiTheme="majorEastAsia" w:hAnsiTheme="majorEastAsia" w:eastAsiaTheme="majorEastAsia" w:cstheme="majorEastAsia"/>
                <w:sz w:val="24"/>
              </w:rPr>
            </w:pPr>
          </w:p>
        </w:tc>
        <w:tc>
          <w:tcPr>
            <w:tcW w:w="1905" w:type="dxa"/>
            <w:vAlign w:val="center"/>
          </w:tcPr>
          <w:p w14:paraId="524B99E0">
            <w:pPr>
              <w:jc w:val="center"/>
              <w:rPr>
                <w:rFonts w:asciiTheme="majorEastAsia" w:hAnsiTheme="majorEastAsia" w:eastAsiaTheme="majorEastAsia" w:cstheme="majorEastAsia"/>
                <w:sz w:val="24"/>
              </w:rPr>
            </w:pPr>
          </w:p>
        </w:tc>
        <w:tc>
          <w:tcPr>
            <w:tcW w:w="930" w:type="dxa"/>
            <w:vAlign w:val="center"/>
          </w:tcPr>
          <w:p w14:paraId="526AFCB4">
            <w:pPr>
              <w:jc w:val="center"/>
              <w:rPr>
                <w:rFonts w:asciiTheme="majorEastAsia" w:hAnsiTheme="majorEastAsia" w:eastAsiaTheme="majorEastAsia" w:cstheme="majorEastAsia"/>
                <w:sz w:val="24"/>
              </w:rPr>
            </w:pPr>
          </w:p>
        </w:tc>
        <w:tc>
          <w:tcPr>
            <w:tcW w:w="735" w:type="dxa"/>
            <w:tcBorders>
              <w:right w:val="single" w:color="auto" w:sz="4" w:space="0"/>
            </w:tcBorders>
            <w:vAlign w:val="center"/>
          </w:tcPr>
          <w:p w14:paraId="0E46E1FD">
            <w:pPr>
              <w:jc w:val="center"/>
              <w:rPr>
                <w:rFonts w:asciiTheme="majorEastAsia" w:hAnsiTheme="majorEastAsia" w:eastAsiaTheme="majorEastAsia" w:cstheme="majorEastAsia"/>
                <w:sz w:val="24"/>
              </w:rPr>
            </w:pPr>
          </w:p>
        </w:tc>
        <w:tc>
          <w:tcPr>
            <w:tcW w:w="1965" w:type="dxa"/>
            <w:tcBorders>
              <w:right w:val="single" w:color="auto" w:sz="4" w:space="0"/>
            </w:tcBorders>
            <w:vAlign w:val="center"/>
          </w:tcPr>
          <w:p w14:paraId="78E19488">
            <w:pPr>
              <w:jc w:val="center"/>
              <w:rPr>
                <w:rFonts w:asciiTheme="majorEastAsia" w:hAnsiTheme="majorEastAsia" w:eastAsiaTheme="majorEastAsia" w:cstheme="majorEastAsia"/>
                <w:sz w:val="24"/>
              </w:rPr>
            </w:pPr>
          </w:p>
        </w:tc>
      </w:tr>
      <w:tr w14:paraId="6BD2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57" w:type="dxa"/>
            <w:vMerge w:val="continue"/>
            <w:tcBorders>
              <w:left w:val="single" w:color="auto" w:sz="4" w:space="0"/>
              <w:right w:val="single" w:color="auto" w:sz="4" w:space="0"/>
            </w:tcBorders>
            <w:vAlign w:val="center"/>
          </w:tcPr>
          <w:p w14:paraId="5ED50D3C">
            <w:pPr>
              <w:jc w:val="center"/>
              <w:rPr>
                <w:rFonts w:asciiTheme="majorEastAsia" w:hAnsiTheme="majorEastAsia" w:eastAsiaTheme="majorEastAsia" w:cstheme="majorEastAsia"/>
                <w:sz w:val="24"/>
              </w:rPr>
            </w:pPr>
          </w:p>
        </w:tc>
        <w:tc>
          <w:tcPr>
            <w:tcW w:w="1418" w:type="dxa"/>
            <w:tcBorders>
              <w:left w:val="single" w:color="auto" w:sz="4" w:space="0"/>
              <w:right w:val="single" w:color="auto" w:sz="4" w:space="0"/>
            </w:tcBorders>
            <w:vAlign w:val="center"/>
          </w:tcPr>
          <w:p w14:paraId="0014A97C">
            <w:pPr>
              <w:jc w:val="center"/>
              <w:rPr>
                <w:rFonts w:asciiTheme="majorEastAsia" w:hAnsiTheme="majorEastAsia" w:eastAsiaTheme="majorEastAsia" w:cstheme="majorEastAsia"/>
                <w:sz w:val="24"/>
              </w:rPr>
            </w:pPr>
          </w:p>
        </w:tc>
        <w:tc>
          <w:tcPr>
            <w:tcW w:w="992" w:type="dxa"/>
            <w:tcBorders>
              <w:left w:val="single" w:color="auto" w:sz="4" w:space="0"/>
            </w:tcBorders>
            <w:vAlign w:val="center"/>
          </w:tcPr>
          <w:p w14:paraId="78019351">
            <w:pPr>
              <w:jc w:val="center"/>
              <w:rPr>
                <w:rFonts w:asciiTheme="majorEastAsia" w:hAnsiTheme="majorEastAsia" w:eastAsiaTheme="majorEastAsia" w:cstheme="majorEastAsia"/>
                <w:sz w:val="24"/>
              </w:rPr>
            </w:pPr>
          </w:p>
        </w:tc>
        <w:tc>
          <w:tcPr>
            <w:tcW w:w="1905" w:type="dxa"/>
            <w:vAlign w:val="center"/>
          </w:tcPr>
          <w:p w14:paraId="6CF7519E">
            <w:pPr>
              <w:jc w:val="center"/>
              <w:rPr>
                <w:rFonts w:asciiTheme="majorEastAsia" w:hAnsiTheme="majorEastAsia" w:eastAsiaTheme="majorEastAsia" w:cstheme="majorEastAsia"/>
                <w:sz w:val="24"/>
              </w:rPr>
            </w:pPr>
          </w:p>
        </w:tc>
        <w:tc>
          <w:tcPr>
            <w:tcW w:w="930" w:type="dxa"/>
            <w:vAlign w:val="center"/>
          </w:tcPr>
          <w:p w14:paraId="16F9D824">
            <w:pPr>
              <w:jc w:val="center"/>
              <w:rPr>
                <w:rFonts w:asciiTheme="majorEastAsia" w:hAnsiTheme="majorEastAsia" w:eastAsiaTheme="majorEastAsia" w:cstheme="majorEastAsia"/>
                <w:sz w:val="24"/>
              </w:rPr>
            </w:pPr>
          </w:p>
        </w:tc>
        <w:tc>
          <w:tcPr>
            <w:tcW w:w="735" w:type="dxa"/>
            <w:tcBorders>
              <w:right w:val="single" w:color="auto" w:sz="4" w:space="0"/>
            </w:tcBorders>
            <w:vAlign w:val="center"/>
          </w:tcPr>
          <w:p w14:paraId="14925B53">
            <w:pPr>
              <w:jc w:val="center"/>
              <w:rPr>
                <w:rFonts w:asciiTheme="majorEastAsia" w:hAnsiTheme="majorEastAsia" w:eastAsiaTheme="majorEastAsia" w:cstheme="majorEastAsia"/>
                <w:sz w:val="24"/>
              </w:rPr>
            </w:pPr>
          </w:p>
        </w:tc>
        <w:tc>
          <w:tcPr>
            <w:tcW w:w="1965" w:type="dxa"/>
            <w:tcBorders>
              <w:right w:val="single" w:color="auto" w:sz="4" w:space="0"/>
            </w:tcBorders>
            <w:vAlign w:val="center"/>
          </w:tcPr>
          <w:p w14:paraId="00940A84">
            <w:pPr>
              <w:jc w:val="center"/>
              <w:rPr>
                <w:rFonts w:asciiTheme="majorEastAsia" w:hAnsiTheme="majorEastAsia" w:eastAsiaTheme="majorEastAsia" w:cstheme="majorEastAsia"/>
                <w:sz w:val="24"/>
              </w:rPr>
            </w:pPr>
          </w:p>
        </w:tc>
      </w:tr>
    </w:tbl>
    <w:p w14:paraId="75E510B2">
      <w:p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注：必须提供上述人员在投标单位购买社保或缴纳个人所得税的证明文件。</w:t>
      </w:r>
    </w:p>
    <w:p w14:paraId="69676443">
      <w:pPr>
        <w:rPr>
          <w:rFonts w:asciiTheme="majorEastAsia" w:hAnsiTheme="majorEastAsia" w:eastAsiaTheme="majorEastAsia" w:cstheme="majorEastAsia"/>
          <w:sz w:val="24"/>
          <w:lang w:val="en-GB"/>
        </w:rPr>
      </w:pPr>
    </w:p>
    <w:p w14:paraId="21E10FA5">
      <w:pPr>
        <w:rPr>
          <w:rFonts w:asciiTheme="majorEastAsia" w:hAnsiTheme="majorEastAsia" w:eastAsiaTheme="majorEastAsia" w:cstheme="majorEastAsia"/>
          <w:sz w:val="24"/>
          <w:lang w:val="en-GB"/>
        </w:rPr>
      </w:pPr>
    </w:p>
    <w:p w14:paraId="00D83FE9">
      <w:pPr>
        <w:rPr>
          <w:rFonts w:asciiTheme="majorEastAsia" w:hAnsiTheme="majorEastAsia" w:eastAsiaTheme="majorEastAsia" w:cstheme="majorEastAsia"/>
          <w:sz w:val="24"/>
          <w:lang w:val="en-GB"/>
        </w:rPr>
      </w:pPr>
    </w:p>
    <w:p w14:paraId="355A256B">
      <w:pPr>
        <w:rPr>
          <w:rFonts w:asciiTheme="majorEastAsia" w:hAnsiTheme="majorEastAsia" w:eastAsiaTheme="majorEastAsia" w:cstheme="majorEastAsia"/>
          <w:sz w:val="24"/>
          <w:lang w:val="en-GB"/>
        </w:rPr>
      </w:pPr>
    </w:p>
    <w:p w14:paraId="74549826">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4B22990E">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2E8E26C3">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p w14:paraId="47457EB9">
      <w:pPr>
        <w:numPr>
          <w:ilvl w:val="0"/>
          <w:numId w:val="85"/>
        </w:numPr>
        <w:spacing w:before="72" w:after="72"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履约进度计划表</w:t>
      </w:r>
    </w:p>
    <w:tbl>
      <w:tblPr>
        <w:tblStyle w:val="2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9"/>
        <w:gridCol w:w="2838"/>
        <w:gridCol w:w="2284"/>
      </w:tblGrid>
      <w:tr w14:paraId="5F10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7" w:type="dxa"/>
            <w:shd w:val="clear" w:color="auto" w:fill="D7D7D7" w:themeFill="background1" w:themeFillShade="D8"/>
            <w:vAlign w:val="center"/>
          </w:tcPr>
          <w:p w14:paraId="1CE82285">
            <w:pPr>
              <w:tabs>
                <w:tab w:val="left" w:pos="540"/>
              </w:tabs>
              <w:adjustRightInd w:val="0"/>
              <w:snapToGrid w:val="0"/>
              <w:spacing w:line="44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899" w:type="dxa"/>
            <w:shd w:val="clear" w:color="auto" w:fill="D7D7D7" w:themeFill="background1" w:themeFillShade="D8"/>
            <w:vAlign w:val="center"/>
          </w:tcPr>
          <w:p w14:paraId="2A3DA233">
            <w:pPr>
              <w:tabs>
                <w:tab w:val="left" w:pos="540"/>
              </w:tabs>
              <w:adjustRightInd w:val="0"/>
              <w:snapToGrid w:val="0"/>
              <w:spacing w:line="44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拟定时间安排</w:t>
            </w:r>
          </w:p>
        </w:tc>
        <w:tc>
          <w:tcPr>
            <w:tcW w:w="2838" w:type="dxa"/>
            <w:shd w:val="clear" w:color="auto" w:fill="D7D7D7" w:themeFill="background1" w:themeFillShade="D8"/>
            <w:vAlign w:val="center"/>
          </w:tcPr>
          <w:p w14:paraId="30501E74">
            <w:pPr>
              <w:tabs>
                <w:tab w:val="left" w:pos="540"/>
              </w:tabs>
              <w:adjustRightInd w:val="0"/>
              <w:snapToGrid w:val="0"/>
              <w:spacing w:line="44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计划完成的工作内容</w:t>
            </w:r>
          </w:p>
        </w:tc>
        <w:tc>
          <w:tcPr>
            <w:tcW w:w="2284" w:type="dxa"/>
            <w:shd w:val="clear" w:color="auto" w:fill="D7D7D7" w:themeFill="background1" w:themeFillShade="D8"/>
            <w:vAlign w:val="center"/>
          </w:tcPr>
          <w:p w14:paraId="06E51135">
            <w:pPr>
              <w:tabs>
                <w:tab w:val="left" w:pos="540"/>
              </w:tabs>
              <w:adjustRightInd w:val="0"/>
              <w:snapToGrid w:val="0"/>
              <w:spacing w:line="44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实施方建议或要求</w:t>
            </w:r>
          </w:p>
        </w:tc>
      </w:tr>
      <w:tr w14:paraId="117B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vAlign w:val="center"/>
          </w:tcPr>
          <w:p w14:paraId="2037A4A0">
            <w:pPr>
              <w:numPr>
                <w:ilvl w:val="0"/>
                <w:numId w:val="88"/>
              </w:numPr>
              <w:adjustRightInd w:val="0"/>
              <w:snapToGrid w:val="0"/>
              <w:spacing w:line="440" w:lineRule="exact"/>
              <w:jc w:val="center"/>
              <w:rPr>
                <w:rFonts w:asciiTheme="majorEastAsia" w:hAnsiTheme="majorEastAsia" w:eastAsiaTheme="majorEastAsia" w:cstheme="majorEastAsia"/>
                <w:sz w:val="24"/>
              </w:rPr>
            </w:pPr>
          </w:p>
        </w:tc>
        <w:tc>
          <w:tcPr>
            <w:tcW w:w="2899" w:type="dxa"/>
            <w:vAlign w:val="center"/>
          </w:tcPr>
          <w:p w14:paraId="2499250E">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拟定  年  月   日</w:t>
            </w:r>
          </w:p>
        </w:tc>
        <w:tc>
          <w:tcPr>
            <w:tcW w:w="2838" w:type="dxa"/>
            <w:vAlign w:val="center"/>
          </w:tcPr>
          <w:p w14:paraId="17E14158">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签订合同并生效</w:t>
            </w:r>
          </w:p>
        </w:tc>
        <w:tc>
          <w:tcPr>
            <w:tcW w:w="2284" w:type="dxa"/>
            <w:vAlign w:val="center"/>
          </w:tcPr>
          <w:p w14:paraId="5123BC6E">
            <w:pPr>
              <w:tabs>
                <w:tab w:val="left" w:pos="540"/>
              </w:tabs>
              <w:adjustRightInd w:val="0"/>
              <w:snapToGrid w:val="0"/>
              <w:spacing w:line="440" w:lineRule="exact"/>
              <w:jc w:val="center"/>
              <w:rPr>
                <w:rFonts w:asciiTheme="majorEastAsia" w:hAnsiTheme="majorEastAsia" w:eastAsiaTheme="majorEastAsia" w:cstheme="majorEastAsia"/>
                <w:sz w:val="24"/>
              </w:rPr>
            </w:pPr>
          </w:p>
        </w:tc>
      </w:tr>
      <w:tr w14:paraId="34F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vAlign w:val="center"/>
          </w:tcPr>
          <w:p w14:paraId="2DD6693F">
            <w:pPr>
              <w:numPr>
                <w:ilvl w:val="0"/>
                <w:numId w:val="88"/>
              </w:numPr>
              <w:adjustRightInd w:val="0"/>
              <w:snapToGrid w:val="0"/>
              <w:spacing w:line="440" w:lineRule="exact"/>
              <w:jc w:val="center"/>
              <w:rPr>
                <w:rFonts w:asciiTheme="majorEastAsia" w:hAnsiTheme="majorEastAsia" w:eastAsiaTheme="majorEastAsia" w:cstheme="majorEastAsia"/>
                <w:sz w:val="24"/>
              </w:rPr>
            </w:pPr>
          </w:p>
        </w:tc>
        <w:tc>
          <w:tcPr>
            <w:tcW w:w="2899" w:type="dxa"/>
            <w:vAlign w:val="center"/>
          </w:tcPr>
          <w:p w14:paraId="17BCDB49">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月   日—   月   日</w:t>
            </w:r>
          </w:p>
        </w:tc>
        <w:tc>
          <w:tcPr>
            <w:tcW w:w="2838" w:type="dxa"/>
            <w:vAlign w:val="center"/>
          </w:tcPr>
          <w:p w14:paraId="759BFA88">
            <w:pPr>
              <w:tabs>
                <w:tab w:val="left" w:pos="540"/>
              </w:tabs>
              <w:adjustRightInd w:val="0"/>
              <w:snapToGrid w:val="0"/>
              <w:spacing w:line="440" w:lineRule="exact"/>
              <w:jc w:val="center"/>
              <w:rPr>
                <w:rFonts w:asciiTheme="majorEastAsia" w:hAnsiTheme="majorEastAsia" w:eastAsiaTheme="majorEastAsia" w:cstheme="majorEastAsia"/>
                <w:sz w:val="24"/>
              </w:rPr>
            </w:pPr>
          </w:p>
        </w:tc>
        <w:tc>
          <w:tcPr>
            <w:tcW w:w="2284" w:type="dxa"/>
            <w:vAlign w:val="center"/>
          </w:tcPr>
          <w:p w14:paraId="721714FB">
            <w:pPr>
              <w:tabs>
                <w:tab w:val="left" w:pos="540"/>
              </w:tabs>
              <w:adjustRightInd w:val="0"/>
              <w:snapToGrid w:val="0"/>
              <w:spacing w:line="440" w:lineRule="exact"/>
              <w:jc w:val="center"/>
              <w:rPr>
                <w:rFonts w:asciiTheme="majorEastAsia" w:hAnsiTheme="majorEastAsia" w:eastAsiaTheme="majorEastAsia" w:cstheme="majorEastAsia"/>
                <w:sz w:val="24"/>
              </w:rPr>
            </w:pPr>
          </w:p>
        </w:tc>
      </w:tr>
      <w:tr w14:paraId="2B16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vAlign w:val="center"/>
          </w:tcPr>
          <w:p w14:paraId="69A691CE">
            <w:pPr>
              <w:numPr>
                <w:ilvl w:val="0"/>
                <w:numId w:val="88"/>
              </w:numPr>
              <w:adjustRightInd w:val="0"/>
              <w:snapToGrid w:val="0"/>
              <w:spacing w:line="440" w:lineRule="exact"/>
              <w:jc w:val="center"/>
              <w:rPr>
                <w:rFonts w:asciiTheme="majorEastAsia" w:hAnsiTheme="majorEastAsia" w:eastAsiaTheme="majorEastAsia" w:cstheme="majorEastAsia"/>
                <w:sz w:val="24"/>
              </w:rPr>
            </w:pPr>
          </w:p>
        </w:tc>
        <w:tc>
          <w:tcPr>
            <w:tcW w:w="2899" w:type="dxa"/>
            <w:vAlign w:val="center"/>
          </w:tcPr>
          <w:p w14:paraId="255A3D9B">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月   日—   月   日</w:t>
            </w:r>
          </w:p>
        </w:tc>
        <w:tc>
          <w:tcPr>
            <w:tcW w:w="2838" w:type="dxa"/>
            <w:vAlign w:val="center"/>
          </w:tcPr>
          <w:p w14:paraId="70936205">
            <w:pPr>
              <w:tabs>
                <w:tab w:val="left" w:pos="540"/>
              </w:tabs>
              <w:adjustRightInd w:val="0"/>
              <w:snapToGrid w:val="0"/>
              <w:spacing w:line="440" w:lineRule="exact"/>
              <w:jc w:val="center"/>
              <w:rPr>
                <w:rFonts w:asciiTheme="majorEastAsia" w:hAnsiTheme="majorEastAsia" w:eastAsiaTheme="majorEastAsia" w:cstheme="majorEastAsia"/>
                <w:sz w:val="24"/>
              </w:rPr>
            </w:pPr>
          </w:p>
        </w:tc>
        <w:tc>
          <w:tcPr>
            <w:tcW w:w="2284" w:type="dxa"/>
            <w:vAlign w:val="center"/>
          </w:tcPr>
          <w:p w14:paraId="405B3922">
            <w:pPr>
              <w:tabs>
                <w:tab w:val="left" w:pos="540"/>
              </w:tabs>
              <w:adjustRightInd w:val="0"/>
              <w:snapToGrid w:val="0"/>
              <w:spacing w:line="440" w:lineRule="exact"/>
              <w:jc w:val="center"/>
              <w:rPr>
                <w:rFonts w:asciiTheme="majorEastAsia" w:hAnsiTheme="majorEastAsia" w:eastAsiaTheme="majorEastAsia" w:cstheme="majorEastAsia"/>
                <w:sz w:val="24"/>
              </w:rPr>
            </w:pPr>
          </w:p>
        </w:tc>
      </w:tr>
      <w:tr w14:paraId="0F02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vAlign w:val="center"/>
          </w:tcPr>
          <w:p w14:paraId="3A669CC9">
            <w:pPr>
              <w:numPr>
                <w:ilvl w:val="0"/>
                <w:numId w:val="88"/>
              </w:numPr>
              <w:adjustRightInd w:val="0"/>
              <w:snapToGrid w:val="0"/>
              <w:spacing w:line="440" w:lineRule="exact"/>
              <w:jc w:val="center"/>
              <w:rPr>
                <w:rFonts w:asciiTheme="majorEastAsia" w:hAnsiTheme="majorEastAsia" w:eastAsiaTheme="majorEastAsia" w:cstheme="majorEastAsia"/>
                <w:sz w:val="24"/>
              </w:rPr>
            </w:pPr>
          </w:p>
        </w:tc>
        <w:tc>
          <w:tcPr>
            <w:tcW w:w="2899" w:type="dxa"/>
            <w:vAlign w:val="center"/>
          </w:tcPr>
          <w:p w14:paraId="6ED68EA4">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月   日—   月   日</w:t>
            </w:r>
          </w:p>
        </w:tc>
        <w:tc>
          <w:tcPr>
            <w:tcW w:w="2838" w:type="dxa"/>
            <w:vAlign w:val="center"/>
          </w:tcPr>
          <w:p w14:paraId="213DA0DA">
            <w:pPr>
              <w:tabs>
                <w:tab w:val="left" w:pos="540"/>
              </w:tabs>
              <w:adjustRightInd w:val="0"/>
              <w:snapToGrid w:val="0"/>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质保期</w:t>
            </w:r>
          </w:p>
        </w:tc>
        <w:tc>
          <w:tcPr>
            <w:tcW w:w="2284" w:type="dxa"/>
            <w:vAlign w:val="center"/>
          </w:tcPr>
          <w:p w14:paraId="1BD051E5">
            <w:pPr>
              <w:tabs>
                <w:tab w:val="left" w:pos="540"/>
              </w:tabs>
              <w:adjustRightInd w:val="0"/>
              <w:snapToGrid w:val="0"/>
              <w:spacing w:line="440" w:lineRule="exact"/>
              <w:jc w:val="center"/>
              <w:rPr>
                <w:rFonts w:asciiTheme="majorEastAsia" w:hAnsiTheme="majorEastAsia" w:eastAsiaTheme="majorEastAsia" w:cstheme="majorEastAsia"/>
                <w:sz w:val="24"/>
              </w:rPr>
            </w:pPr>
          </w:p>
        </w:tc>
      </w:tr>
    </w:tbl>
    <w:p w14:paraId="0C624683">
      <w:p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注：可根据项目实际情况</w:t>
      </w:r>
      <w:r>
        <w:rPr>
          <w:rFonts w:hint="eastAsia" w:ascii="宋体" w:hAnsi="宋体" w:eastAsia="宋体" w:cs="宋体"/>
          <w:bCs/>
          <w:sz w:val="24"/>
        </w:rPr>
        <w:t>增加表格栏。</w:t>
      </w:r>
    </w:p>
    <w:p w14:paraId="39942F06">
      <w:pPr>
        <w:adjustRightInd w:val="0"/>
        <w:snapToGrid w:val="0"/>
        <w:spacing w:before="72" w:after="72" w:line="480" w:lineRule="auto"/>
        <w:rPr>
          <w:rFonts w:ascii="宋体" w:hAnsi="宋体" w:eastAsia="宋体" w:cs="宋体"/>
          <w:sz w:val="24"/>
        </w:rPr>
      </w:pPr>
    </w:p>
    <w:p w14:paraId="701AC5BA">
      <w:pPr>
        <w:adjustRightInd w:val="0"/>
        <w:snapToGrid w:val="0"/>
        <w:spacing w:before="72" w:after="72" w:line="480" w:lineRule="auto"/>
        <w:ind w:firstLine="3578" w:firstLineChars="1491"/>
        <w:rPr>
          <w:rFonts w:ascii="宋体" w:hAnsi="宋体" w:eastAsia="宋体" w:cs="宋体"/>
          <w:sz w:val="24"/>
        </w:rPr>
      </w:pPr>
    </w:p>
    <w:p w14:paraId="28CC829E">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59969945">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303E3A1B">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日期：   年   月   日</w:t>
      </w:r>
    </w:p>
    <w:p w14:paraId="70F402E6">
      <w:pPr>
        <w:spacing w:before="72" w:after="72" w:line="400" w:lineRule="exact"/>
        <w:ind w:firstLine="3578" w:firstLineChars="1491"/>
        <w:rPr>
          <w:rFonts w:ascii="宋体" w:hAnsi="宋体" w:eastAsia="宋体" w:cs="宋体"/>
          <w:sz w:val="24"/>
        </w:rPr>
      </w:pPr>
    </w:p>
    <w:p w14:paraId="6AD6FB45">
      <w:pPr>
        <w:tabs>
          <w:tab w:val="left" w:pos="0"/>
        </w:tabs>
        <w:spacing w:before="72" w:after="72" w:line="360" w:lineRule="auto"/>
        <w:rPr>
          <w:rFonts w:ascii="宋体" w:hAnsi="宋体" w:eastAsia="宋体" w:cs="宋体"/>
          <w:b/>
          <w:kern w:val="44"/>
          <w:sz w:val="30"/>
          <w:szCs w:val="30"/>
          <w:lang w:val="en-GB"/>
        </w:rPr>
      </w:pPr>
    </w:p>
    <w:p w14:paraId="6A82ED02">
      <w:pPr>
        <w:numPr>
          <w:ilvl w:val="0"/>
          <w:numId w:val="85"/>
        </w:numPr>
        <w:spacing w:before="72" w:after="72" w:line="360" w:lineRule="auto"/>
        <w:jc w:val="center"/>
        <w:rPr>
          <w:rFonts w:ascii="宋体" w:hAnsi="宋体" w:eastAsia="宋体" w:cs="宋体"/>
          <w:b/>
          <w:kern w:val="44"/>
          <w:sz w:val="30"/>
          <w:szCs w:val="30"/>
          <w:lang w:val="en-GB"/>
        </w:rPr>
      </w:pPr>
      <w:r>
        <w:rPr>
          <w:rFonts w:hint="eastAsia" w:ascii="宋体" w:hAnsi="宋体" w:eastAsia="宋体" w:cs="宋体"/>
          <w:b/>
          <w:kern w:val="44"/>
          <w:sz w:val="30"/>
          <w:szCs w:val="30"/>
          <w:lang w:val="en-GB"/>
        </w:rPr>
        <w:t>其它重要事项说明及承诺</w:t>
      </w:r>
    </w:p>
    <w:p w14:paraId="41114D08">
      <w:pPr>
        <w:pStyle w:val="30"/>
        <w:adjustRightInd w:val="0"/>
        <w:snapToGrid w:val="0"/>
        <w:spacing w:before="0" w:after="0" w:line="360" w:lineRule="auto"/>
        <w:ind w:firstLine="520" w:firstLineChars="200"/>
        <w:rPr>
          <w:rFonts w:ascii="宋体" w:hAnsi="宋体" w:eastAsia="宋体" w:cs="宋体"/>
          <w:szCs w:val="24"/>
        </w:rPr>
      </w:pPr>
      <w:r>
        <w:rPr>
          <w:rFonts w:hint="eastAsia" w:ascii="宋体" w:hAnsi="宋体" w:eastAsia="宋体" w:cs="宋体"/>
          <w:szCs w:val="24"/>
        </w:rPr>
        <w:t>说明：投标人认为需要提供的其他资料。</w:t>
      </w:r>
    </w:p>
    <w:p w14:paraId="3594A69C">
      <w:pPr>
        <w:pStyle w:val="30"/>
        <w:adjustRightInd w:val="0"/>
        <w:snapToGrid w:val="0"/>
        <w:spacing w:before="0" w:after="0" w:line="360" w:lineRule="auto"/>
        <w:ind w:firstLine="520" w:firstLineChars="200"/>
        <w:rPr>
          <w:rFonts w:ascii="宋体" w:hAnsi="宋体" w:eastAsia="宋体" w:cs="宋体"/>
          <w:szCs w:val="24"/>
        </w:rPr>
      </w:pPr>
    </w:p>
    <w:p w14:paraId="2C148ABC">
      <w:pPr>
        <w:adjustRightInd w:val="0"/>
        <w:snapToGrid w:val="0"/>
        <w:spacing w:before="72" w:after="72" w:line="480" w:lineRule="auto"/>
        <w:ind w:firstLine="3578" w:firstLineChars="1491"/>
        <w:rPr>
          <w:rFonts w:ascii="宋体" w:hAnsi="宋体" w:eastAsia="宋体" w:cs="宋体"/>
          <w:sz w:val="24"/>
        </w:rPr>
      </w:pPr>
    </w:p>
    <w:p w14:paraId="42ADB1D7">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33ADB7FE">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42487E6C">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日期：   年   月   日</w:t>
      </w:r>
    </w:p>
    <w:p w14:paraId="6B7EC16A">
      <w:pPr>
        <w:pStyle w:val="30"/>
        <w:adjustRightInd w:val="0"/>
        <w:snapToGrid w:val="0"/>
        <w:spacing w:before="0" w:after="0" w:line="360" w:lineRule="auto"/>
        <w:ind w:firstLine="520" w:firstLineChars="200"/>
        <w:rPr>
          <w:rFonts w:ascii="宋体" w:hAnsi="宋体" w:eastAsia="宋体" w:cs="宋体"/>
          <w:szCs w:val="24"/>
        </w:rPr>
      </w:pPr>
    </w:p>
    <w:p w14:paraId="431CABE8">
      <w:pPr>
        <w:pStyle w:val="30"/>
        <w:rPr>
          <w:rFonts w:ascii="仿宋_GB2312" w:hAnsi="仿宋" w:eastAsia="仿宋_GB2312"/>
          <w:sz w:val="28"/>
          <w:szCs w:val="28"/>
        </w:rPr>
      </w:pPr>
    </w:p>
    <w:p w14:paraId="54028E6C">
      <w:pPr>
        <w:rPr>
          <w:sz w:val="24"/>
        </w:rPr>
      </w:pPr>
    </w:p>
    <w:p w14:paraId="0E0B9591">
      <w:pPr>
        <w:pStyle w:val="4"/>
        <w:numPr>
          <w:ilvl w:val="0"/>
          <w:numId w:val="84"/>
        </w:numPr>
        <w:jc w:val="center"/>
      </w:pPr>
      <w:bookmarkStart w:id="328" w:name="_Toc27468"/>
      <w:bookmarkStart w:id="329" w:name="_Toc31462"/>
      <w:bookmarkStart w:id="330" w:name="_Toc381489439"/>
      <w:bookmarkStart w:id="331" w:name="_Toc423021966"/>
      <w:bookmarkStart w:id="332" w:name="_Toc7354"/>
      <w:r>
        <w:rPr>
          <w:rFonts w:hint="eastAsia"/>
        </w:rPr>
        <w:t>商务条款响应一览表</w:t>
      </w:r>
      <w:bookmarkEnd w:id="328"/>
      <w:bookmarkEnd w:id="329"/>
      <w:bookmarkEnd w:id="330"/>
      <w:bookmarkEnd w:id="331"/>
      <w:bookmarkEnd w:id="332"/>
    </w:p>
    <w:tbl>
      <w:tblPr>
        <w:tblStyle w:val="24"/>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245"/>
        <w:gridCol w:w="761"/>
        <w:gridCol w:w="926"/>
      </w:tblGrid>
      <w:tr w14:paraId="41C3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52" w:type="dxa"/>
            <w:shd w:val="clear" w:color="auto" w:fill="D8D8D8"/>
            <w:vAlign w:val="center"/>
          </w:tcPr>
          <w:p w14:paraId="54AA09D3">
            <w:pPr>
              <w:adjustRightInd w:val="0"/>
              <w:snapToGrid w:val="0"/>
              <w:spacing w:before="72" w:after="72"/>
              <w:jc w:val="center"/>
              <w:rPr>
                <w:rFonts w:ascii="宋体" w:hAnsi="宋体" w:cs="宋体"/>
                <w:b/>
                <w:bCs/>
                <w:sz w:val="24"/>
              </w:rPr>
            </w:pPr>
            <w:bookmarkStart w:id="333" w:name="_Toc423021972"/>
            <w:bookmarkStart w:id="334" w:name="_Toc381489442"/>
            <w:bookmarkStart w:id="335" w:name="_Toc32464"/>
            <w:r>
              <w:rPr>
                <w:rFonts w:hint="eastAsia" w:ascii="宋体" w:hAnsi="宋体" w:cs="宋体"/>
                <w:b/>
                <w:bCs/>
                <w:sz w:val="24"/>
              </w:rPr>
              <w:t>序号</w:t>
            </w:r>
          </w:p>
        </w:tc>
        <w:tc>
          <w:tcPr>
            <w:tcW w:w="6245" w:type="dxa"/>
            <w:shd w:val="clear" w:color="auto" w:fill="D8D8D8"/>
            <w:vAlign w:val="center"/>
          </w:tcPr>
          <w:p w14:paraId="367193BC">
            <w:pPr>
              <w:adjustRightInd w:val="0"/>
              <w:snapToGrid w:val="0"/>
              <w:spacing w:before="72" w:after="72"/>
              <w:jc w:val="center"/>
              <w:rPr>
                <w:rFonts w:ascii="宋体" w:hAnsi="宋体" w:cs="宋体"/>
                <w:b/>
                <w:bCs/>
                <w:sz w:val="24"/>
              </w:rPr>
            </w:pPr>
            <w:r>
              <w:rPr>
                <w:rFonts w:hint="eastAsia" w:ascii="宋体" w:hAnsi="宋体" w:cs="宋体"/>
                <w:b/>
                <w:bCs/>
                <w:sz w:val="24"/>
              </w:rPr>
              <w:t>一般商务条款要求</w:t>
            </w:r>
          </w:p>
        </w:tc>
        <w:tc>
          <w:tcPr>
            <w:tcW w:w="761" w:type="dxa"/>
            <w:shd w:val="clear" w:color="auto" w:fill="D8D8D8"/>
            <w:vAlign w:val="center"/>
          </w:tcPr>
          <w:p w14:paraId="29500CF3">
            <w:pPr>
              <w:adjustRightInd w:val="0"/>
              <w:snapToGrid w:val="0"/>
              <w:spacing w:before="72" w:after="72"/>
              <w:jc w:val="center"/>
              <w:rPr>
                <w:rFonts w:ascii="宋体" w:hAnsi="宋体" w:cs="宋体"/>
                <w:b/>
                <w:bCs/>
                <w:sz w:val="24"/>
              </w:rPr>
            </w:pPr>
            <w:r>
              <w:rPr>
                <w:rFonts w:hint="eastAsia" w:ascii="宋体" w:hAnsi="宋体" w:cs="宋体"/>
                <w:b/>
                <w:bCs/>
                <w:sz w:val="24"/>
              </w:rPr>
              <w:t>是否响应</w:t>
            </w:r>
          </w:p>
        </w:tc>
        <w:tc>
          <w:tcPr>
            <w:tcW w:w="926" w:type="dxa"/>
            <w:shd w:val="clear" w:color="auto" w:fill="D8D8D8"/>
            <w:vAlign w:val="center"/>
          </w:tcPr>
          <w:p w14:paraId="5836559F">
            <w:pPr>
              <w:adjustRightInd w:val="0"/>
              <w:snapToGrid w:val="0"/>
              <w:spacing w:before="72" w:after="72"/>
              <w:jc w:val="center"/>
              <w:rPr>
                <w:rFonts w:ascii="宋体" w:hAnsi="宋体" w:cs="宋体"/>
                <w:b/>
                <w:bCs/>
                <w:sz w:val="24"/>
              </w:rPr>
            </w:pPr>
            <w:r>
              <w:rPr>
                <w:rFonts w:hint="eastAsia" w:ascii="宋体" w:hAnsi="宋体" w:cs="宋体"/>
                <w:b/>
                <w:bCs/>
                <w:sz w:val="24"/>
              </w:rPr>
              <w:t>偏离说明</w:t>
            </w:r>
          </w:p>
        </w:tc>
      </w:tr>
      <w:tr w14:paraId="0491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0A001804">
            <w:pPr>
              <w:adjustRightInd w:val="0"/>
              <w:snapToGrid w:val="0"/>
              <w:spacing w:line="440" w:lineRule="exact"/>
              <w:jc w:val="center"/>
              <w:rPr>
                <w:rFonts w:ascii="宋体" w:hAnsi="宋体" w:cs="宋体"/>
                <w:sz w:val="24"/>
              </w:rPr>
            </w:pPr>
            <w:r>
              <w:rPr>
                <w:rFonts w:hint="eastAsia" w:ascii="宋体" w:hAnsi="宋体" w:cs="宋体"/>
                <w:sz w:val="24"/>
              </w:rPr>
              <w:t>1</w:t>
            </w:r>
          </w:p>
        </w:tc>
        <w:tc>
          <w:tcPr>
            <w:tcW w:w="6245" w:type="dxa"/>
            <w:vAlign w:val="center"/>
          </w:tcPr>
          <w:p w14:paraId="3848E431">
            <w:pPr>
              <w:rPr>
                <w:rFonts w:ascii="宋体" w:hAnsi="宋体" w:cs="宋体"/>
                <w:sz w:val="24"/>
              </w:rPr>
            </w:pPr>
            <w:r>
              <w:rPr>
                <w:rFonts w:hint="eastAsia" w:ascii="宋体" w:hAnsi="宋体" w:cs="宋体"/>
                <w:sz w:val="24"/>
              </w:rPr>
              <w:t>完全理解并接受合同条款要求。</w:t>
            </w:r>
          </w:p>
        </w:tc>
        <w:tc>
          <w:tcPr>
            <w:tcW w:w="761" w:type="dxa"/>
            <w:vAlign w:val="center"/>
          </w:tcPr>
          <w:p w14:paraId="2EDB30C1">
            <w:pPr>
              <w:pStyle w:val="31"/>
              <w:keepNext w:val="0"/>
              <w:snapToGrid w:val="0"/>
              <w:spacing w:line="440" w:lineRule="exact"/>
              <w:textAlignment w:val="auto"/>
              <w:rPr>
                <w:rFonts w:ascii="宋体" w:hAnsi="宋体" w:cs="宋体"/>
                <w:spacing w:val="0"/>
                <w:kern w:val="2"/>
                <w:szCs w:val="24"/>
              </w:rPr>
            </w:pPr>
          </w:p>
        </w:tc>
        <w:tc>
          <w:tcPr>
            <w:tcW w:w="926" w:type="dxa"/>
            <w:vAlign w:val="center"/>
          </w:tcPr>
          <w:p w14:paraId="7DF5BE4A">
            <w:pPr>
              <w:adjustRightInd w:val="0"/>
              <w:snapToGrid w:val="0"/>
              <w:spacing w:line="440" w:lineRule="exact"/>
              <w:jc w:val="center"/>
              <w:rPr>
                <w:rFonts w:ascii="宋体" w:hAnsi="宋体" w:cs="宋体"/>
                <w:sz w:val="24"/>
              </w:rPr>
            </w:pPr>
          </w:p>
        </w:tc>
      </w:tr>
      <w:tr w14:paraId="147F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5A93C852">
            <w:pPr>
              <w:adjustRightInd w:val="0"/>
              <w:snapToGrid w:val="0"/>
              <w:spacing w:line="440" w:lineRule="exact"/>
              <w:jc w:val="center"/>
              <w:rPr>
                <w:rFonts w:ascii="宋体" w:hAnsi="宋体" w:cs="宋体"/>
                <w:sz w:val="24"/>
              </w:rPr>
            </w:pPr>
            <w:r>
              <w:rPr>
                <w:rFonts w:hint="eastAsia" w:ascii="宋体" w:hAnsi="宋体" w:cs="宋体"/>
                <w:sz w:val="24"/>
              </w:rPr>
              <w:t>2</w:t>
            </w:r>
          </w:p>
        </w:tc>
        <w:tc>
          <w:tcPr>
            <w:tcW w:w="6245" w:type="dxa"/>
            <w:vAlign w:val="center"/>
          </w:tcPr>
          <w:p w14:paraId="01070434">
            <w:pPr>
              <w:rPr>
                <w:rFonts w:ascii="宋体" w:hAnsi="宋体" w:cs="宋体"/>
                <w:sz w:val="24"/>
              </w:rPr>
            </w:pPr>
            <w:r>
              <w:rPr>
                <w:rFonts w:hint="eastAsia" w:ascii="宋体" w:hAnsi="宋体" w:cs="宋体"/>
                <w:sz w:val="24"/>
              </w:rPr>
              <w:t>完全理解并接受对合格投标人、合格的货物要求。</w:t>
            </w:r>
          </w:p>
        </w:tc>
        <w:tc>
          <w:tcPr>
            <w:tcW w:w="761" w:type="dxa"/>
            <w:vAlign w:val="center"/>
          </w:tcPr>
          <w:p w14:paraId="032FEB8B">
            <w:pPr>
              <w:adjustRightInd w:val="0"/>
              <w:snapToGrid w:val="0"/>
              <w:spacing w:line="440" w:lineRule="exact"/>
              <w:jc w:val="center"/>
              <w:rPr>
                <w:rFonts w:ascii="宋体" w:hAnsi="宋体" w:cs="宋体"/>
                <w:sz w:val="24"/>
              </w:rPr>
            </w:pPr>
          </w:p>
        </w:tc>
        <w:tc>
          <w:tcPr>
            <w:tcW w:w="926" w:type="dxa"/>
            <w:vAlign w:val="center"/>
          </w:tcPr>
          <w:p w14:paraId="54050D87">
            <w:pPr>
              <w:adjustRightInd w:val="0"/>
              <w:snapToGrid w:val="0"/>
              <w:spacing w:line="440" w:lineRule="exact"/>
              <w:ind w:right="-35"/>
              <w:jc w:val="center"/>
              <w:rPr>
                <w:rFonts w:ascii="宋体" w:hAnsi="宋体" w:cs="宋体"/>
                <w:sz w:val="24"/>
              </w:rPr>
            </w:pPr>
          </w:p>
        </w:tc>
      </w:tr>
      <w:tr w14:paraId="60E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4EAFE088">
            <w:pPr>
              <w:adjustRightInd w:val="0"/>
              <w:snapToGrid w:val="0"/>
              <w:spacing w:line="440" w:lineRule="exact"/>
              <w:jc w:val="center"/>
              <w:rPr>
                <w:rFonts w:ascii="宋体" w:hAnsi="宋体" w:cs="宋体"/>
                <w:sz w:val="24"/>
              </w:rPr>
            </w:pPr>
            <w:r>
              <w:rPr>
                <w:rFonts w:hint="eastAsia" w:ascii="宋体" w:hAnsi="宋体" w:cs="宋体"/>
                <w:sz w:val="24"/>
              </w:rPr>
              <w:t>3</w:t>
            </w:r>
          </w:p>
        </w:tc>
        <w:tc>
          <w:tcPr>
            <w:tcW w:w="6245" w:type="dxa"/>
            <w:vAlign w:val="center"/>
          </w:tcPr>
          <w:p w14:paraId="3AA919F4">
            <w:pPr>
              <w:rPr>
                <w:rFonts w:ascii="宋体" w:hAnsi="宋体" w:cs="宋体"/>
                <w:sz w:val="24"/>
              </w:rPr>
            </w:pPr>
            <w:r>
              <w:rPr>
                <w:rFonts w:hint="eastAsia" w:ascii="宋体" w:hAnsi="宋体" w:cs="宋体"/>
                <w:sz w:val="24"/>
              </w:rPr>
              <w:t>完全理解并接受对投标人的各项须知、规约要求和责任义务。</w:t>
            </w:r>
          </w:p>
        </w:tc>
        <w:tc>
          <w:tcPr>
            <w:tcW w:w="761" w:type="dxa"/>
            <w:vAlign w:val="center"/>
          </w:tcPr>
          <w:p w14:paraId="3799EFE8">
            <w:pPr>
              <w:adjustRightInd w:val="0"/>
              <w:snapToGrid w:val="0"/>
              <w:spacing w:line="440" w:lineRule="exact"/>
              <w:jc w:val="center"/>
              <w:rPr>
                <w:rFonts w:ascii="宋体" w:hAnsi="宋体" w:cs="宋体"/>
                <w:sz w:val="24"/>
              </w:rPr>
            </w:pPr>
          </w:p>
        </w:tc>
        <w:tc>
          <w:tcPr>
            <w:tcW w:w="926" w:type="dxa"/>
            <w:vAlign w:val="center"/>
          </w:tcPr>
          <w:p w14:paraId="11B30BAD">
            <w:pPr>
              <w:adjustRightInd w:val="0"/>
              <w:snapToGrid w:val="0"/>
              <w:spacing w:line="440" w:lineRule="exact"/>
              <w:ind w:right="-35"/>
              <w:jc w:val="center"/>
              <w:rPr>
                <w:rFonts w:ascii="宋体" w:hAnsi="宋体" w:cs="宋体"/>
                <w:sz w:val="24"/>
              </w:rPr>
            </w:pPr>
          </w:p>
        </w:tc>
      </w:tr>
      <w:tr w14:paraId="22C8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634896D0">
            <w:pPr>
              <w:adjustRightInd w:val="0"/>
              <w:snapToGrid w:val="0"/>
              <w:spacing w:line="440" w:lineRule="exact"/>
              <w:jc w:val="center"/>
              <w:rPr>
                <w:rFonts w:ascii="宋体" w:hAnsi="宋体" w:cs="宋体"/>
                <w:sz w:val="24"/>
              </w:rPr>
            </w:pPr>
            <w:r>
              <w:rPr>
                <w:rFonts w:hint="eastAsia" w:ascii="宋体" w:hAnsi="宋体" w:cs="宋体"/>
                <w:sz w:val="24"/>
              </w:rPr>
              <w:t>4</w:t>
            </w:r>
          </w:p>
        </w:tc>
        <w:tc>
          <w:tcPr>
            <w:tcW w:w="6245" w:type="dxa"/>
            <w:vAlign w:val="center"/>
          </w:tcPr>
          <w:p w14:paraId="23D66875">
            <w:pPr>
              <w:rPr>
                <w:rFonts w:ascii="宋体" w:hAnsi="宋体" w:cs="宋体"/>
                <w:sz w:val="24"/>
              </w:rPr>
            </w:pPr>
            <w:r>
              <w:rPr>
                <w:rFonts w:hint="eastAsia" w:ascii="宋体" w:hAnsi="宋体" w:cs="宋体"/>
                <w:sz w:val="24"/>
              </w:rPr>
              <w:t>投标有效期：投标有效期为自递交投标文件截止之日起</w:t>
            </w:r>
            <w:r>
              <w:rPr>
                <w:rFonts w:hint="eastAsia" w:ascii="宋体" w:hAnsi="宋体" w:cs="宋体"/>
                <w:sz w:val="24"/>
                <w:u w:val="single"/>
              </w:rPr>
              <w:t xml:space="preserve">90 </w:t>
            </w:r>
            <w:r>
              <w:rPr>
                <w:rFonts w:hint="eastAsia" w:ascii="宋体" w:hAnsi="宋体" w:cs="宋体"/>
                <w:sz w:val="24"/>
              </w:rPr>
              <w:t>天，中标单位有效期至项目验收之日。</w:t>
            </w:r>
          </w:p>
        </w:tc>
        <w:tc>
          <w:tcPr>
            <w:tcW w:w="761" w:type="dxa"/>
            <w:vAlign w:val="center"/>
          </w:tcPr>
          <w:p w14:paraId="024FC797">
            <w:pPr>
              <w:adjustRightInd w:val="0"/>
              <w:snapToGrid w:val="0"/>
              <w:spacing w:line="440" w:lineRule="exact"/>
              <w:jc w:val="center"/>
              <w:rPr>
                <w:rFonts w:ascii="宋体" w:hAnsi="宋体" w:cs="宋体"/>
                <w:sz w:val="24"/>
              </w:rPr>
            </w:pPr>
          </w:p>
        </w:tc>
        <w:tc>
          <w:tcPr>
            <w:tcW w:w="926" w:type="dxa"/>
            <w:vAlign w:val="center"/>
          </w:tcPr>
          <w:p w14:paraId="788DE306">
            <w:pPr>
              <w:adjustRightInd w:val="0"/>
              <w:snapToGrid w:val="0"/>
              <w:spacing w:line="440" w:lineRule="exact"/>
              <w:ind w:right="-35"/>
              <w:jc w:val="center"/>
              <w:rPr>
                <w:rFonts w:ascii="宋体" w:hAnsi="宋体" w:cs="宋体"/>
                <w:sz w:val="24"/>
              </w:rPr>
            </w:pPr>
          </w:p>
        </w:tc>
      </w:tr>
      <w:tr w14:paraId="2AB5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29708DA8">
            <w:pPr>
              <w:adjustRightInd w:val="0"/>
              <w:snapToGrid w:val="0"/>
              <w:spacing w:line="440" w:lineRule="exact"/>
              <w:jc w:val="center"/>
              <w:rPr>
                <w:rFonts w:ascii="宋体" w:hAnsi="宋体" w:cs="宋体"/>
                <w:sz w:val="24"/>
              </w:rPr>
            </w:pPr>
            <w:r>
              <w:rPr>
                <w:rFonts w:hint="eastAsia" w:ascii="宋体" w:hAnsi="宋体" w:cs="宋体"/>
                <w:sz w:val="24"/>
              </w:rPr>
              <w:t>5</w:t>
            </w:r>
          </w:p>
        </w:tc>
        <w:tc>
          <w:tcPr>
            <w:tcW w:w="6245" w:type="dxa"/>
            <w:vAlign w:val="center"/>
          </w:tcPr>
          <w:p w14:paraId="00AE91BD">
            <w:pPr>
              <w:rPr>
                <w:rFonts w:ascii="宋体" w:hAnsi="宋体" w:cs="宋体"/>
                <w:sz w:val="24"/>
              </w:rPr>
            </w:pPr>
            <w:r>
              <w:rPr>
                <w:rFonts w:hint="eastAsia" w:ascii="宋体" w:hAnsi="宋体" w:cs="宋体"/>
                <w:sz w:val="24"/>
              </w:rPr>
              <w:t>报价内容均涵盖报价要求之一切费用和伴随服务。</w:t>
            </w:r>
          </w:p>
        </w:tc>
        <w:tc>
          <w:tcPr>
            <w:tcW w:w="761" w:type="dxa"/>
            <w:vAlign w:val="center"/>
          </w:tcPr>
          <w:p w14:paraId="16C8302C">
            <w:pPr>
              <w:adjustRightInd w:val="0"/>
              <w:snapToGrid w:val="0"/>
              <w:spacing w:line="440" w:lineRule="exact"/>
              <w:jc w:val="center"/>
              <w:rPr>
                <w:rFonts w:ascii="宋体" w:hAnsi="宋体" w:cs="宋体"/>
                <w:sz w:val="24"/>
              </w:rPr>
            </w:pPr>
          </w:p>
        </w:tc>
        <w:tc>
          <w:tcPr>
            <w:tcW w:w="926" w:type="dxa"/>
            <w:vAlign w:val="center"/>
          </w:tcPr>
          <w:p w14:paraId="0A361078">
            <w:pPr>
              <w:adjustRightInd w:val="0"/>
              <w:snapToGrid w:val="0"/>
              <w:spacing w:line="440" w:lineRule="exact"/>
              <w:jc w:val="center"/>
              <w:rPr>
                <w:rFonts w:ascii="宋体" w:hAnsi="宋体" w:cs="宋体"/>
                <w:sz w:val="24"/>
              </w:rPr>
            </w:pPr>
          </w:p>
        </w:tc>
      </w:tr>
      <w:tr w14:paraId="0D56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54E46D7F">
            <w:pPr>
              <w:adjustRightInd w:val="0"/>
              <w:snapToGrid w:val="0"/>
              <w:spacing w:line="440" w:lineRule="exact"/>
              <w:jc w:val="center"/>
              <w:rPr>
                <w:rFonts w:ascii="宋体" w:hAnsi="宋体" w:cs="宋体"/>
                <w:sz w:val="24"/>
              </w:rPr>
            </w:pPr>
            <w:r>
              <w:rPr>
                <w:rFonts w:hint="eastAsia" w:ascii="宋体" w:hAnsi="宋体" w:cs="宋体"/>
                <w:sz w:val="24"/>
              </w:rPr>
              <w:t>6</w:t>
            </w:r>
          </w:p>
        </w:tc>
        <w:tc>
          <w:tcPr>
            <w:tcW w:w="6245" w:type="dxa"/>
            <w:vAlign w:val="center"/>
          </w:tcPr>
          <w:p w14:paraId="21FEE8E4">
            <w:pPr>
              <w:rPr>
                <w:rFonts w:ascii="宋体" w:hAnsi="宋体" w:cs="宋体"/>
                <w:sz w:val="24"/>
              </w:rPr>
            </w:pPr>
            <w:r>
              <w:rPr>
                <w:rFonts w:hint="eastAsia" w:ascii="宋体" w:hAnsi="宋体" w:cs="宋体"/>
                <w:sz w:val="24"/>
              </w:rPr>
              <w:t>所提供的报价不高于产品制造商权威网站目前的报价水平和广东省现市场零售价。</w:t>
            </w:r>
          </w:p>
        </w:tc>
        <w:tc>
          <w:tcPr>
            <w:tcW w:w="761" w:type="dxa"/>
            <w:vAlign w:val="center"/>
          </w:tcPr>
          <w:p w14:paraId="60208C05">
            <w:pPr>
              <w:adjustRightInd w:val="0"/>
              <w:snapToGrid w:val="0"/>
              <w:spacing w:line="440" w:lineRule="exact"/>
              <w:jc w:val="center"/>
              <w:rPr>
                <w:rFonts w:ascii="宋体" w:hAnsi="宋体" w:cs="宋体"/>
                <w:sz w:val="24"/>
              </w:rPr>
            </w:pPr>
          </w:p>
        </w:tc>
        <w:tc>
          <w:tcPr>
            <w:tcW w:w="926" w:type="dxa"/>
            <w:vAlign w:val="center"/>
          </w:tcPr>
          <w:p w14:paraId="0613CE0B">
            <w:pPr>
              <w:adjustRightInd w:val="0"/>
              <w:snapToGrid w:val="0"/>
              <w:spacing w:line="440" w:lineRule="exact"/>
              <w:jc w:val="center"/>
              <w:rPr>
                <w:rFonts w:ascii="宋体" w:hAnsi="宋体" w:cs="宋体"/>
                <w:sz w:val="24"/>
              </w:rPr>
            </w:pPr>
          </w:p>
        </w:tc>
      </w:tr>
      <w:tr w14:paraId="259F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3F2D4A1B">
            <w:pPr>
              <w:adjustRightInd w:val="0"/>
              <w:snapToGrid w:val="0"/>
              <w:spacing w:line="440" w:lineRule="exact"/>
              <w:jc w:val="center"/>
              <w:rPr>
                <w:rFonts w:ascii="宋体" w:hAnsi="宋体" w:cs="宋体"/>
                <w:sz w:val="24"/>
              </w:rPr>
            </w:pPr>
            <w:r>
              <w:rPr>
                <w:rFonts w:hint="eastAsia" w:ascii="宋体" w:hAnsi="宋体" w:cs="宋体"/>
                <w:sz w:val="24"/>
              </w:rPr>
              <w:t>7</w:t>
            </w:r>
          </w:p>
        </w:tc>
        <w:tc>
          <w:tcPr>
            <w:tcW w:w="6245" w:type="dxa"/>
            <w:vAlign w:val="center"/>
          </w:tcPr>
          <w:p w14:paraId="3D23B23C">
            <w:pPr>
              <w:rPr>
                <w:rFonts w:ascii="宋体" w:hAnsi="宋体" w:cs="宋体"/>
                <w:sz w:val="24"/>
              </w:rPr>
            </w:pPr>
            <w:r>
              <w:rPr>
                <w:rFonts w:hint="eastAsia" w:ascii="宋体" w:hAnsi="宋体" w:cs="宋体"/>
                <w:sz w:val="24"/>
              </w:rPr>
              <w:t>服务期：</w:t>
            </w:r>
            <w:r>
              <w:rPr>
                <w:rFonts w:hint="eastAsia" w:ascii="宋体" w:hAnsi="宋体" w:cs="宋体"/>
                <w:sz w:val="24"/>
                <w:u w:val="single"/>
              </w:rPr>
              <w:t xml:space="preserve">           </w:t>
            </w:r>
            <w:r>
              <w:rPr>
                <w:rFonts w:hint="eastAsia" w:ascii="宋体" w:hAnsi="宋体" w:cs="宋体"/>
                <w:sz w:val="24"/>
              </w:rPr>
              <w:t>。</w:t>
            </w:r>
          </w:p>
        </w:tc>
        <w:tc>
          <w:tcPr>
            <w:tcW w:w="761" w:type="dxa"/>
            <w:vAlign w:val="center"/>
          </w:tcPr>
          <w:p w14:paraId="10EF4E04">
            <w:pPr>
              <w:adjustRightInd w:val="0"/>
              <w:snapToGrid w:val="0"/>
              <w:spacing w:line="440" w:lineRule="exact"/>
              <w:jc w:val="center"/>
              <w:rPr>
                <w:rFonts w:ascii="宋体" w:hAnsi="宋体" w:cs="宋体"/>
                <w:sz w:val="24"/>
              </w:rPr>
            </w:pPr>
          </w:p>
        </w:tc>
        <w:tc>
          <w:tcPr>
            <w:tcW w:w="926" w:type="dxa"/>
            <w:vAlign w:val="center"/>
          </w:tcPr>
          <w:p w14:paraId="0AD4B3CE">
            <w:pPr>
              <w:adjustRightInd w:val="0"/>
              <w:snapToGrid w:val="0"/>
              <w:spacing w:line="440" w:lineRule="exact"/>
              <w:jc w:val="center"/>
              <w:rPr>
                <w:rFonts w:ascii="宋体" w:hAnsi="宋体" w:cs="宋体"/>
                <w:sz w:val="24"/>
              </w:rPr>
            </w:pPr>
          </w:p>
        </w:tc>
      </w:tr>
      <w:tr w14:paraId="66F8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39543350">
            <w:pPr>
              <w:adjustRightInd w:val="0"/>
              <w:snapToGrid w:val="0"/>
              <w:spacing w:line="440" w:lineRule="exact"/>
              <w:jc w:val="center"/>
              <w:rPr>
                <w:rFonts w:ascii="宋体" w:hAnsi="宋体" w:cs="宋体"/>
                <w:sz w:val="24"/>
              </w:rPr>
            </w:pPr>
            <w:r>
              <w:rPr>
                <w:rFonts w:hint="eastAsia" w:ascii="宋体" w:hAnsi="宋体" w:cs="宋体"/>
                <w:sz w:val="24"/>
              </w:rPr>
              <w:t>8</w:t>
            </w:r>
          </w:p>
        </w:tc>
        <w:tc>
          <w:tcPr>
            <w:tcW w:w="6245" w:type="dxa"/>
            <w:vAlign w:val="center"/>
          </w:tcPr>
          <w:p w14:paraId="7A7DFF62">
            <w:pPr>
              <w:rPr>
                <w:rFonts w:ascii="宋体" w:hAnsi="宋体" w:cs="宋体"/>
                <w:sz w:val="24"/>
              </w:rPr>
            </w:pPr>
            <w:r>
              <w:rPr>
                <w:rFonts w:hint="eastAsia" w:ascii="宋体" w:hAnsi="宋体" w:cs="宋体"/>
                <w:sz w:val="24"/>
              </w:rPr>
              <w:t>主要关键设备均为近</w:t>
            </w:r>
            <w:r>
              <w:rPr>
                <w:rFonts w:hint="eastAsia" w:ascii="宋体" w:hAnsi="宋体" w:cs="宋体"/>
                <w:sz w:val="24"/>
                <w:u w:val="single"/>
              </w:rPr>
              <w:t xml:space="preserve">     </w:t>
            </w:r>
            <w:r>
              <w:rPr>
                <w:rFonts w:hint="eastAsia" w:ascii="宋体" w:hAnsi="宋体" w:cs="宋体"/>
                <w:sz w:val="24"/>
              </w:rPr>
              <w:t>个月内原厂生产的非淘汰类全新产品。</w:t>
            </w:r>
          </w:p>
        </w:tc>
        <w:tc>
          <w:tcPr>
            <w:tcW w:w="761" w:type="dxa"/>
            <w:vAlign w:val="center"/>
          </w:tcPr>
          <w:p w14:paraId="3F9A5F8C">
            <w:pPr>
              <w:adjustRightInd w:val="0"/>
              <w:snapToGrid w:val="0"/>
              <w:spacing w:line="440" w:lineRule="exact"/>
              <w:jc w:val="center"/>
              <w:rPr>
                <w:rFonts w:ascii="宋体" w:hAnsi="宋体" w:cs="宋体"/>
                <w:sz w:val="24"/>
                <w:lang w:val="en-GB"/>
              </w:rPr>
            </w:pPr>
          </w:p>
        </w:tc>
        <w:tc>
          <w:tcPr>
            <w:tcW w:w="926" w:type="dxa"/>
            <w:vAlign w:val="center"/>
          </w:tcPr>
          <w:p w14:paraId="351238FE">
            <w:pPr>
              <w:adjustRightInd w:val="0"/>
              <w:snapToGrid w:val="0"/>
              <w:spacing w:line="440" w:lineRule="exact"/>
              <w:jc w:val="center"/>
              <w:rPr>
                <w:rFonts w:ascii="宋体" w:hAnsi="宋体" w:cs="宋体"/>
                <w:sz w:val="24"/>
              </w:rPr>
            </w:pPr>
          </w:p>
        </w:tc>
      </w:tr>
      <w:tr w14:paraId="4F6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3D4B564F">
            <w:pPr>
              <w:adjustRightInd w:val="0"/>
              <w:snapToGrid w:val="0"/>
              <w:spacing w:line="440" w:lineRule="exact"/>
              <w:jc w:val="center"/>
              <w:rPr>
                <w:rFonts w:ascii="宋体" w:hAnsi="宋体" w:cs="宋体"/>
                <w:sz w:val="24"/>
              </w:rPr>
            </w:pPr>
            <w:r>
              <w:rPr>
                <w:rFonts w:hint="eastAsia" w:ascii="宋体" w:hAnsi="宋体" w:cs="宋体"/>
                <w:sz w:val="24"/>
              </w:rPr>
              <w:t>9</w:t>
            </w:r>
          </w:p>
        </w:tc>
        <w:tc>
          <w:tcPr>
            <w:tcW w:w="6245" w:type="dxa"/>
            <w:vAlign w:val="center"/>
          </w:tcPr>
          <w:p w14:paraId="10E7D842">
            <w:pPr>
              <w:rPr>
                <w:rFonts w:ascii="宋体" w:hAnsi="宋体" w:cs="宋体"/>
                <w:sz w:val="24"/>
              </w:rPr>
            </w:pPr>
            <w:r>
              <w:rPr>
                <w:rFonts w:hint="eastAsia" w:ascii="宋体" w:hAnsi="宋体" w:cs="宋体"/>
                <w:sz w:val="24"/>
              </w:rPr>
              <w:t>质保期：验收交付之日起</w:t>
            </w:r>
            <w:r>
              <w:rPr>
                <w:rFonts w:hint="eastAsia" w:ascii="宋体" w:hAnsi="宋体" w:cs="宋体"/>
                <w:sz w:val="24"/>
                <w:u w:val="single"/>
              </w:rPr>
              <w:t xml:space="preserve">    </w:t>
            </w:r>
            <w:r>
              <w:rPr>
                <w:rFonts w:hint="eastAsia" w:ascii="宋体" w:hAnsi="宋体" w:cs="宋体"/>
                <w:sz w:val="24"/>
              </w:rPr>
              <w:t>年。质保期满后，对所供应的货物设备可提供终身维护保养。</w:t>
            </w:r>
          </w:p>
        </w:tc>
        <w:tc>
          <w:tcPr>
            <w:tcW w:w="761" w:type="dxa"/>
            <w:vAlign w:val="center"/>
          </w:tcPr>
          <w:p w14:paraId="17F43B8F">
            <w:pPr>
              <w:adjustRightInd w:val="0"/>
              <w:snapToGrid w:val="0"/>
              <w:spacing w:line="440" w:lineRule="exact"/>
              <w:jc w:val="center"/>
              <w:rPr>
                <w:rFonts w:ascii="宋体" w:hAnsi="宋体" w:cs="宋体"/>
                <w:sz w:val="24"/>
              </w:rPr>
            </w:pPr>
          </w:p>
        </w:tc>
        <w:tc>
          <w:tcPr>
            <w:tcW w:w="926" w:type="dxa"/>
            <w:vAlign w:val="center"/>
          </w:tcPr>
          <w:p w14:paraId="11ADF787">
            <w:pPr>
              <w:pStyle w:val="31"/>
              <w:keepNext w:val="0"/>
              <w:snapToGrid w:val="0"/>
              <w:spacing w:line="440" w:lineRule="exact"/>
              <w:textAlignment w:val="auto"/>
              <w:rPr>
                <w:rFonts w:ascii="宋体" w:hAnsi="宋体" w:cs="宋体"/>
                <w:spacing w:val="0"/>
                <w:kern w:val="2"/>
                <w:szCs w:val="24"/>
              </w:rPr>
            </w:pPr>
          </w:p>
        </w:tc>
      </w:tr>
      <w:tr w14:paraId="2914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650BBCC2">
            <w:pPr>
              <w:adjustRightInd w:val="0"/>
              <w:snapToGrid w:val="0"/>
              <w:spacing w:line="440" w:lineRule="exact"/>
              <w:jc w:val="center"/>
              <w:rPr>
                <w:rFonts w:ascii="宋体" w:hAnsi="宋体" w:cs="宋体"/>
                <w:sz w:val="24"/>
              </w:rPr>
            </w:pPr>
            <w:r>
              <w:rPr>
                <w:rFonts w:hint="eastAsia" w:ascii="宋体" w:hAnsi="宋体" w:cs="宋体"/>
                <w:sz w:val="24"/>
              </w:rPr>
              <w:t>10</w:t>
            </w:r>
          </w:p>
        </w:tc>
        <w:tc>
          <w:tcPr>
            <w:tcW w:w="6245" w:type="dxa"/>
            <w:vAlign w:val="center"/>
          </w:tcPr>
          <w:p w14:paraId="62476562">
            <w:pPr>
              <w:rPr>
                <w:rFonts w:ascii="宋体" w:hAnsi="宋体" w:cs="宋体"/>
                <w:sz w:val="24"/>
              </w:rPr>
            </w:pPr>
            <w:r>
              <w:rPr>
                <w:rFonts w:hint="eastAsia" w:ascii="宋体" w:hAnsi="宋体" w:cs="宋体"/>
                <w:sz w:val="24"/>
              </w:rPr>
              <w:t>满足对售后服务的各项要求，在</w:t>
            </w:r>
            <w:r>
              <w:rPr>
                <w:rFonts w:hint="eastAsia" w:ascii="宋体" w:hAnsi="宋体" w:cs="宋体"/>
                <w:sz w:val="24"/>
                <w:u w:val="single"/>
              </w:rPr>
              <w:t xml:space="preserve">    </w:t>
            </w:r>
            <w:r>
              <w:rPr>
                <w:rFonts w:hint="eastAsia" w:ascii="宋体" w:hAnsi="宋体" w:cs="宋体"/>
                <w:sz w:val="24"/>
              </w:rPr>
              <w:t>设有已注册（或合作代理）的售后服务营业性机构。</w:t>
            </w:r>
          </w:p>
        </w:tc>
        <w:tc>
          <w:tcPr>
            <w:tcW w:w="761" w:type="dxa"/>
            <w:vAlign w:val="center"/>
          </w:tcPr>
          <w:p w14:paraId="5D7F2796">
            <w:pPr>
              <w:adjustRightInd w:val="0"/>
              <w:snapToGrid w:val="0"/>
              <w:spacing w:line="440" w:lineRule="exact"/>
              <w:jc w:val="center"/>
              <w:rPr>
                <w:rFonts w:ascii="宋体" w:hAnsi="宋体" w:cs="宋体"/>
                <w:sz w:val="24"/>
              </w:rPr>
            </w:pPr>
          </w:p>
        </w:tc>
        <w:tc>
          <w:tcPr>
            <w:tcW w:w="926" w:type="dxa"/>
            <w:vAlign w:val="center"/>
          </w:tcPr>
          <w:p w14:paraId="0C4B2BF5">
            <w:pPr>
              <w:pStyle w:val="31"/>
              <w:keepNext w:val="0"/>
              <w:snapToGrid w:val="0"/>
              <w:spacing w:line="440" w:lineRule="exact"/>
              <w:textAlignment w:val="auto"/>
              <w:rPr>
                <w:rFonts w:ascii="宋体" w:hAnsi="宋体" w:cs="宋体"/>
                <w:spacing w:val="0"/>
                <w:kern w:val="2"/>
                <w:szCs w:val="24"/>
              </w:rPr>
            </w:pPr>
          </w:p>
        </w:tc>
      </w:tr>
      <w:tr w14:paraId="65F3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055F215A">
            <w:pPr>
              <w:adjustRightInd w:val="0"/>
              <w:snapToGrid w:val="0"/>
              <w:spacing w:line="440" w:lineRule="exact"/>
              <w:jc w:val="center"/>
              <w:rPr>
                <w:rFonts w:ascii="宋体" w:hAnsi="宋体" w:cs="宋体"/>
                <w:sz w:val="24"/>
              </w:rPr>
            </w:pPr>
            <w:r>
              <w:rPr>
                <w:rFonts w:hint="eastAsia" w:ascii="宋体" w:hAnsi="宋体" w:cs="宋体"/>
                <w:sz w:val="24"/>
              </w:rPr>
              <w:t>11</w:t>
            </w:r>
          </w:p>
        </w:tc>
        <w:tc>
          <w:tcPr>
            <w:tcW w:w="6245" w:type="dxa"/>
            <w:vAlign w:val="center"/>
          </w:tcPr>
          <w:p w14:paraId="4B8A77F9">
            <w:pPr>
              <w:rPr>
                <w:rFonts w:ascii="宋体" w:hAnsi="宋体" w:cs="宋体"/>
                <w:sz w:val="24"/>
              </w:rPr>
            </w:pPr>
            <w:r>
              <w:rPr>
                <w:rFonts w:hint="eastAsia" w:ascii="宋体" w:hAnsi="宋体" w:cs="宋体"/>
                <w:sz w:val="24"/>
                <w:lang w:val="en-GB"/>
              </w:rPr>
              <w:t>同意接受合同范本所列述的各项条款。</w:t>
            </w:r>
          </w:p>
        </w:tc>
        <w:tc>
          <w:tcPr>
            <w:tcW w:w="761" w:type="dxa"/>
            <w:vAlign w:val="center"/>
          </w:tcPr>
          <w:p w14:paraId="38AC1C77">
            <w:pPr>
              <w:pStyle w:val="32"/>
              <w:adjustRightInd w:val="0"/>
              <w:snapToGrid w:val="0"/>
              <w:spacing w:line="440" w:lineRule="exact"/>
              <w:rPr>
                <w:rFonts w:ascii="宋体" w:hAnsi="宋体" w:cs="宋体"/>
                <w:color w:val="auto"/>
                <w:szCs w:val="24"/>
              </w:rPr>
            </w:pPr>
          </w:p>
        </w:tc>
        <w:tc>
          <w:tcPr>
            <w:tcW w:w="926" w:type="dxa"/>
            <w:vAlign w:val="center"/>
          </w:tcPr>
          <w:p w14:paraId="122E10ED">
            <w:pPr>
              <w:pStyle w:val="31"/>
              <w:keepNext w:val="0"/>
              <w:snapToGrid w:val="0"/>
              <w:spacing w:line="440" w:lineRule="exact"/>
              <w:jc w:val="both"/>
              <w:textAlignment w:val="auto"/>
              <w:rPr>
                <w:rFonts w:ascii="宋体" w:hAnsi="宋体" w:cs="宋体"/>
                <w:spacing w:val="0"/>
                <w:kern w:val="2"/>
                <w:szCs w:val="24"/>
              </w:rPr>
            </w:pPr>
          </w:p>
        </w:tc>
      </w:tr>
      <w:tr w14:paraId="5E0B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141B51D2">
            <w:pPr>
              <w:adjustRightInd w:val="0"/>
              <w:snapToGrid w:val="0"/>
              <w:spacing w:line="440" w:lineRule="exact"/>
              <w:jc w:val="center"/>
              <w:rPr>
                <w:rFonts w:ascii="宋体" w:hAnsi="宋体" w:cs="宋体"/>
                <w:sz w:val="24"/>
              </w:rPr>
            </w:pPr>
            <w:r>
              <w:rPr>
                <w:rFonts w:hint="eastAsia" w:ascii="宋体" w:hAnsi="宋体" w:cs="宋体"/>
                <w:sz w:val="24"/>
              </w:rPr>
              <w:t>12</w:t>
            </w:r>
          </w:p>
        </w:tc>
        <w:tc>
          <w:tcPr>
            <w:tcW w:w="6245" w:type="dxa"/>
            <w:vAlign w:val="center"/>
          </w:tcPr>
          <w:p w14:paraId="386AE60C">
            <w:pPr>
              <w:rPr>
                <w:rFonts w:ascii="宋体" w:hAnsi="宋体" w:cs="宋体"/>
                <w:sz w:val="24"/>
              </w:rPr>
            </w:pPr>
            <w:r>
              <w:rPr>
                <w:rFonts w:hint="eastAsia" w:ascii="宋体" w:hAnsi="宋体" w:cs="宋体"/>
                <w:sz w:val="24"/>
              </w:rPr>
              <w:t>同意按本项目要求缴付相关款项。</w:t>
            </w:r>
          </w:p>
        </w:tc>
        <w:tc>
          <w:tcPr>
            <w:tcW w:w="761" w:type="dxa"/>
            <w:vAlign w:val="center"/>
          </w:tcPr>
          <w:p w14:paraId="20853BAE">
            <w:pPr>
              <w:pStyle w:val="32"/>
              <w:adjustRightInd w:val="0"/>
              <w:snapToGrid w:val="0"/>
              <w:spacing w:line="440" w:lineRule="exact"/>
              <w:rPr>
                <w:rFonts w:ascii="宋体" w:hAnsi="宋体" w:cs="宋体"/>
                <w:color w:val="auto"/>
                <w:szCs w:val="24"/>
              </w:rPr>
            </w:pPr>
          </w:p>
        </w:tc>
        <w:tc>
          <w:tcPr>
            <w:tcW w:w="926" w:type="dxa"/>
            <w:vAlign w:val="center"/>
          </w:tcPr>
          <w:p w14:paraId="6F5ACBD0">
            <w:pPr>
              <w:pStyle w:val="31"/>
              <w:keepNext w:val="0"/>
              <w:snapToGrid w:val="0"/>
              <w:spacing w:line="440" w:lineRule="exact"/>
              <w:jc w:val="both"/>
              <w:textAlignment w:val="auto"/>
              <w:rPr>
                <w:rFonts w:ascii="宋体" w:hAnsi="宋体" w:cs="宋体"/>
                <w:spacing w:val="0"/>
                <w:kern w:val="2"/>
                <w:szCs w:val="24"/>
              </w:rPr>
            </w:pPr>
          </w:p>
        </w:tc>
      </w:tr>
      <w:tr w14:paraId="668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2ED4FF32">
            <w:pPr>
              <w:adjustRightInd w:val="0"/>
              <w:snapToGrid w:val="0"/>
              <w:spacing w:line="440" w:lineRule="exact"/>
              <w:jc w:val="center"/>
              <w:rPr>
                <w:rFonts w:ascii="宋体" w:hAnsi="宋体" w:cs="宋体"/>
                <w:sz w:val="24"/>
              </w:rPr>
            </w:pPr>
            <w:r>
              <w:rPr>
                <w:rFonts w:hint="eastAsia" w:ascii="宋体" w:hAnsi="宋体" w:cs="宋体"/>
                <w:sz w:val="24"/>
              </w:rPr>
              <w:t>13</w:t>
            </w:r>
          </w:p>
        </w:tc>
        <w:tc>
          <w:tcPr>
            <w:tcW w:w="6245" w:type="dxa"/>
            <w:vAlign w:val="center"/>
          </w:tcPr>
          <w:p w14:paraId="5C61DB3A">
            <w:pPr>
              <w:pStyle w:val="18"/>
              <w:rPr>
                <w:rFonts w:ascii="宋体" w:hAnsi="宋体" w:cs="宋体"/>
                <w:sz w:val="24"/>
                <w:szCs w:val="24"/>
              </w:rPr>
            </w:pPr>
            <w:r>
              <w:rPr>
                <w:rFonts w:hint="eastAsia" w:ascii="宋体" w:hAnsi="宋体" w:cs="宋体"/>
                <w:sz w:val="24"/>
                <w:szCs w:val="24"/>
              </w:rPr>
              <w:t>同意招标人以任何形式对我方投标文件内容的真实性和有效性进行审查、验证。</w:t>
            </w:r>
          </w:p>
        </w:tc>
        <w:tc>
          <w:tcPr>
            <w:tcW w:w="761" w:type="dxa"/>
            <w:vAlign w:val="center"/>
          </w:tcPr>
          <w:p w14:paraId="66B3B71A">
            <w:pPr>
              <w:pStyle w:val="32"/>
              <w:adjustRightInd w:val="0"/>
              <w:snapToGrid w:val="0"/>
              <w:spacing w:line="440" w:lineRule="exact"/>
              <w:rPr>
                <w:rFonts w:ascii="宋体" w:hAnsi="宋体" w:cs="宋体"/>
                <w:color w:val="auto"/>
                <w:szCs w:val="24"/>
              </w:rPr>
            </w:pPr>
          </w:p>
        </w:tc>
        <w:tc>
          <w:tcPr>
            <w:tcW w:w="926" w:type="dxa"/>
            <w:vAlign w:val="center"/>
          </w:tcPr>
          <w:p w14:paraId="611D1C5F">
            <w:pPr>
              <w:pStyle w:val="31"/>
              <w:keepNext w:val="0"/>
              <w:snapToGrid w:val="0"/>
              <w:spacing w:line="440" w:lineRule="exact"/>
              <w:jc w:val="both"/>
              <w:textAlignment w:val="auto"/>
              <w:rPr>
                <w:rFonts w:ascii="宋体" w:hAnsi="宋体" w:cs="宋体"/>
                <w:spacing w:val="0"/>
                <w:kern w:val="2"/>
                <w:szCs w:val="24"/>
              </w:rPr>
            </w:pPr>
          </w:p>
        </w:tc>
      </w:tr>
      <w:tr w14:paraId="4265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vAlign w:val="center"/>
          </w:tcPr>
          <w:p w14:paraId="5786152C">
            <w:pPr>
              <w:adjustRightInd w:val="0"/>
              <w:snapToGrid w:val="0"/>
              <w:spacing w:line="440" w:lineRule="exact"/>
              <w:jc w:val="center"/>
              <w:rPr>
                <w:rFonts w:ascii="宋体" w:hAnsi="宋体" w:cs="宋体"/>
                <w:sz w:val="24"/>
              </w:rPr>
            </w:pPr>
            <w:r>
              <w:rPr>
                <w:rFonts w:hint="eastAsia" w:ascii="宋体" w:hAnsi="宋体" w:cs="宋体"/>
                <w:sz w:val="24"/>
              </w:rPr>
              <w:t>14</w:t>
            </w:r>
          </w:p>
        </w:tc>
        <w:tc>
          <w:tcPr>
            <w:tcW w:w="6245" w:type="dxa"/>
            <w:vAlign w:val="center"/>
          </w:tcPr>
          <w:p w14:paraId="78F7B175">
            <w:pPr>
              <w:pStyle w:val="18"/>
              <w:rPr>
                <w:rFonts w:ascii="宋体" w:hAnsi="宋体" w:cs="宋体"/>
                <w:sz w:val="24"/>
                <w:szCs w:val="24"/>
              </w:rPr>
            </w:pPr>
            <w:r>
              <w:rPr>
                <w:rFonts w:hint="eastAsia" w:ascii="宋体" w:hAnsi="宋体" w:cs="宋体"/>
                <w:sz w:val="24"/>
                <w:szCs w:val="24"/>
              </w:rPr>
              <w:t>其它商务条款偏离说明：</w:t>
            </w:r>
          </w:p>
        </w:tc>
        <w:tc>
          <w:tcPr>
            <w:tcW w:w="761" w:type="dxa"/>
            <w:vAlign w:val="center"/>
          </w:tcPr>
          <w:p w14:paraId="396255E1">
            <w:pPr>
              <w:pStyle w:val="32"/>
              <w:adjustRightInd w:val="0"/>
              <w:snapToGrid w:val="0"/>
              <w:spacing w:line="440" w:lineRule="exact"/>
              <w:rPr>
                <w:rFonts w:ascii="宋体" w:hAnsi="宋体" w:cs="宋体"/>
                <w:color w:val="auto"/>
                <w:szCs w:val="24"/>
              </w:rPr>
            </w:pPr>
          </w:p>
        </w:tc>
        <w:tc>
          <w:tcPr>
            <w:tcW w:w="926" w:type="dxa"/>
            <w:vAlign w:val="center"/>
          </w:tcPr>
          <w:p w14:paraId="26022D07">
            <w:pPr>
              <w:pStyle w:val="31"/>
              <w:keepNext w:val="0"/>
              <w:snapToGrid w:val="0"/>
              <w:spacing w:line="440" w:lineRule="exact"/>
              <w:jc w:val="both"/>
              <w:textAlignment w:val="auto"/>
              <w:rPr>
                <w:rFonts w:ascii="宋体" w:hAnsi="宋体" w:cs="宋体"/>
                <w:spacing w:val="0"/>
                <w:kern w:val="2"/>
                <w:szCs w:val="24"/>
              </w:rPr>
            </w:pPr>
          </w:p>
        </w:tc>
      </w:tr>
    </w:tbl>
    <w:p w14:paraId="0728BE3F">
      <w:pPr>
        <w:spacing w:line="360" w:lineRule="auto"/>
        <w:ind w:left="840" w:hanging="840" w:hangingChars="350"/>
        <w:rPr>
          <w:rFonts w:ascii="宋体" w:hAnsi="宋体" w:eastAsia="宋体" w:cs="宋体"/>
          <w:sz w:val="24"/>
          <w:lang w:val="en-GB"/>
        </w:rPr>
      </w:pPr>
      <w:r>
        <w:rPr>
          <w:rFonts w:hint="eastAsia" w:ascii="宋体" w:hAnsi="宋体" w:eastAsia="宋体" w:cs="宋体"/>
          <w:sz w:val="24"/>
          <w:lang w:val="en-GB"/>
        </w:rPr>
        <w:t xml:space="preserve">注： </w:t>
      </w:r>
    </w:p>
    <w:p w14:paraId="2FF124F0">
      <w:pPr>
        <w:numPr>
          <w:ilvl w:val="0"/>
          <w:numId w:val="89"/>
        </w:numPr>
        <w:spacing w:line="360" w:lineRule="auto"/>
        <w:rPr>
          <w:rFonts w:ascii="宋体" w:hAnsi="宋体" w:eastAsia="宋体" w:cs="宋体"/>
          <w:sz w:val="24"/>
          <w:lang w:val="en-GB"/>
        </w:rPr>
      </w:pPr>
      <w:r>
        <w:rPr>
          <w:rFonts w:hint="eastAsia" w:ascii="宋体" w:hAnsi="宋体" w:eastAsia="宋体" w:cs="宋体"/>
          <w:sz w:val="24"/>
        </w:rPr>
        <w:t>对</w:t>
      </w:r>
      <w:r>
        <w:rPr>
          <w:rFonts w:hint="eastAsia" w:ascii="宋体" w:hAnsi="宋体" w:eastAsia="宋体" w:cs="宋体"/>
          <w:sz w:val="24"/>
          <w:lang w:val="en-GB"/>
        </w:rPr>
        <w:t>于上述要求，如投标人完全响应，则在“是否响应”栏内打“√”；对空白或打“×”视为偏离，请在“偏离说明”栏内扼要说明偏离情况。</w:t>
      </w:r>
    </w:p>
    <w:p w14:paraId="49E1EF60">
      <w:pPr>
        <w:numPr>
          <w:ilvl w:val="0"/>
          <w:numId w:val="89"/>
        </w:numPr>
        <w:spacing w:line="360" w:lineRule="auto"/>
        <w:rPr>
          <w:rFonts w:ascii="宋体" w:hAnsi="宋体" w:eastAsia="宋体" w:cs="宋体"/>
          <w:sz w:val="24"/>
          <w:lang w:val="en-GB"/>
        </w:rPr>
      </w:pPr>
      <w:r>
        <w:rPr>
          <w:rFonts w:hint="eastAsia" w:ascii="宋体" w:hAnsi="宋体" w:eastAsia="宋体" w:cs="宋体"/>
          <w:sz w:val="24"/>
          <w:lang w:val="en-GB"/>
        </w:rPr>
        <w:t>本表内容不得擅自修改。</w:t>
      </w:r>
    </w:p>
    <w:p w14:paraId="6207AAA8">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0D815B5E">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775E2E57">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p w14:paraId="7A28019C">
      <w:pPr>
        <w:pStyle w:val="4"/>
        <w:numPr>
          <w:ilvl w:val="0"/>
          <w:numId w:val="84"/>
        </w:numPr>
        <w:jc w:val="center"/>
      </w:pPr>
      <w:bookmarkStart w:id="336" w:name="_Toc20480"/>
      <w:bookmarkStart w:id="337" w:name="_Toc21183"/>
      <w:r>
        <w:rPr>
          <w:rFonts w:hint="eastAsia"/>
        </w:rPr>
        <w:t>售后服务方案</w:t>
      </w:r>
      <w:bookmarkEnd w:id="333"/>
      <w:bookmarkEnd w:id="334"/>
      <w:bookmarkEnd w:id="335"/>
      <w:bookmarkEnd w:id="336"/>
      <w:bookmarkEnd w:id="337"/>
    </w:p>
    <w:p w14:paraId="62B9D71E">
      <w:pPr>
        <w:spacing w:line="360" w:lineRule="auto"/>
        <w:ind w:firstLine="480" w:firstLineChars="200"/>
        <w:rPr>
          <w:rFonts w:ascii="宋体" w:hAnsi="宋体" w:eastAsia="宋体" w:cs="宋体"/>
          <w:sz w:val="24"/>
          <w:lang w:val="en-GB"/>
        </w:rPr>
      </w:pPr>
      <w:r>
        <w:rPr>
          <w:rFonts w:hint="eastAsia" w:ascii="宋体" w:hAnsi="宋体" w:eastAsia="宋体" w:cs="宋体"/>
          <w:sz w:val="24"/>
          <w:lang w:val="en-GB"/>
        </w:rPr>
        <w:t>售后服务须包括但不限于以下内容，格式自定。</w:t>
      </w:r>
    </w:p>
    <w:p w14:paraId="39582491">
      <w:pPr>
        <w:numPr>
          <w:ilvl w:val="0"/>
          <w:numId w:val="90"/>
        </w:numPr>
        <w:spacing w:line="360" w:lineRule="auto"/>
        <w:rPr>
          <w:rFonts w:ascii="宋体" w:hAnsi="宋体" w:eastAsia="宋体" w:cs="宋体"/>
          <w:sz w:val="24"/>
          <w:lang w:val="en-GB"/>
        </w:rPr>
      </w:pPr>
      <w:r>
        <w:rPr>
          <w:rFonts w:hint="eastAsia" w:ascii="宋体" w:hAnsi="宋体" w:eastAsia="宋体" w:cs="宋体"/>
          <w:sz w:val="24"/>
          <w:lang w:val="en-GB"/>
        </w:rPr>
        <w:t>免费保修期；</w:t>
      </w:r>
    </w:p>
    <w:p w14:paraId="11B5FD19">
      <w:pPr>
        <w:numPr>
          <w:ilvl w:val="0"/>
          <w:numId w:val="90"/>
        </w:numPr>
        <w:spacing w:line="360" w:lineRule="auto"/>
        <w:rPr>
          <w:rFonts w:ascii="宋体" w:hAnsi="宋体" w:eastAsia="宋体" w:cs="宋体"/>
          <w:sz w:val="24"/>
          <w:lang w:val="en-GB"/>
        </w:rPr>
      </w:pPr>
      <w:r>
        <w:rPr>
          <w:rFonts w:hint="eastAsia" w:ascii="宋体" w:hAnsi="宋体" w:eastAsia="宋体" w:cs="宋体"/>
          <w:sz w:val="24"/>
          <w:lang w:val="en-GB"/>
        </w:rPr>
        <w:t>应急维修时间安排；</w:t>
      </w:r>
    </w:p>
    <w:p w14:paraId="2CFC808B">
      <w:pPr>
        <w:numPr>
          <w:ilvl w:val="0"/>
          <w:numId w:val="90"/>
        </w:numPr>
        <w:spacing w:line="360" w:lineRule="auto"/>
        <w:rPr>
          <w:rFonts w:ascii="宋体" w:hAnsi="宋体" w:eastAsia="宋体" w:cs="宋体"/>
          <w:sz w:val="24"/>
          <w:lang w:val="en-GB"/>
        </w:rPr>
      </w:pPr>
      <w:r>
        <w:rPr>
          <w:rFonts w:hint="eastAsia" w:ascii="宋体" w:hAnsi="宋体" w:eastAsia="宋体" w:cs="宋体"/>
          <w:sz w:val="24"/>
          <w:lang w:val="en-GB"/>
        </w:rPr>
        <w:t>维修地点、地址、联系电话及技术服务人员（包括厂商认证工程师等人员）；</w:t>
      </w:r>
    </w:p>
    <w:p w14:paraId="570DAA6D">
      <w:pPr>
        <w:numPr>
          <w:ilvl w:val="0"/>
          <w:numId w:val="90"/>
        </w:numPr>
        <w:spacing w:line="360" w:lineRule="auto"/>
        <w:rPr>
          <w:rFonts w:ascii="宋体" w:hAnsi="宋体" w:eastAsia="宋体" w:cs="宋体"/>
          <w:sz w:val="24"/>
          <w:lang w:val="en-GB"/>
        </w:rPr>
      </w:pPr>
      <w:r>
        <w:rPr>
          <w:rFonts w:hint="eastAsia" w:ascii="宋体" w:hAnsi="宋体" w:eastAsia="宋体" w:cs="宋体"/>
          <w:sz w:val="24"/>
          <w:lang w:val="en-GB"/>
        </w:rPr>
        <w:t>服务响应时间；</w:t>
      </w:r>
    </w:p>
    <w:p w14:paraId="354AF625">
      <w:pPr>
        <w:numPr>
          <w:ilvl w:val="0"/>
          <w:numId w:val="90"/>
        </w:numPr>
        <w:spacing w:line="360" w:lineRule="auto"/>
        <w:rPr>
          <w:rFonts w:ascii="宋体" w:hAnsi="宋体" w:eastAsia="宋体" w:cs="宋体"/>
          <w:sz w:val="24"/>
          <w:lang w:val="en-GB"/>
        </w:rPr>
      </w:pPr>
      <w:r>
        <w:rPr>
          <w:rFonts w:hint="eastAsia" w:ascii="宋体" w:hAnsi="宋体" w:eastAsia="宋体" w:cs="宋体"/>
          <w:sz w:val="24"/>
        </w:rPr>
        <w:t>完善的售后服务体系等内容；</w:t>
      </w:r>
    </w:p>
    <w:p w14:paraId="74F22491">
      <w:pPr>
        <w:numPr>
          <w:ilvl w:val="0"/>
          <w:numId w:val="90"/>
        </w:numPr>
        <w:spacing w:line="360" w:lineRule="auto"/>
        <w:rPr>
          <w:rFonts w:ascii="宋体" w:hAnsi="宋体" w:eastAsia="宋体" w:cs="宋体"/>
          <w:sz w:val="24"/>
          <w:lang w:val="en-GB"/>
        </w:rPr>
      </w:pPr>
      <w:r>
        <w:rPr>
          <w:rFonts w:hint="eastAsia" w:ascii="宋体" w:hAnsi="宋体" w:eastAsia="宋体" w:cs="宋体"/>
          <w:sz w:val="24"/>
          <w:lang w:val="en-GB"/>
        </w:rPr>
        <w:t>其它服务承诺。</w:t>
      </w:r>
    </w:p>
    <w:p w14:paraId="58DFD16D">
      <w:pPr>
        <w:spacing w:line="360" w:lineRule="auto"/>
        <w:rPr>
          <w:rFonts w:ascii="宋体" w:hAnsi="宋体" w:eastAsia="宋体" w:cs="宋体"/>
          <w:sz w:val="24"/>
        </w:rPr>
      </w:pPr>
    </w:p>
    <w:p w14:paraId="06D888C2"/>
    <w:p w14:paraId="2A8DC9AE"/>
    <w:p w14:paraId="185B459E"/>
    <w:p w14:paraId="2B6D6567"/>
    <w:p w14:paraId="78646395"/>
    <w:p w14:paraId="05D261D1">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2193A665">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516A5AD8">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p w14:paraId="4CCBD976">
      <w:pPr>
        <w:spacing w:before="72" w:after="72" w:line="400" w:lineRule="exact"/>
        <w:rPr>
          <w:rFonts w:eastAsia="仿宋_GB2312"/>
        </w:rPr>
      </w:pPr>
    </w:p>
    <w:p w14:paraId="6907CBBC"/>
    <w:p w14:paraId="65960D24"/>
    <w:p w14:paraId="304F9E3C"/>
    <w:p w14:paraId="54B41FCB"/>
    <w:p w14:paraId="114EFCCD"/>
    <w:p w14:paraId="46F6C8D6"/>
    <w:p w14:paraId="6D8B372D"/>
    <w:p w14:paraId="3B0D450E"/>
    <w:p w14:paraId="5ABAE040"/>
    <w:p w14:paraId="664AB60F"/>
    <w:p w14:paraId="7258A985"/>
    <w:p w14:paraId="271489FB"/>
    <w:p w14:paraId="1F663BDD"/>
    <w:p w14:paraId="5C0501ED"/>
    <w:p w14:paraId="759B1379"/>
    <w:p w14:paraId="1F2BA058"/>
    <w:p w14:paraId="558BF2D1"/>
    <w:p w14:paraId="2BECC258"/>
    <w:p w14:paraId="457EA9A9"/>
    <w:p w14:paraId="0CDBAE54"/>
    <w:p w14:paraId="07639963"/>
    <w:p w14:paraId="4766A220">
      <w:bookmarkStart w:id="338" w:name="_Toc381489443"/>
    </w:p>
    <w:p w14:paraId="1926E751">
      <w:pPr>
        <w:pStyle w:val="3"/>
        <w:jc w:val="center"/>
        <w:rPr>
          <w:sz w:val="44"/>
          <w:szCs w:val="44"/>
        </w:rPr>
      </w:pPr>
      <w:bookmarkStart w:id="339" w:name="_Toc2096"/>
      <w:bookmarkStart w:id="340" w:name="_Toc423021973"/>
      <w:bookmarkStart w:id="341" w:name="_Toc7454"/>
      <w:bookmarkStart w:id="342" w:name="_Toc30925"/>
      <w:r>
        <w:rPr>
          <w:sz w:val="44"/>
          <w:szCs w:val="44"/>
        </w:rPr>
        <w:t>第</w:t>
      </w:r>
      <w:r>
        <w:rPr>
          <w:rFonts w:hint="eastAsia"/>
          <w:sz w:val="44"/>
          <w:szCs w:val="44"/>
        </w:rPr>
        <w:t>三</w:t>
      </w:r>
      <w:r>
        <w:rPr>
          <w:sz w:val="44"/>
          <w:szCs w:val="44"/>
        </w:rPr>
        <w:t xml:space="preserve">部分 </w:t>
      </w:r>
      <w:r>
        <w:rPr>
          <w:rFonts w:hint="eastAsia"/>
          <w:sz w:val="44"/>
          <w:szCs w:val="44"/>
        </w:rPr>
        <w:t>技术</w:t>
      </w:r>
      <w:r>
        <w:rPr>
          <w:sz w:val="44"/>
          <w:szCs w:val="44"/>
        </w:rPr>
        <w:t>文件</w:t>
      </w:r>
      <w:bookmarkEnd w:id="338"/>
      <w:bookmarkEnd w:id="339"/>
      <w:bookmarkEnd w:id="340"/>
      <w:bookmarkEnd w:id="341"/>
      <w:bookmarkEnd w:id="342"/>
    </w:p>
    <w:p w14:paraId="48F215FA"/>
    <w:p w14:paraId="361802C5">
      <w:pPr>
        <w:pStyle w:val="4"/>
        <w:jc w:val="center"/>
        <w:sectPr>
          <w:pgSz w:w="11905" w:h="16838"/>
          <w:pgMar w:top="1440" w:right="1440" w:bottom="1440" w:left="1440" w:header="850" w:footer="822" w:gutter="0"/>
          <w:cols w:space="0" w:num="1"/>
          <w:docGrid w:linePitch="312" w:charSpace="0"/>
        </w:sectPr>
      </w:pPr>
      <w:bookmarkStart w:id="343" w:name="_Toc381489444"/>
      <w:bookmarkStart w:id="344" w:name="_Toc423021974"/>
    </w:p>
    <w:bookmarkEnd w:id="343"/>
    <w:bookmarkEnd w:id="344"/>
    <w:p w14:paraId="584CD434">
      <w:pPr>
        <w:pStyle w:val="4"/>
        <w:numPr>
          <w:ilvl w:val="0"/>
          <w:numId w:val="91"/>
        </w:numPr>
        <w:jc w:val="center"/>
      </w:pPr>
      <w:bookmarkStart w:id="345" w:name="_Toc7785"/>
      <w:bookmarkStart w:id="346" w:name="_Toc13911"/>
      <w:bookmarkStart w:id="347" w:name="_Toc196294636"/>
      <w:r>
        <w:rPr>
          <w:rFonts w:hint="eastAsia"/>
        </w:rPr>
        <w:t>用户需求书条款响应表</w:t>
      </w:r>
      <w:bookmarkEnd w:id="345"/>
      <w:bookmarkEnd w:id="346"/>
    </w:p>
    <w:tbl>
      <w:tblPr>
        <w:tblStyle w:val="2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589"/>
        <w:gridCol w:w="3360"/>
        <w:gridCol w:w="2284"/>
      </w:tblGrid>
      <w:tr w14:paraId="35B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35" w:type="dxa"/>
            <w:shd w:val="clear" w:color="auto" w:fill="E6E6E6"/>
            <w:vAlign w:val="center"/>
          </w:tcPr>
          <w:p w14:paraId="019CA6D3">
            <w:pPr>
              <w:spacing w:before="72" w:after="72" w:line="360" w:lineRule="auto"/>
              <w:rPr>
                <w:rFonts w:ascii="宋体" w:hAnsi="宋体" w:eastAsia="宋体" w:cs="宋体"/>
                <w:b/>
                <w:sz w:val="24"/>
              </w:rPr>
            </w:pPr>
            <w:r>
              <w:rPr>
                <w:rFonts w:hint="eastAsia" w:ascii="宋体" w:hAnsi="宋体" w:eastAsia="宋体" w:cs="宋体"/>
                <w:b/>
                <w:sz w:val="24"/>
              </w:rPr>
              <w:t>序号</w:t>
            </w:r>
          </w:p>
        </w:tc>
        <w:tc>
          <w:tcPr>
            <w:tcW w:w="2589" w:type="dxa"/>
            <w:shd w:val="clear" w:color="auto" w:fill="E6E6E6"/>
            <w:vAlign w:val="center"/>
          </w:tcPr>
          <w:p w14:paraId="228DDDE2">
            <w:pPr>
              <w:spacing w:before="72" w:after="72"/>
              <w:jc w:val="center"/>
              <w:rPr>
                <w:rFonts w:ascii="宋体" w:hAnsi="宋体" w:eastAsia="宋体" w:cs="宋体"/>
                <w:b/>
                <w:sz w:val="24"/>
              </w:rPr>
            </w:pPr>
            <w:r>
              <w:rPr>
                <w:rFonts w:hint="eastAsia" w:ascii="宋体" w:hAnsi="宋体" w:eastAsia="宋体" w:cs="宋体"/>
                <w:b/>
                <w:sz w:val="24"/>
              </w:rPr>
              <w:t>招标文件要求</w:t>
            </w:r>
          </w:p>
        </w:tc>
        <w:tc>
          <w:tcPr>
            <w:tcW w:w="3360" w:type="dxa"/>
            <w:shd w:val="clear" w:color="auto" w:fill="E6E6E6"/>
            <w:vAlign w:val="center"/>
          </w:tcPr>
          <w:p w14:paraId="5EE7AA35">
            <w:pPr>
              <w:spacing w:before="72" w:after="72"/>
              <w:jc w:val="center"/>
              <w:rPr>
                <w:rFonts w:ascii="宋体" w:hAnsi="宋体" w:eastAsia="宋体" w:cs="宋体"/>
                <w:b/>
                <w:sz w:val="24"/>
              </w:rPr>
            </w:pPr>
            <w:r>
              <w:rPr>
                <w:rFonts w:hint="eastAsia" w:ascii="宋体" w:hAnsi="宋体" w:eastAsia="宋体" w:cs="宋体"/>
                <w:b/>
                <w:sz w:val="24"/>
              </w:rPr>
              <w:t>投标人响应描述</w:t>
            </w:r>
          </w:p>
        </w:tc>
        <w:tc>
          <w:tcPr>
            <w:tcW w:w="2284" w:type="dxa"/>
            <w:shd w:val="clear" w:color="auto" w:fill="E6E6E6"/>
            <w:vAlign w:val="center"/>
          </w:tcPr>
          <w:p w14:paraId="5A9A61EE">
            <w:pPr>
              <w:spacing w:before="72" w:after="72"/>
              <w:jc w:val="center"/>
              <w:rPr>
                <w:rFonts w:ascii="宋体" w:hAnsi="宋体" w:eastAsia="宋体" w:cs="宋体"/>
                <w:b/>
                <w:sz w:val="24"/>
              </w:rPr>
            </w:pPr>
            <w:r>
              <w:rPr>
                <w:rFonts w:hint="eastAsia" w:ascii="宋体" w:hAnsi="宋体" w:eastAsia="宋体" w:cs="宋体"/>
                <w:b/>
                <w:sz w:val="24"/>
              </w:rPr>
              <w:t>偏离情况说明（无偏离/正偏离/负偏离）</w:t>
            </w:r>
          </w:p>
        </w:tc>
      </w:tr>
      <w:tr w14:paraId="0F65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4AD0AD07">
            <w:pPr>
              <w:spacing w:before="72" w:after="72"/>
              <w:jc w:val="center"/>
              <w:rPr>
                <w:rFonts w:ascii="宋体" w:hAnsi="宋体" w:eastAsia="宋体" w:cs="宋体"/>
                <w:sz w:val="24"/>
              </w:rPr>
            </w:pPr>
            <w:r>
              <w:rPr>
                <w:rFonts w:hint="eastAsia" w:ascii="宋体" w:hAnsi="宋体" w:eastAsia="宋体" w:cs="宋体"/>
                <w:sz w:val="24"/>
              </w:rPr>
              <w:t>1</w:t>
            </w:r>
          </w:p>
        </w:tc>
        <w:tc>
          <w:tcPr>
            <w:tcW w:w="2589" w:type="dxa"/>
          </w:tcPr>
          <w:p w14:paraId="1736DD7E">
            <w:pPr>
              <w:spacing w:before="72" w:after="72"/>
              <w:jc w:val="center"/>
              <w:rPr>
                <w:rFonts w:ascii="宋体" w:hAnsi="宋体" w:eastAsia="宋体" w:cs="宋体"/>
                <w:sz w:val="24"/>
              </w:rPr>
            </w:pPr>
          </w:p>
        </w:tc>
        <w:tc>
          <w:tcPr>
            <w:tcW w:w="3360" w:type="dxa"/>
          </w:tcPr>
          <w:p w14:paraId="2A947038">
            <w:pPr>
              <w:spacing w:before="72" w:after="72"/>
              <w:rPr>
                <w:rFonts w:ascii="宋体" w:hAnsi="宋体" w:eastAsia="宋体" w:cs="宋体"/>
                <w:sz w:val="24"/>
              </w:rPr>
            </w:pPr>
          </w:p>
        </w:tc>
        <w:tc>
          <w:tcPr>
            <w:tcW w:w="2284" w:type="dxa"/>
          </w:tcPr>
          <w:p w14:paraId="7AE7B92D">
            <w:pPr>
              <w:spacing w:before="72" w:after="72"/>
              <w:rPr>
                <w:rFonts w:ascii="宋体" w:hAnsi="宋体" w:eastAsia="宋体" w:cs="宋体"/>
                <w:sz w:val="24"/>
              </w:rPr>
            </w:pPr>
          </w:p>
        </w:tc>
      </w:tr>
      <w:tr w14:paraId="3748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416B2F95">
            <w:pPr>
              <w:spacing w:before="72" w:after="72"/>
              <w:jc w:val="center"/>
              <w:rPr>
                <w:rFonts w:ascii="宋体" w:hAnsi="宋体" w:eastAsia="宋体" w:cs="宋体"/>
                <w:sz w:val="24"/>
              </w:rPr>
            </w:pPr>
            <w:r>
              <w:rPr>
                <w:rFonts w:hint="eastAsia" w:ascii="宋体" w:hAnsi="宋体" w:eastAsia="宋体" w:cs="宋体"/>
                <w:sz w:val="24"/>
              </w:rPr>
              <w:t>2</w:t>
            </w:r>
          </w:p>
        </w:tc>
        <w:tc>
          <w:tcPr>
            <w:tcW w:w="2589" w:type="dxa"/>
          </w:tcPr>
          <w:p w14:paraId="6DC2D784">
            <w:pPr>
              <w:spacing w:before="72" w:after="72"/>
              <w:jc w:val="center"/>
              <w:rPr>
                <w:rFonts w:ascii="宋体" w:hAnsi="宋体" w:eastAsia="宋体" w:cs="宋体"/>
                <w:sz w:val="24"/>
              </w:rPr>
            </w:pPr>
          </w:p>
        </w:tc>
        <w:tc>
          <w:tcPr>
            <w:tcW w:w="3360" w:type="dxa"/>
          </w:tcPr>
          <w:p w14:paraId="3AAE3D00">
            <w:pPr>
              <w:spacing w:before="72" w:after="72"/>
              <w:rPr>
                <w:rFonts w:ascii="宋体" w:hAnsi="宋体" w:eastAsia="宋体" w:cs="宋体"/>
                <w:sz w:val="24"/>
              </w:rPr>
            </w:pPr>
          </w:p>
        </w:tc>
        <w:tc>
          <w:tcPr>
            <w:tcW w:w="2284" w:type="dxa"/>
          </w:tcPr>
          <w:p w14:paraId="09AB63ED">
            <w:pPr>
              <w:spacing w:before="72" w:after="72"/>
              <w:rPr>
                <w:rFonts w:ascii="宋体" w:hAnsi="宋体" w:eastAsia="宋体" w:cs="宋体"/>
                <w:sz w:val="24"/>
              </w:rPr>
            </w:pPr>
          </w:p>
        </w:tc>
      </w:tr>
      <w:tr w14:paraId="149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16C7784F">
            <w:pPr>
              <w:spacing w:before="72" w:after="72"/>
              <w:jc w:val="center"/>
              <w:rPr>
                <w:rFonts w:ascii="宋体" w:hAnsi="宋体" w:eastAsia="宋体" w:cs="宋体"/>
                <w:sz w:val="24"/>
              </w:rPr>
            </w:pPr>
            <w:r>
              <w:rPr>
                <w:rFonts w:hint="eastAsia" w:ascii="宋体" w:hAnsi="宋体" w:eastAsia="宋体" w:cs="宋体"/>
                <w:sz w:val="24"/>
              </w:rPr>
              <w:t>3</w:t>
            </w:r>
          </w:p>
        </w:tc>
        <w:tc>
          <w:tcPr>
            <w:tcW w:w="2589" w:type="dxa"/>
          </w:tcPr>
          <w:p w14:paraId="757787E8">
            <w:pPr>
              <w:spacing w:before="72" w:after="72"/>
              <w:jc w:val="center"/>
              <w:rPr>
                <w:rFonts w:ascii="宋体" w:hAnsi="宋体" w:eastAsia="宋体" w:cs="宋体"/>
                <w:sz w:val="24"/>
              </w:rPr>
            </w:pPr>
          </w:p>
        </w:tc>
        <w:tc>
          <w:tcPr>
            <w:tcW w:w="3360" w:type="dxa"/>
          </w:tcPr>
          <w:p w14:paraId="391FEB1A">
            <w:pPr>
              <w:spacing w:before="72" w:after="72"/>
              <w:rPr>
                <w:rFonts w:ascii="宋体" w:hAnsi="宋体" w:eastAsia="宋体" w:cs="宋体"/>
                <w:sz w:val="24"/>
              </w:rPr>
            </w:pPr>
          </w:p>
        </w:tc>
        <w:tc>
          <w:tcPr>
            <w:tcW w:w="2284" w:type="dxa"/>
          </w:tcPr>
          <w:p w14:paraId="0EA7C089">
            <w:pPr>
              <w:spacing w:before="72" w:after="72"/>
              <w:rPr>
                <w:rFonts w:ascii="宋体" w:hAnsi="宋体" w:eastAsia="宋体" w:cs="宋体"/>
                <w:sz w:val="24"/>
              </w:rPr>
            </w:pPr>
          </w:p>
        </w:tc>
      </w:tr>
      <w:tr w14:paraId="19E5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49A64842">
            <w:pPr>
              <w:spacing w:before="72" w:after="72"/>
              <w:jc w:val="center"/>
              <w:rPr>
                <w:rFonts w:ascii="宋体" w:hAnsi="宋体" w:eastAsia="宋体" w:cs="宋体"/>
                <w:sz w:val="24"/>
              </w:rPr>
            </w:pPr>
            <w:r>
              <w:rPr>
                <w:rFonts w:hint="eastAsia" w:ascii="宋体" w:hAnsi="宋体" w:eastAsia="宋体" w:cs="宋体"/>
                <w:sz w:val="24"/>
              </w:rPr>
              <w:t>4</w:t>
            </w:r>
          </w:p>
        </w:tc>
        <w:tc>
          <w:tcPr>
            <w:tcW w:w="2589" w:type="dxa"/>
          </w:tcPr>
          <w:p w14:paraId="1BB3B83C">
            <w:pPr>
              <w:spacing w:before="72" w:after="72"/>
              <w:jc w:val="center"/>
              <w:rPr>
                <w:rFonts w:ascii="宋体" w:hAnsi="宋体" w:eastAsia="宋体" w:cs="宋体"/>
                <w:sz w:val="24"/>
              </w:rPr>
            </w:pPr>
          </w:p>
        </w:tc>
        <w:tc>
          <w:tcPr>
            <w:tcW w:w="3360" w:type="dxa"/>
          </w:tcPr>
          <w:p w14:paraId="13F29B6E">
            <w:pPr>
              <w:spacing w:before="72" w:after="72"/>
              <w:rPr>
                <w:rFonts w:ascii="宋体" w:hAnsi="宋体" w:eastAsia="宋体" w:cs="宋体"/>
                <w:sz w:val="24"/>
              </w:rPr>
            </w:pPr>
          </w:p>
        </w:tc>
        <w:tc>
          <w:tcPr>
            <w:tcW w:w="2284" w:type="dxa"/>
          </w:tcPr>
          <w:p w14:paraId="07F251EF">
            <w:pPr>
              <w:spacing w:before="72" w:after="72"/>
              <w:rPr>
                <w:rFonts w:ascii="宋体" w:hAnsi="宋体" w:eastAsia="宋体" w:cs="宋体"/>
                <w:sz w:val="24"/>
              </w:rPr>
            </w:pPr>
          </w:p>
        </w:tc>
      </w:tr>
      <w:tr w14:paraId="61CD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09C36680">
            <w:pPr>
              <w:spacing w:before="72" w:after="72"/>
              <w:jc w:val="center"/>
              <w:rPr>
                <w:rFonts w:ascii="宋体" w:hAnsi="宋体" w:eastAsia="宋体" w:cs="宋体"/>
                <w:sz w:val="24"/>
              </w:rPr>
            </w:pPr>
            <w:r>
              <w:rPr>
                <w:rFonts w:hint="eastAsia" w:ascii="宋体" w:hAnsi="宋体" w:eastAsia="宋体" w:cs="宋体"/>
                <w:sz w:val="24"/>
              </w:rPr>
              <w:t>5</w:t>
            </w:r>
          </w:p>
        </w:tc>
        <w:tc>
          <w:tcPr>
            <w:tcW w:w="2589" w:type="dxa"/>
          </w:tcPr>
          <w:p w14:paraId="15579FD6">
            <w:pPr>
              <w:spacing w:before="72" w:after="72"/>
              <w:jc w:val="center"/>
              <w:rPr>
                <w:rFonts w:ascii="宋体" w:hAnsi="宋体" w:eastAsia="宋体" w:cs="宋体"/>
                <w:sz w:val="24"/>
              </w:rPr>
            </w:pPr>
          </w:p>
        </w:tc>
        <w:tc>
          <w:tcPr>
            <w:tcW w:w="3360" w:type="dxa"/>
          </w:tcPr>
          <w:p w14:paraId="7E2C225D">
            <w:pPr>
              <w:spacing w:before="72" w:after="72"/>
              <w:rPr>
                <w:rFonts w:ascii="宋体" w:hAnsi="宋体" w:eastAsia="宋体" w:cs="宋体"/>
                <w:sz w:val="24"/>
              </w:rPr>
            </w:pPr>
          </w:p>
        </w:tc>
        <w:tc>
          <w:tcPr>
            <w:tcW w:w="2284" w:type="dxa"/>
          </w:tcPr>
          <w:p w14:paraId="1186F073">
            <w:pPr>
              <w:spacing w:before="72" w:after="72"/>
              <w:rPr>
                <w:rFonts w:ascii="宋体" w:hAnsi="宋体" w:eastAsia="宋体" w:cs="宋体"/>
                <w:sz w:val="24"/>
              </w:rPr>
            </w:pPr>
          </w:p>
        </w:tc>
      </w:tr>
      <w:tr w14:paraId="4C36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6B95125F">
            <w:pPr>
              <w:spacing w:before="72" w:after="72"/>
              <w:jc w:val="center"/>
              <w:rPr>
                <w:rFonts w:ascii="宋体" w:hAnsi="宋体" w:eastAsia="宋体" w:cs="宋体"/>
                <w:sz w:val="24"/>
              </w:rPr>
            </w:pPr>
            <w:r>
              <w:rPr>
                <w:rFonts w:hint="eastAsia" w:ascii="宋体" w:hAnsi="宋体" w:eastAsia="宋体" w:cs="宋体"/>
                <w:sz w:val="24"/>
              </w:rPr>
              <w:t>6</w:t>
            </w:r>
          </w:p>
        </w:tc>
        <w:tc>
          <w:tcPr>
            <w:tcW w:w="2589" w:type="dxa"/>
          </w:tcPr>
          <w:p w14:paraId="08563F47">
            <w:pPr>
              <w:spacing w:before="72" w:after="72"/>
              <w:jc w:val="center"/>
              <w:rPr>
                <w:rFonts w:ascii="宋体" w:hAnsi="宋体" w:eastAsia="宋体" w:cs="宋体"/>
                <w:sz w:val="24"/>
              </w:rPr>
            </w:pPr>
          </w:p>
        </w:tc>
        <w:tc>
          <w:tcPr>
            <w:tcW w:w="3360" w:type="dxa"/>
          </w:tcPr>
          <w:p w14:paraId="3445A668">
            <w:pPr>
              <w:spacing w:before="72" w:after="72"/>
              <w:rPr>
                <w:rFonts w:ascii="宋体" w:hAnsi="宋体" w:eastAsia="宋体" w:cs="宋体"/>
                <w:sz w:val="24"/>
              </w:rPr>
            </w:pPr>
          </w:p>
        </w:tc>
        <w:tc>
          <w:tcPr>
            <w:tcW w:w="2284" w:type="dxa"/>
          </w:tcPr>
          <w:p w14:paraId="04EE5C73">
            <w:pPr>
              <w:spacing w:before="72" w:after="72"/>
              <w:rPr>
                <w:rFonts w:ascii="宋体" w:hAnsi="宋体" w:eastAsia="宋体" w:cs="宋体"/>
                <w:sz w:val="24"/>
              </w:rPr>
            </w:pPr>
          </w:p>
        </w:tc>
      </w:tr>
      <w:tr w14:paraId="29BB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5309B0A8">
            <w:pPr>
              <w:spacing w:before="72" w:after="72"/>
              <w:jc w:val="center"/>
              <w:rPr>
                <w:rFonts w:ascii="宋体" w:hAnsi="宋体" w:eastAsia="宋体" w:cs="宋体"/>
                <w:sz w:val="24"/>
              </w:rPr>
            </w:pPr>
            <w:r>
              <w:rPr>
                <w:rFonts w:hint="eastAsia" w:ascii="宋体" w:hAnsi="宋体" w:eastAsia="宋体" w:cs="宋体"/>
                <w:sz w:val="24"/>
              </w:rPr>
              <w:t>7</w:t>
            </w:r>
          </w:p>
        </w:tc>
        <w:tc>
          <w:tcPr>
            <w:tcW w:w="2589" w:type="dxa"/>
          </w:tcPr>
          <w:p w14:paraId="66C5BF0E">
            <w:pPr>
              <w:spacing w:before="72" w:after="72"/>
              <w:jc w:val="center"/>
              <w:rPr>
                <w:rFonts w:ascii="宋体" w:hAnsi="宋体" w:eastAsia="宋体" w:cs="宋体"/>
                <w:sz w:val="24"/>
              </w:rPr>
            </w:pPr>
          </w:p>
        </w:tc>
        <w:tc>
          <w:tcPr>
            <w:tcW w:w="3360" w:type="dxa"/>
          </w:tcPr>
          <w:p w14:paraId="36252464">
            <w:pPr>
              <w:spacing w:before="72" w:after="72"/>
              <w:rPr>
                <w:rFonts w:ascii="宋体" w:hAnsi="宋体" w:eastAsia="宋体" w:cs="宋体"/>
                <w:sz w:val="24"/>
              </w:rPr>
            </w:pPr>
          </w:p>
        </w:tc>
        <w:tc>
          <w:tcPr>
            <w:tcW w:w="2284" w:type="dxa"/>
          </w:tcPr>
          <w:p w14:paraId="1E8C6425">
            <w:pPr>
              <w:spacing w:before="72" w:after="72"/>
              <w:rPr>
                <w:rFonts w:ascii="宋体" w:hAnsi="宋体" w:eastAsia="宋体" w:cs="宋体"/>
                <w:sz w:val="24"/>
              </w:rPr>
            </w:pPr>
          </w:p>
        </w:tc>
      </w:tr>
      <w:tr w14:paraId="61C5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58E89AA8">
            <w:pPr>
              <w:spacing w:before="72" w:after="72"/>
              <w:jc w:val="center"/>
              <w:rPr>
                <w:rFonts w:ascii="宋体" w:hAnsi="宋体" w:eastAsia="宋体" w:cs="宋体"/>
                <w:sz w:val="24"/>
              </w:rPr>
            </w:pPr>
            <w:r>
              <w:rPr>
                <w:rFonts w:hint="eastAsia" w:ascii="宋体" w:hAnsi="宋体" w:eastAsia="宋体" w:cs="宋体"/>
                <w:sz w:val="24"/>
              </w:rPr>
              <w:t>8</w:t>
            </w:r>
          </w:p>
        </w:tc>
        <w:tc>
          <w:tcPr>
            <w:tcW w:w="2589" w:type="dxa"/>
          </w:tcPr>
          <w:p w14:paraId="7CD280CB">
            <w:pPr>
              <w:spacing w:before="72" w:after="72"/>
              <w:jc w:val="center"/>
              <w:rPr>
                <w:rFonts w:ascii="宋体" w:hAnsi="宋体" w:eastAsia="宋体" w:cs="宋体"/>
                <w:sz w:val="24"/>
              </w:rPr>
            </w:pPr>
          </w:p>
        </w:tc>
        <w:tc>
          <w:tcPr>
            <w:tcW w:w="3360" w:type="dxa"/>
          </w:tcPr>
          <w:p w14:paraId="140EACFF">
            <w:pPr>
              <w:spacing w:before="72" w:after="72"/>
              <w:rPr>
                <w:rFonts w:ascii="宋体" w:hAnsi="宋体" w:eastAsia="宋体" w:cs="宋体"/>
                <w:sz w:val="24"/>
              </w:rPr>
            </w:pPr>
          </w:p>
        </w:tc>
        <w:tc>
          <w:tcPr>
            <w:tcW w:w="2284" w:type="dxa"/>
          </w:tcPr>
          <w:p w14:paraId="3A61E92C">
            <w:pPr>
              <w:spacing w:before="72" w:after="72"/>
              <w:rPr>
                <w:rFonts w:ascii="宋体" w:hAnsi="宋体" w:eastAsia="宋体" w:cs="宋体"/>
                <w:sz w:val="24"/>
              </w:rPr>
            </w:pPr>
          </w:p>
        </w:tc>
      </w:tr>
      <w:tr w14:paraId="47EA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tcPr>
          <w:p w14:paraId="6B8650E8">
            <w:pPr>
              <w:spacing w:before="72" w:after="72"/>
              <w:jc w:val="center"/>
              <w:rPr>
                <w:rFonts w:ascii="宋体" w:hAnsi="宋体" w:eastAsia="宋体" w:cs="宋体"/>
                <w:sz w:val="24"/>
              </w:rPr>
            </w:pPr>
            <w:r>
              <w:rPr>
                <w:rFonts w:hint="eastAsia" w:ascii="宋体" w:hAnsi="宋体" w:eastAsia="宋体" w:cs="宋体"/>
                <w:sz w:val="24"/>
              </w:rPr>
              <w:t>…</w:t>
            </w:r>
          </w:p>
        </w:tc>
        <w:tc>
          <w:tcPr>
            <w:tcW w:w="2589" w:type="dxa"/>
          </w:tcPr>
          <w:p w14:paraId="0476A67A">
            <w:pPr>
              <w:spacing w:before="72" w:after="72"/>
              <w:jc w:val="center"/>
              <w:rPr>
                <w:rFonts w:ascii="宋体" w:hAnsi="宋体" w:eastAsia="宋体" w:cs="宋体"/>
                <w:sz w:val="24"/>
              </w:rPr>
            </w:pPr>
          </w:p>
        </w:tc>
        <w:tc>
          <w:tcPr>
            <w:tcW w:w="3360" w:type="dxa"/>
          </w:tcPr>
          <w:p w14:paraId="2C697C72">
            <w:pPr>
              <w:spacing w:before="72" w:after="72"/>
              <w:rPr>
                <w:rFonts w:ascii="宋体" w:hAnsi="宋体" w:eastAsia="宋体" w:cs="宋体"/>
                <w:sz w:val="24"/>
              </w:rPr>
            </w:pPr>
          </w:p>
        </w:tc>
        <w:tc>
          <w:tcPr>
            <w:tcW w:w="2284" w:type="dxa"/>
          </w:tcPr>
          <w:p w14:paraId="78F37C6F">
            <w:pPr>
              <w:spacing w:before="72" w:after="72"/>
              <w:rPr>
                <w:rFonts w:ascii="宋体" w:hAnsi="宋体" w:eastAsia="宋体" w:cs="宋体"/>
                <w:sz w:val="24"/>
              </w:rPr>
            </w:pPr>
          </w:p>
        </w:tc>
      </w:tr>
    </w:tbl>
    <w:p w14:paraId="1D76266F">
      <w:pPr>
        <w:spacing w:line="400" w:lineRule="exact"/>
        <w:rPr>
          <w:rFonts w:ascii="宋体" w:hAnsi="宋体" w:eastAsia="宋体" w:cs="宋体"/>
          <w:sz w:val="24"/>
        </w:rPr>
      </w:pPr>
      <w:r>
        <w:rPr>
          <w:rFonts w:hint="eastAsia" w:ascii="宋体" w:hAnsi="宋体" w:eastAsia="宋体" w:cs="宋体"/>
          <w:sz w:val="24"/>
        </w:rPr>
        <w:t>注：</w:t>
      </w:r>
    </w:p>
    <w:p w14:paraId="1838DA3C">
      <w:pPr>
        <w:numPr>
          <w:ilvl w:val="0"/>
          <w:numId w:val="92"/>
        </w:numPr>
        <w:adjustRightInd w:val="0"/>
        <w:snapToGrid w:val="0"/>
        <w:spacing w:line="360" w:lineRule="auto"/>
        <w:rPr>
          <w:rFonts w:ascii="宋体" w:hAnsi="宋体" w:eastAsia="宋体" w:cs="宋体"/>
          <w:sz w:val="24"/>
          <w:lang w:val="en-GB"/>
        </w:rPr>
      </w:pPr>
      <w:r>
        <w:rPr>
          <w:rFonts w:hint="eastAsia" w:ascii="宋体" w:hAnsi="宋体" w:eastAsia="宋体" w:cs="宋体"/>
          <w:sz w:val="24"/>
        </w:rPr>
        <w:t>投标人必须对应招标文件“用户需求书”中各条目号内容逐条响应。如有缺漏，缺漏项视同响应招标要求。</w:t>
      </w:r>
    </w:p>
    <w:p w14:paraId="7BDDEF00">
      <w:pPr>
        <w:numPr>
          <w:ilvl w:val="0"/>
          <w:numId w:val="92"/>
        </w:numPr>
        <w:adjustRightInd w:val="0"/>
        <w:snapToGrid w:val="0"/>
        <w:spacing w:line="360" w:lineRule="auto"/>
        <w:rPr>
          <w:rFonts w:ascii="宋体" w:hAnsi="宋体" w:eastAsia="宋体" w:cs="宋体"/>
          <w:sz w:val="24"/>
        </w:rPr>
      </w:pPr>
      <w:r>
        <w:rPr>
          <w:rFonts w:hint="eastAsia" w:ascii="宋体" w:hAnsi="宋体" w:eastAsia="宋体" w:cs="宋体"/>
          <w:sz w:val="24"/>
        </w:rPr>
        <w:t>投标人响应采购需求应具体、明确，含糊不清、不确切或伪造、变造证明材料的，按照不完全响应或者完全不响应处理。构成提供虚假材料的，移送监管部门查处。</w:t>
      </w:r>
    </w:p>
    <w:p w14:paraId="3C9A181D">
      <w:pPr>
        <w:numPr>
          <w:ilvl w:val="0"/>
          <w:numId w:val="92"/>
        </w:numPr>
        <w:adjustRightInd w:val="0"/>
        <w:snapToGrid w:val="0"/>
        <w:spacing w:line="360" w:lineRule="auto"/>
        <w:rPr>
          <w:rFonts w:ascii="宋体" w:hAnsi="宋体" w:eastAsia="宋体" w:cs="宋体"/>
          <w:sz w:val="24"/>
        </w:rPr>
      </w:pPr>
      <w:r>
        <w:rPr>
          <w:rFonts w:hint="eastAsia" w:ascii="宋体" w:hAnsi="宋体" w:eastAsia="宋体" w:cs="宋体"/>
          <w:sz w:val="24"/>
          <w:lang w:val="en-GB"/>
        </w:rPr>
        <w:t>本表内容不得擅自修改。</w:t>
      </w:r>
    </w:p>
    <w:p w14:paraId="5420C714">
      <w:pPr>
        <w:adjustRightInd w:val="0"/>
        <w:snapToGrid w:val="0"/>
        <w:spacing w:before="72" w:after="72" w:line="300" w:lineRule="auto"/>
        <w:rPr>
          <w:rFonts w:ascii="宋体" w:hAnsi="宋体" w:eastAsia="宋体" w:cs="宋体"/>
          <w:sz w:val="24"/>
        </w:rPr>
      </w:pPr>
    </w:p>
    <w:p w14:paraId="5AD8C7F0">
      <w:pPr>
        <w:adjustRightInd w:val="0"/>
        <w:snapToGrid w:val="0"/>
        <w:spacing w:before="72" w:after="72" w:line="300" w:lineRule="auto"/>
        <w:rPr>
          <w:rFonts w:ascii="宋体" w:hAnsi="宋体" w:eastAsia="宋体" w:cs="宋体"/>
          <w:sz w:val="24"/>
        </w:rPr>
      </w:pPr>
    </w:p>
    <w:p w14:paraId="76EC180E">
      <w:pPr>
        <w:adjustRightInd w:val="0"/>
        <w:snapToGrid w:val="0"/>
        <w:spacing w:before="72" w:after="72" w:line="480" w:lineRule="auto"/>
        <w:ind w:firstLine="3360" w:firstLineChars="1400"/>
        <w:rPr>
          <w:rFonts w:ascii="宋体" w:hAnsi="宋体" w:eastAsia="宋体" w:cs="宋体"/>
          <w:sz w:val="24"/>
        </w:rPr>
      </w:pPr>
      <w:bookmarkStart w:id="348" w:name="_Toc381489446"/>
      <w:r>
        <w:rPr>
          <w:rFonts w:hint="eastAsia" w:ascii="宋体" w:hAnsi="宋体" w:eastAsia="宋体" w:cs="宋体"/>
          <w:sz w:val="24"/>
        </w:rPr>
        <w:t>投标人名称（加盖公章）：</w:t>
      </w:r>
    </w:p>
    <w:p w14:paraId="5F80962A">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3F2B4D5E">
      <w:pPr>
        <w:adjustRightInd w:val="0"/>
        <w:snapToGrid w:val="0"/>
        <w:spacing w:before="72" w:after="72" w:line="480" w:lineRule="auto"/>
        <w:ind w:firstLine="3360" w:firstLineChars="1400"/>
        <w:rPr>
          <w:rFonts w:ascii="宋体" w:hAnsi="宋体" w:eastAsia="宋体" w:cs="宋体"/>
          <w:sz w:val="24"/>
        </w:rPr>
        <w:sectPr>
          <w:pgSz w:w="11905" w:h="16838"/>
          <w:pgMar w:top="1440" w:right="1440" w:bottom="1440" w:left="1440" w:header="850" w:footer="822" w:gutter="0"/>
          <w:cols w:space="0" w:num="1"/>
          <w:docGrid w:linePitch="312" w:charSpace="0"/>
        </w:sectPr>
      </w:pPr>
      <w:r>
        <w:rPr>
          <w:rFonts w:hint="eastAsia" w:ascii="宋体" w:hAnsi="宋体" w:eastAsia="宋体" w:cs="宋体"/>
          <w:sz w:val="24"/>
        </w:rPr>
        <w:t>日期：   年   月   日</w:t>
      </w:r>
    </w:p>
    <w:bookmarkEnd w:id="347"/>
    <w:bookmarkEnd w:id="348"/>
    <w:p w14:paraId="25F1C5DA">
      <w:pPr>
        <w:spacing w:before="72" w:after="72" w:line="400" w:lineRule="exact"/>
        <w:rPr>
          <w:rFonts w:eastAsia="仿宋_GB2312"/>
        </w:rPr>
      </w:pPr>
      <w:bookmarkStart w:id="349" w:name="_Toc168288376"/>
      <w:bookmarkStart w:id="350" w:name="_Toc169318448"/>
      <w:bookmarkStart w:id="351" w:name="_Toc182886670"/>
      <w:bookmarkStart w:id="352" w:name="_Toc50737294"/>
      <w:bookmarkStart w:id="353" w:name="_Toc52165078"/>
      <w:bookmarkStart w:id="354" w:name="_Toc50737326"/>
      <w:bookmarkStart w:id="355" w:name="_Toc50691030"/>
      <w:bookmarkStart w:id="356" w:name="_Toc50736474"/>
      <w:bookmarkStart w:id="357" w:name="_Toc183316730"/>
      <w:bookmarkStart w:id="358" w:name="_Toc168730818"/>
    </w:p>
    <w:p w14:paraId="74984021">
      <w:pPr>
        <w:spacing w:before="72" w:after="72" w:line="400" w:lineRule="exact"/>
        <w:rPr>
          <w:rFonts w:eastAsia="仿宋_GB2312"/>
        </w:rPr>
      </w:pPr>
    </w:p>
    <w:p w14:paraId="781B2D98">
      <w:pPr>
        <w:spacing w:before="72" w:after="72" w:line="400" w:lineRule="exact"/>
        <w:rPr>
          <w:rFonts w:eastAsia="仿宋_GB2312"/>
        </w:rPr>
      </w:pPr>
    </w:p>
    <w:p w14:paraId="1FA3D348">
      <w:pPr>
        <w:spacing w:before="72" w:after="72" w:line="400" w:lineRule="exact"/>
        <w:rPr>
          <w:rFonts w:eastAsia="仿宋_GB2312"/>
        </w:rPr>
      </w:pPr>
    </w:p>
    <w:p w14:paraId="1967C06E">
      <w:pPr>
        <w:spacing w:before="72" w:after="72" w:line="400" w:lineRule="exact"/>
        <w:rPr>
          <w:rFonts w:eastAsia="仿宋_GB2312"/>
        </w:rPr>
      </w:pPr>
    </w:p>
    <w:p w14:paraId="1431A21D">
      <w:pPr>
        <w:spacing w:before="72" w:after="72" w:line="400" w:lineRule="exact"/>
        <w:rPr>
          <w:rFonts w:eastAsia="仿宋_GB2312"/>
        </w:rPr>
      </w:pPr>
    </w:p>
    <w:p w14:paraId="29A12A6D">
      <w:pPr>
        <w:spacing w:before="72" w:after="72" w:line="400" w:lineRule="exact"/>
        <w:rPr>
          <w:rFonts w:eastAsia="仿宋_GB2312"/>
        </w:rPr>
      </w:pPr>
    </w:p>
    <w:p w14:paraId="36258812">
      <w:pPr>
        <w:spacing w:before="72" w:after="72" w:line="400" w:lineRule="exact"/>
        <w:rPr>
          <w:rFonts w:eastAsia="仿宋_GB2312"/>
        </w:rPr>
      </w:pPr>
    </w:p>
    <w:p w14:paraId="022A3F67">
      <w:pPr>
        <w:spacing w:before="72" w:after="72" w:line="400" w:lineRule="exact"/>
        <w:rPr>
          <w:rFonts w:eastAsia="仿宋_GB2312"/>
        </w:rPr>
      </w:pPr>
    </w:p>
    <w:p w14:paraId="3186FBBE">
      <w:pPr>
        <w:spacing w:before="72" w:after="72" w:line="400" w:lineRule="exact"/>
        <w:rPr>
          <w:rFonts w:eastAsia="仿宋_GB2312"/>
        </w:rPr>
      </w:pPr>
    </w:p>
    <w:p w14:paraId="5C0DFAA5">
      <w:pPr>
        <w:spacing w:before="72" w:after="72" w:line="400" w:lineRule="exact"/>
        <w:rPr>
          <w:rFonts w:eastAsia="仿宋_GB2312"/>
        </w:rPr>
      </w:pPr>
    </w:p>
    <w:p w14:paraId="0BB9A3C3">
      <w:pPr>
        <w:spacing w:before="72" w:after="72" w:line="400" w:lineRule="exact"/>
        <w:rPr>
          <w:rFonts w:eastAsia="仿宋_GB2312"/>
        </w:rPr>
      </w:pPr>
    </w:p>
    <w:p w14:paraId="2BDE06E5">
      <w:pPr>
        <w:spacing w:before="72" w:after="72" w:line="400" w:lineRule="exact"/>
        <w:rPr>
          <w:rFonts w:eastAsia="仿宋_GB2312"/>
        </w:rPr>
      </w:pPr>
    </w:p>
    <w:p w14:paraId="741B0DCF">
      <w:pPr>
        <w:pStyle w:val="3"/>
        <w:jc w:val="center"/>
        <w:rPr>
          <w:sz w:val="44"/>
          <w:szCs w:val="44"/>
        </w:rPr>
      </w:pPr>
      <w:bookmarkStart w:id="359" w:name="_Toc23678"/>
      <w:bookmarkStart w:id="360" w:name="_Toc5301"/>
      <w:bookmarkStart w:id="361" w:name="_Toc423021980"/>
      <w:bookmarkStart w:id="362" w:name="_Toc381489454"/>
      <w:bookmarkStart w:id="363" w:name="_Toc11275"/>
      <w:r>
        <w:rPr>
          <w:rFonts w:hint="eastAsia"/>
          <w:sz w:val="44"/>
          <w:szCs w:val="44"/>
        </w:rPr>
        <w:t xml:space="preserve">第四部分 </w:t>
      </w:r>
      <w:r>
        <w:rPr>
          <w:sz w:val="44"/>
          <w:szCs w:val="44"/>
        </w:rPr>
        <w:t>报价文件</w:t>
      </w:r>
      <w:bookmarkEnd w:id="359"/>
      <w:bookmarkEnd w:id="360"/>
      <w:bookmarkEnd w:id="361"/>
      <w:bookmarkEnd w:id="362"/>
      <w:bookmarkEnd w:id="363"/>
    </w:p>
    <w:p w14:paraId="43AA1DF5">
      <w:bookmarkStart w:id="364" w:name="_Toc196294653"/>
      <w:bookmarkStart w:id="365" w:name="_Toc196109464"/>
    </w:p>
    <w:p w14:paraId="5981DDBE"/>
    <w:p w14:paraId="5594A2FD">
      <w:pPr>
        <w:pStyle w:val="33"/>
        <w:spacing w:before="240" w:beforeLines="100" w:after="240" w:afterLines="100" w:line="360" w:lineRule="auto"/>
        <w:rPr>
          <w:rFonts w:ascii="Times New Roman" w:hAnsi="Times New Roman" w:eastAsia="宋体"/>
          <w:b/>
          <w:kern w:val="2"/>
          <w:szCs w:val="32"/>
        </w:rPr>
        <w:sectPr>
          <w:pgSz w:w="11905" w:h="16838"/>
          <w:pgMar w:top="1440" w:right="1440" w:bottom="1440" w:left="1440" w:header="850" w:footer="822" w:gutter="0"/>
          <w:cols w:space="0" w:num="1"/>
          <w:docGrid w:linePitch="312" w:charSpace="0"/>
        </w:sectPr>
      </w:pPr>
      <w:bookmarkStart w:id="366" w:name="_Toc196109463"/>
      <w:bookmarkStart w:id="367" w:name="_Toc423021981"/>
      <w:bookmarkStart w:id="368" w:name="_Toc381489455"/>
      <w:bookmarkStart w:id="369" w:name="_Toc196294652"/>
    </w:p>
    <w:bookmarkEnd w:id="366"/>
    <w:bookmarkEnd w:id="367"/>
    <w:bookmarkEnd w:id="368"/>
    <w:bookmarkEnd w:id="369"/>
    <w:p w14:paraId="55886B57">
      <w:pPr>
        <w:pStyle w:val="4"/>
        <w:numPr>
          <w:ilvl w:val="0"/>
          <w:numId w:val="93"/>
        </w:numPr>
        <w:jc w:val="center"/>
      </w:pPr>
      <w:bookmarkStart w:id="370" w:name="_Toc6096"/>
      <w:bookmarkStart w:id="371" w:name="_Toc22018"/>
      <w:r>
        <w:rPr>
          <w:rFonts w:hint="eastAsia"/>
        </w:rPr>
        <w:t>开标一览表</w:t>
      </w:r>
      <w:bookmarkEnd w:id="370"/>
      <w:bookmarkEnd w:id="371"/>
    </w:p>
    <w:p w14:paraId="2C936912">
      <w:pPr>
        <w:spacing w:before="72" w:after="72" w:line="360" w:lineRule="auto"/>
        <w:rPr>
          <w:rFonts w:ascii="宋体" w:hAnsi="宋体" w:eastAsia="宋体" w:cs="宋体"/>
          <w:sz w:val="24"/>
        </w:rPr>
      </w:pPr>
      <w:r>
        <w:rPr>
          <w:rFonts w:hint="eastAsia" w:ascii="宋体" w:hAnsi="宋体" w:eastAsia="宋体" w:cs="宋体"/>
          <w:sz w:val="24"/>
        </w:rPr>
        <w:t xml:space="preserve">项目名称：           </w:t>
      </w:r>
    </w:p>
    <w:p w14:paraId="12CF1755">
      <w:pPr>
        <w:spacing w:before="72" w:after="72" w:line="360" w:lineRule="auto"/>
        <w:rPr>
          <w:rFonts w:ascii="宋体" w:hAnsi="宋体" w:eastAsia="宋体" w:cs="宋体"/>
          <w:sz w:val="24"/>
        </w:rPr>
      </w:pPr>
      <w:r>
        <w:rPr>
          <w:rFonts w:hint="eastAsia" w:ascii="宋体" w:hAnsi="宋体" w:eastAsia="宋体" w:cs="宋体"/>
          <w:sz w:val="24"/>
        </w:rPr>
        <w:t>项目编号：</w:t>
      </w:r>
    </w:p>
    <w:tbl>
      <w:tblPr>
        <w:tblStyle w:val="24"/>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2125"/>
        <w:gridCol w:w="2772"/>
      </w:tblGrid>
      <w:tr w14:paraId="2001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584" w:type="dxa"/>
            <w:tcBorders>
              <w:top w:val="single" w:color="auto" w:sz="4" w:space="0"/>
              <w:left w:val="single" w:color="auto" w:sz="4" w:space="0"/>
              <w:right w:val="single" w:color="auto" w:sz="4" w:space="0"/>
            </w:tcBorders>
            <w:vAlign w:val="center"/>
          </w:tcPr>
          <w:p w14:paraId="5BCD1A86">
            <w:pPr>
              <w:adjustRightInd w:val="0"/>
              <w:snapToGrid w:val="0"/>
              <w:spacing w:line="440" w:lineRule="exact"/>
              <w:jc w:val="center"/>
              <w:rPr>
                <w:rFonts w:ascii="宋体" w:hAnsi="宋体"/>
                <w:b/>
                <w:color w:val="000000"/>
                <w:sz w:val="24"/>
              </w:rPr>
            </w:pPr>
            <w:r>
              <w:rPr>
                <w:rFonts w:hint="eastAsia" w:ascii="宋体" w:hAnsi="宋体"/>
                <w:b/>
                <w:color w:val="000000"/>
                <w:sz w:val="24"/>
              </w:rPr>
              <w:t>报价内容</w:t>
            </w:r>
          </w:p>
        </w:tc>
        <w:tc>
          <w:tcPr>
            <w:tcW w:w="2125" w:type="dxa"/>
            <w:tcBorders>
              <w:top w:val="single" w:color="auto" w:sz="4" w:space="0"/>
              <w:left w:val="single" w:color="auto" w:sz="4" w:space="0"/>
              <w:right w:val="single" w:color="auto" w:sz="4" w:space="0"/>
            </w:tcBorders>
            <w:vAlign w:val="center"/>
          </w:tcPr>
          <w:p w14:paraId="5BBDE1B3">
            <w:pPr>
              <w:adjustRightInd w:val="0"/>
              <w:snapToGrid w:val="0"/>
              <w:spacing w:line="440" w:lineRule="exact"/>
              <w:jc w:val="center"/>
              <w:rPr>
                <w:rFonts w:ascii="宋体" w:hAnsi="宋体"/>
                <w:b/>
                <w:color w:val="000000"/>
                <w:sz w:val="24"/>
              </w:rPr>
            </w:pPr>
            <w:r>
              <w:rPr>
                <w:rFonts w:hint="eastAsia" w:ascii="宋体" w:hAnsi="宋体"/>
                <w:b/>
                <w:color w:val="000000"/>
                <w:sz w:val="24"/>
              </w:rPr>
              <w:t>投标下浮率</w:t>
            </w:r>
          </w:p>
        </w:tc>
        <w:tc>
          <w:tcPr>
            <w:tcW w:w="2772" w:type="dxa"/>
            <w:tcBorders>
              <w:top w:val="single" w:color="auto" w:sz="4" w:space="0"/>
              <w:left w:val="single" w:color="auto" w:sz="4" w:space="0"/>
              <w:right w:val="single" w:color="auto" w:sz="4" w:space="0"/>
            </w:tcBorders>
            <w:vAlign w:val="center"/>
          </w:tcPr>
          <w:p w14:paraId="557A371D">
            <w:pPr>
              <w:spacing w:line="440" w:lineRule="exact"/>
              <w:jc w:val="center"/>
              <w:rPr>
                <w:rFonts w:ascii="宋体" w:hAnsi="宋体"/>
                <w:b/>
                <w:color w:val="000000"/>
                <w:sz w:val="24"/>
              </w:rPr>
            </w:pPr>
            <w:r>
              <w:rPr>
                <w:rFonts w:hint="eastAsia" w:ascii="宋体" w:hAnsi="宋体"/>
                <w:b/>
                <w:color w:val="000000"/>
                <w:sz w:val="24"/>
              </w:rPr>
              <w:t>服务期限</w:t>
            </w:r>
          </w:p>
        </w:tc>
      </w:tr>
      <w:tr w14:paraId="4BD5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 w:hRule="exact"/>
        </w:trPr>
        <w:tc>
          <w:tcPr>
            <w:tcW w:w="3584" w:type="dxa"/>
            <w:tcBorders>
              <w:top w:val="single" w:color="auto" w:sz="4" w:space="0"/>
              <w:left w:val="single" w:color="auto" w:sz="4" w:space="0"/>
              <w:right w:val="single" w:color="auto" w:sz="4" w:space="0"/>
            </w:tcBorders>
            <w:vAlign w:val="center"/>
          </w:tcPr>
          <w:p w14:paraId="18474486">
            <w:pPr>
              <w:spacing w:line="440" w:lineRule="exact"/>
              <w:jc w:val="center"/>
              <w:rPr>
                <w:rFonts w:ascii="宋体" w:hAnsi="宋体"/>
                <w:color w:val="000000"/>
                <w:sz w:val="24"/>
              </w:rPr>
            </w:pPr>
            <w:r>
              <w:rPr>
                <w:rFonts w:hint="eastAsia" w:ascii="宋体" w:hAnsi="宋体"/>
                <w:color w:val="000000"/>
                <w:sz w:val="24"/>
              </w:rPr>
              <w:t>广东省广裕集团英德工贸实业有限公司2024-2026年生产零配件、耗材定点采购项目</w:t>
            </w:r>
          </w:p>
        </w:tc>
        <w:tc>
          <w:tcPr>
            <w:tcW w:w="2125" w:type="dxa"/>
            <w:tcBorders>
              <w:top w:val="single" w:color="auto" w:sz="4" w:space="0"/>
              <w:left w:val="single" w:color="auto" w:sz="4" w:space="0"/>
              <w:bottom w:val="single" w:color="auto" w:sz="4" w:space="0"/>
              <w:right w:val="single" w:color="auto" w:sz="4" w:space="0"/>
            </w:tcBorders>
            <w:vAlign w:val="center"/>
          </w:tcPr>
          <w:p w14:paraId="2B52C0D2">
            <w:pPr>
              <w:widowControl/>
              <w:spacing w:line="440" w:lineRule="exact"/>
              <w:jc w:val="center"/>
              <w:rPr>
                <w:rFonts w:ascii="宋体" w:hAnsi="宋体"/>
                <w:sz w:val="24"/>
              </w:rPr>
            </w:pPr>
          </w:p>
        </w:tc>
        <w:tc>
          <w:tcPr>
            <w:tcW w:w="2772" w:type="dxa"/>
            <w:tcBorders>
              <w:top w:val="single" w:color="auto" w:sz="4" w:space="0"/>
              <w:left w:val="single" w:color="auto" w:sz="4" w:space="0"/>
              <w:right w:val="single" w:color="auto" w:sz="4" w:space="0"/>
            </w:tcBorders>
            <w:vAlign w:val="center"/>
          </w:tcPr>
          <w:p w14:paraId="645703C7">
            <w:pPr>
              <w:spacing w:line="440" w:lineRule="exact"/>
              <w:jc w:val="center"/>
              <w:rPr>
                <w:rFonts w:ascii="宋体" w:hAnsi="宋体"/>
                <w:color w:val="000000"/>
                <w:sz w:val="24"/>
              </w:rPr>
            </w:pPr>
            <w:r>
              <w:rPr>
                <w:rFonts w:hint="eastAsia" w:ascii="宋体" w:hAnsi="宋体" w:eastAsia="宋体" w:cs="Times New Roman"/>
                <w:sz w:val="24"/>
              </w:rPr>
              <w:t>自合同签订之日起2年</w:t>
            </w:r>
          </w:p>
        </w:tc>
      </w:tr>
    </w:tbl>
    <w:p w14:paraId="0BA521B9">
      <w:pPr>
        <w:spacing w:before="72" w:after="72" w:line="360" w:lineRule="auto"/>
        <w:ind w:left="720" w:hanging="720"/>
        <w:rPr>
          <w:rFonts w:ascii="宋体" w:hAnsi="宋体" w:eastAsia="宋体" w:cs="宋体"/>
          <w:bCs/>
          <w:sz w:val="24"/>
        </w:rPr>
      </w:pPr>
      <w:r>
        <w:rPr>
          <w:rFonts w:hint="eastAsia" w:ascii="宋体" w:hAnsi="宋体" w:eastAsia="宋体" w:cs="宋体"/>
          <w:bCs/>
          <w:sz w:val="24"/>
        </w:rPr>
        <w:t>注：</w:t>
      </w:r>
    </w:p>
    <w:p w14:paraId="009DD6F8">
      <w:pPr>
        <w:numPr>
          <w:ilvl w:val="0"/>
          <w:numId w:val="94"/>
        </w:numPr>
        <w:adjustRightInd w:val="0"/>
        <w:snapToGrid w:val="0"/>
        <w:spacing w:line="360" w:lineRule="auto"/>
        <w:rPr>
          <w:rFonts w:ascii="宋体" w:hAnsi="宋体" w:eastAsia="宋体" w:cs="宋体"/>
          <w:bCs/>
          <w:sz w:val="24"/>
        </w:rPr>
      </w:pPr>
      <w:r>
        <w:rPr>
          <w:rFonts w:hint="eastAsia" w:ascii="宋体" w:hAnsi="宋体" w:eastAsia="宋体" w:cs="宋体"/>
          <w:bCs/>
          <w:sz w:val="24"/>
        </w:rPr>
        <w:t>投标人须按要求填写所有信息，不得随意更改本表格式。</w:t>
      </w:r>
    </w:p>
    <w:p w14:paraId="4B167DCC">
      <w:pPr>
        <w:numPr>
          <w:ilvl w:val="0"/>
          <w:numId w:val="65"/>
        </w:numPr>
        <w:spacing w:line="360" w:lineRule="auto"/>
        <w:rPr>
          <w:rFonts w:ascii="宋体" w:hAnsi="宋体" w:eastAsia="宋体" w:cs="宋体"/>
          <w:sz w:val="24"/>
        </w:rPr>
      </w:pPr>
      <w:r>
        <w:rPr>
          <w:rFonts w:hint="eastAsia" w:ascii="宋体" w:hAnsi="宋体" w:eastAsia="宋体" w:cs="宋体"/>
          <w:bCs/>
          <w:sz w:val="24"/>
        </w:rPr>
        <w:t>报价要求：</w:t>
      </w:r>
      <w:r>
        <w:rPr>
          <w:rFonts w:hint="eastAsia" w:ascii="宋体" w:hAnsi="宋体" w:eastAsia="宋体" w:cs="宋体"/>
          <w:sz w:val="24"/>
          <w:lang w:val="zh-CN"/>
        </w:rPr>
        <w:t>报价</w:t>
      </w:r>
      <w:r>
        <w:rPr>
          <w:rFonts w:hint="eastAsia" w:ascii="宋体" w:hAnsi="宋体" w:eastAsia="宋体" w:cs="宋体"/>
          <w:sz w:val="24"/>
        </w:rPr>
        <w:t>不得超出正常的市场价范围，投标人依照需求表，对经常用零配件、非经常用零配件、设备维修服务三项内容，按统一的下浮率的形式进行报价（如下浮率为30%，则每项成交单价为：对应项目的最高限价*70%，单价四舍五入保留到小数点后二位，精确到分）。下浮率必须为固定报价，不接受区间报价（如80％～90％）、下浮率范围（0%≤下浮率＜100%），不能为负数。投标人除须报出统一的下浮率以外，还需提供下浮后的报价明细表【下浮后的单价报价=对应项目的最高限价*（1-报价下浮率）】。</w:t>
      </w:r>
    </w:p>
    <w:p w14:paraId="13AE0B64">
      <w:pPr>
        <w:numPr>
          <w:ilvl w:val="0"/>
          <w:numId w:val="65"/>
        </w:numPr>
        <w:spacing w:line="360" w:lineRule="auto"/>
        <w:rPr>
          <w:rFonts w:ascii="宋体" w:hAnsi="宋体" w:eastAsia="宋体" w:cs="宋体"/>
          <w:bCs/>
          <w:sz w:val="24"/>
        </w:rPr>
      </w:pPr>
      <w:r>
        <w:rPr>
          <w:rFonts w:hint="eastAsia" w:ascii="宋体" w:hAnsi="宋体" w:eastAsia="宋体" w:cs="宋体"/>
          <w:bCs/>
          <w:sz w:val="24"/>
        </w:rPr>
        <w:t>此表是投标文件的必要文件，是投标文件的组成部分，还应另附一份并与优惠声明（若有）封装在唱标信封中，作为唱标之用。</w:t>
      </w:r>
    </w:p>
    <w:p w14:paraId="5813C7F6">
      <w:pPr>
        <w:adjustRightInd w:val="0"/>
        <w:snapToGrid w:val="0"/>
        <w:spacing w:before="72" w:after="72" w:line="480" w:lineRule="auto"/>
        <w:ind w:firstLine="3578" w:firstLineChars="1491"/>
        <w:rPr>
          <w:rFonts w:ascii="宋体" w:hAnsi="宋体" w:eastAsia="宋体" w:cs="宋体"/>
          <w:sz w:val="24"/>
        </w:rPr>
      </w:pPr>
      <w:bookmarkStart w:id="372" w:name="_Toc381489457"/>
    </w:p>
    <w:p w14:paraId="65F8404A">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投标人名称（加盖公章）：</w:t>
      </w:r>
    </w:p>
    <w:p w14:paraId="75A97DA1">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投标人法定代表人或其授权代表（签字或盖章）：</w:t>
      </w:r>
    </w:p>
    <w:p w14:paraId="6FC97962">
      <w:pPr>
        <w:adjustRightInd w:val="0"/>
        <w:snapToGrid w:val="0"/>
        <w:spacing w:before="72" w:after="72" w:line="480" w:lineRule="auto"/>
        <w:ind w:firstLine="3360" w:firstLineChars="1400"/>
        <w:rPr>
          <w:rFonts w:ascii="宋体" w:hAnsi="宋体" w:eastAsia="宋体" w:cs="宋体"/>
          <w:sz w:val="24"/>
        </w:rPr>
      </w:pPr>
      <w:r>
        <w:rPr>
          <w:rFonts w:hint="eastAsia" w:ascii="宋体" w:hAnsi="宋体" w:eastAsia="宋体" w:cs="宋体"/>
          <w:sz w:val="24"/>
        </w:rPr>
        <w:t>日期：   年   月   日</w:t>
      </w:r>
      <w:bookmarkEnd w:id="349"/>
      <w:bookmarkEnd w:id="350"/>
      <w:bookmarkEnd w:id="351"/>
      <w:bookmarkEnd w:id="352"/>
      <w:bookmarkEnd w:id="353"/>
      <w:bookmarkEnd w:id="354"/>
      <w:bookmarkEnd w:id="355"/>
      <w:bookmarkEnd w:id="356"/>
      <w:bookmarkEnd w:id="357"/>
      <w:bookmarkEnd w:id="358"/>
      <w:bookmarkEnd w:id="364"/>
      <w:bookmarkEnd w:id="365"/>
      <w:bookmarkEnd w:id="372"/>
    </w:p>
    <w:p w14:paraId="4747B258">
      <w:pPr>
        <w:spacing w:before="72" w:after="72" w:line="360" w:lineRule="auto"/>
        <w:ind w:left="960" w:hanging="960"/>
        <w:rPr>
          <w:rFonts w:ascii="宋体" w:hAnsi="宋体" w:eastAsia="宋体" w:cs="宋体"/>
          <w:bCs/>
          <w:sz w:val="24"/>
        </w:rPr>
      </w:pPr>
    </w:p>
    <w:p w14:paraId="27081EA6">
      <w:pPr>
        <w:adjustRightInd w:val="0"/>
        <w:snapToGrid w:val="0"/>
        <w:spacing w:before="72" w:after="72" w:line="480" w:lineRule="auto"/>
        <w:ind w:firstLine="3578" w:firstLineChars="1491"/>
        <w:rPr>
          <w:rFonts w:ascii="宋体" w:hAnsi="宋体" w:eastAsia="宋体" w:cs="宋体"/>
          <w:sz w:val="24"/>
        </w:rPr>
      </w:pPr>
    </w:p>
    <w:sectPr>
      <w:pgSz w:w="11905" w:h="16838"/>
      <w:pgMar w:top="1440" w:right="1440" w:bottom="1440" w:left="1440" w:header="850" w:footer="82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6E2F">
    <w:pPr>
      <w:pBdr>
        <w:top w:val="single" w:color="auto" w:sz="4" w:space="0"/>
      </w:pBd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659264" behindDoc="0" locked="0" layoutInCell="1" allowOverlap="1">
              <wp:simplePos x="0" y="0"/>
              <wp:positionH relativeFrom="margin">
                <wp:posOffset>2903855</wp:posOffset>
              </wp:positionH>
              <wp:positionV relativeFrom="paragraph">
                <wp:posOffset>0</wp:posOffset>
              </wp:positionV>
              <wp:extent cx="1828800" cy="1828800"/>
              <wp:effectExtent l="0" t="0" r="0" b="317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78D1B6">
                          <w:pPr>
                            <w:snapToGrid w:val="0"/>
                            <w:rPr>
                              <w:rFonts w:asciiTheme="minorEastAsia" w:hAnsiTheme="minorEastAsia"/>
                              <w:szCs w:val="21"/>
                            </w:rPr>
                          </w:pPr>
                          <w:r>
                            <w:rPr>
                              <w:rFonts w:hint="eastAsia" w:asciiTheme="minorEastAsia" w:hAnsiTheme="minorEastAsia"/>
                              <w:szCs w:val="21"/>
                            </w:rPr>
                            <w:fldChar w:fldCharType="begin"/>
                          </w:r>
                          <w:r>
                            <w:rPr>
                              <w:rFonts w:hint="eastAsia" w:asciiTheme="minorEastAsia" w:hAnsiTheme="minorEastAsia"/>
                              <w:szCs w:val="21"/>
                            </w:rPr>
                            <w:instrText xml:space="preserve"> PAGE  \* MERGEFORMAT </w:instrText>
                          </w:r>
                          <w:r>
                            <w:rPr>
                              <w:rFonts w:hint="eastAsia" w:asciiTheme="minorEastAsia" w:hAnsiTheme="minorEastAsia"/>
                              <w:szCs w:val="21"/>
                            </w:rPr>
                            <w:fldChar w:fldCharType="separate"/>
                          </w:r>
                          <w:r>
                            <w:rPr>
                              <w:rFonts w:asciiTheme="minorEastAsia" w:hAnsiTheme="minorEastAsia"/>
                              <w:szCs w:val="21"/>
                            </w:rPr>
                            <w:t>63</w:t>
                          </w:r>
                          <w:r>
                            <w:rPr>
                              <w:rFonts w:hint="eastAsia" w:asciiTheme="minorEastAsia" w:hAnsiTheme="minorEastAsia"/>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8.65pt;margin-top:0pt;height:144pt;width:144pt;mso-position-horizontal-relative:margin;mso-wrap-style:none;z-index:251659264;mso-width-relative:page;mso-height-relative:page;" filled="f" stroked="f" coordsize="21600,21600" o:gfxdata="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DTW/9UAAAAIAQAADwAAAAAAAAABACAAAAAiAAAAZHJzL2Rvd25yZXYueG1sUEsB&#10;AhQAFAAAAAgAh07iQCssitUxAgAAZQQAAA4AAAAAAAAAAQAgAAAAJAEAAGRycy9lMm9Eb2MueG1s&#10;UEsFBgAAAAAGAAYAWQEAAMcFAAAAAA==&#10;">
              <v:fill on="f" focussize="0,0"/>
              <v:stroke on="f" weight="0.5pt"/>
              <v:imagedata o:title=""/>
              <o:lock v:ext="edit" aspectratio="f"/>
              <v:textbox inset="0mm,0mm,0mm,0mm" style="mso-fit-shape-to-text:t;">
                <w:txbxContent>
                  <w:p w14:paraId="7178D1B6">
                    <w:pPr>
                      <w:snapToGrid w:val="0"/>
                      <w:rPr>
                        <w:rFonts w:asciiTheme="minorEastAsia" w:hAnsiTheme="minorEastAsia"/>
                        <w:szCs w:val="21"/>
                      </w:rPr>
                    </w:pPr>
                    <w:r>
                      <w:rPr>
                        <w:rFonts w:hint="eastAsia" w:asciiTheme="minorEastAsia" w:hAnsiTheme="minorEastAsia"/>
                        <w:szCs w:val="21"/>
                      </w:rPr>
                      <w:fldChar w:fldCharType="begin"/>
                    </w:r>
                    <w:r>
                      <w:rPr>
                        <w:rFonts w:hint="eastAsia" w:asciiTheme="minorEastAsia" w:hAnsiTheme="minorEastAsia"/>
                        <w:szCs w:val="21"/>
                      </w:rPr>
                      <w:instrText xml:space="preserve"> PAGE  \* MERGEFORMAT </w:instrText>
                    </w:r>
                    <w:r>
                      <w:rPr>
                        <w:rFonts w:hint="eastAsia" w:asciiTheme="minorEastAsia" w:hAnsiTheme="minorEastAsia"/>
                        <w:szCs w:val="21"/>
                      </w:rPr>
                      <w:fldChar w:fldCharType="separate"/>
                    </w:r>
                    <w:r>
                      <w:rPr>
                        <w:rFonts w:asciiTheme="minorEastAsia" w:hAnsiTheme="minorEastAsia"/>
                        <w:szCs w:val="21"/>
                      </w:rPr>
                      <w:t>63</w:t>
                    </w:r>
                    <w:r>
                      <w:rPr>
                        <w:rFonts w:hint="eastAsia" w:asciiTheme="minorEastAsia" w:hAnsiTheme="minorEastAsia"/>
                        <w:szCs w:val="21"/>
                      </w:rPr>
                      <w:fldChar w:fldCharType="end"/>
                    </w:r>
                  </w:p>
                </w:txbxContent>
              </v:textbox>
            </v:shape>
          </w:pict>
        </mc:Fallback>
      </mc:AlternateContent>
    </w:r>
    <w:r>
      <w:rPr>
        <w:rFonts w:hint="eastAsia" w:asciiTheme="minorEastAsia" w:hAnsiTheme="minorEastAsia"/>
        <w:sz w:val="18"/>
        <w:szCs w:val="18"/>
      </w:rPr>
      <w:t xml:space="preserve">项目编号：1210-2440YDZB7768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A0D0">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02E3">
    <w:pPr>
      <w:pStyle w:val="16"/>
      <w:pBdr>
        <w:bottom w:val="single" w:color="auto" w:sz="4" w:space="0"/>
      </w:pBdr>
      <w:spacing w:before="72" w:after="72"/>
      <w:ind w:firstLine="540" w:firstLineChars="300"/>
      <w:jc w:val="right"/>
      <w:rPr>
        <w:rFonts w:asciiTheme="minorEastAsia" w:hAnsiTheme="minorEastAsia"/>
        <w:color w:val="FF0000"/>
        <w:lang w:val="zh-CN"/>
      </w:rPr>
    </w:pPr>
    <w:r>
      <w:rPr>
        <w:rFonts w:hint="eastAsia" w:asciiTheme="minorEastAsia" w:hAnsiTheme="minorEastAsia"/>
      </w:rPr>
      <w:t>广东省广裕集团英德工贸实业有限公司2024-2026年生产零配件、耗材定点采购项目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D6A4D"/>
    <w:multiLevelType w:val="singleLevel"/>
    <w:tmpl w:val="803D6A4D"/>
    <w:lvl w:ilvl="0" w:tentative="0">
      <w:start w:val="1"/>
      <w:numFmt w:val="decimal"/>
      <w:suff w:val="nothing"/>
      <w:lvlText w:val="%1、"/>
      <w:lvlJc w:val="left"/>
      <w:pPr>
        <w:ind w:left="0" w:firstLine="403"/>
      </w:pPr>
      <w:rPr>
        <w:rFonts w:hint="default"/>
      </w:rPr>
    </w:lvl>
  </w:abstractNum>
  <w:abstractNum w:abstractNumId="1">
    <w:nsid w:val="87AF9F44"/>
    <w:multiLevelType w:val="singleLevel"/>
    <w:tmpl w:val="87AF9F44"/>
    <w:lvl w:ilvl="0" w:tentative="0">
      <w:start w:val="1"/>
      <w:numFmt w:val="decimal"/>
      <w:suff w:val="nothing"/>
      <w:lvlText w:val="%1、"/>
      <w:lvlJc w:val="left"/>
      <w:pPr>
        <w:ind w:left="0" w:firstLine="403"/>
      </w:pPr>
      <w:rPr>
        <w:rFonts w:hint="default"/>
      </w:rPr>
    </w:lvl>
  </w:abstractNum>
  <w:abstractNum w:abstractNumId="2">
    <w:nsid w:val="882467DB"/>
    <w:multiLevelType w:val="singleLevel"/>
    <w:tmpl w:val="882467DB"/>
    <w:lvl w:ilvl="0" w:tentative="0">
      <w:start w:val="1"/>
      <w:numFmt w:val="decimal"/>
      <w:suff w:val="nothing"/>
      <w:lvlText w:val="%1、"/>
      <w:lvlJc w:val="left"/>
      <w:pPr>
        <w:ind w:left="-420" w:firstLine="420"/>
      </w:pPr>
      <w:rPr>
        <w:rFonts w:hint="default"/>
      </w:rPr>
    </w:lvl>
  </w:abstractNum>
  <w:abstractNum w:abstractNumId="3">
    <w:nsid w:val="98A50ED1"/>
    <w:multiLevelType w:val="singleLevel"/>
    <w:tmpl w:val="98A50ED1"/>
    <w:lvl w:ilvl="0" w:tentative="0">
      <w:start w:val="1"/>
      <w:numFmt w:val="decimal"/>
      <w:suff w:val="nothing"/>
      <w:lvlText w:val="（%1）"/>
      <w:lvlJc w:val="left"/>
      <w:pPr>
        <w:ind w:left="147" w:firstLine="420"/>
      </w:pPr>
      <w:rPr>
        <w:rFonts w:hint="default"/>
        <w:lang w:val="en-US"/>
      </w:rPr>
    </w:lvl>
  </w:abstractNum>
  <w:abstractNum w:abstractNumId="4">
    <w:nsid w:val="993C31DD"/>
    <w:multiLevelType w:val="multilevel"/>
    <w:tmpl w:val="993C31DD"/>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abstractNum w:abstractNumId="5">
    <w:nsid w:val="A830872F"/>
    <w:multiLevelType w:val="singleLevel"/>
    <w:tmpl w:val="A830872F"/>
    <w:lvl w:ilvl="0" w:tentative="0">
      <w:start w:val="1"/>
      <w:numFmt w:val="decimal"/>
      <w:suff w:val="nothing"/>
      <w:lvlText w:val="%1、"/>
      <w:lvlJc w:val="left"/>
      <w:pPr>
        <w:ind w:left="0" w:firstLine="403"/>
      </w:pPr>
      <w:rPr>
        <w:rFonts w:hint="default"/>
      </w:rPr>
    </w:lvl>
  </w:abstractNum>
  <w:abstractNum w:abstractNumId="6">
    <w:nsid w:val="AA98759D"/>
    <w:multiLevelType w:val="singleLevel"/>
    <w:tmpl w:val="AA98759D"/>
    <w:lvl w:ilvl="0" w:tentative="0">
      <w:start w:val="1"/>
      <w:numFmt w:val="decimal"/>
      <w:suff w:val="nothing"/>
      <w:lvlText w:val="%1、"/>
      <w:lvlJc w:val="left"/>
      <w:pPr>
        <w:ind w:left="0" w:firstLine="403"/>
      </w:pPr>
      <w:rPr>
        <w:rFonts w:hint="default"/>
      </w:rPr>
    </w:lvl>
  </w:abstractNum>
  <w:abstractNum w:abstractNumId="7">
    <w:nsid w:val="AC04343B"/>
    <w:multiLevelType w:val="singleLevel"/>
    <w:tmpl w:val="AC04343B"/>
    <w:lvl w:ilvl="0" w:tentative="0">
      <w:start w:val="1"/>
      <w:numFmt w:val="decimal"/>
      <w:suff w:val="nothing"/>
      <w:lvlText w:val="%1、"/>
      <w:lvlJc w:val="left"/>
      <w:pPr>
        <w:ind w:left="0" w:firstLine="403"/>
      </w:pPr>
      <w:rPr>
        <w:rFonts w:hint="default"/>
      </w:rPr>
    </w:lvl>
  </w:abstractNum>
  <w:abstractNum w:abstractNumId="8">
    <w:nsid w:val="C1D64207"/>
    <w:multiLevelType w:val="singleLevel"/>
    <w:tmpl w:val="C1D64207"/>
    <w:lvl w:ilvl="0" w:tentative="0">
      <w:start w:val="1"/>
      <w:numFmt w:val="decimal"/>
      <w:suff w:val="nothing"/>
      <w:lvlText w:val="%1、"/>
      <w:lvlJc w:val="left"/>
      <w:pPr>
        <w:ind w:left="0" w:firstLine="403"/>
      </w:pPr>
      <w:rPr>
        <w:rFonts w:hint="default"/>
      </w:rPr>
    </w:lvl>
  </w:abstractNum>
  <w:abstractNum w:abstractNumId="9">
    <w:nsid w:val="C71CC30C"/>
    <w:multiLevelType w:val="singleLevel"/>
    <w:tmpl w:val="C71CC30C"/>
    <w:lvl w:ilvl="0" w:tentative="0">
      <w:start w:val="1"/>
      <w:numFmt w:val="chineseCounting"/>
      <w:suff w:val="nothing"/>
      <w:lvlText w:val="（%1）"/>
      <w:lvlJc w:val="left"/>
      <w:pPr>
        <w:ind w:left="0" w:firstLine="420"/>
      </w:pPr>
      <w:rPr>
        <w:rFonts w:hint="eastAsia"/>
      </w:rPr>
    </w:lvl>
  </w:abstractNum>
  <w:abstractNum w:abstractNumId="10">
    <w:nsid w:val="D87BCA47"/>
    <w:multiLevelType w:val="singleLevel"/>
    <w:tmpl w:val="D87BCA47"/>
    <w:lvl w:ilvl="0" w:tentative="0">
      <w:start w:val="1"/>
      <w:numFmt w:val="decimal"/>
      <w:suff w:val="nothing"/>
      <w:lvlText w:val="%1、"/>
      <w:lvlJc w:val="left"/>
      <w:pPr>
        <w:ind w:left="0" w:firstLine="403"/>
      </w:pPr>
      <w:rPr>
        <w:rFonts w:hint="default"/>
      </w:rPr>
    </w:lvl>
  </w:abstractNum>
  <w:abstractNum w:abstractNumId="11">
    <w:nsid w:val="EA88DB7C"/>
    <w:multiLevelType w:val="singleLevel"/>
    <w:tmpl w:val="EA88DB7C"/>
    <w:lvl w:ilvl="0" w:tentative="0">
      <w:start w:val="1"/>
      <w:numFmt w:val="decimal"/>
      <w:suff w:val="nothing"/>
      <w:lvlText w:val="%1、"/>
      <w:lvlJc w:val="left"/>
      <w:pPr>
        <w:ind w:left="0" w:firstLine="403"/>
      </w:pPr>
      <w:rPr>
        <w:rFonts w:hint="default"/>
      </w:rPr>
    </w:lvl>
  </w:abstractNum>
  <w:abstractNum w:abstractNumId="12">
    <w:nsid w:val="EBEEC776"/>
    <w:multiLevelType w:val="multilevel"/>
    <w:tmpl w:val="EBEEC776"/>
    <w:lvl w:ilvl="0" w:tentative="0">
      <w:start w:val="1"/>
      <w:numFmt w:val="decimal"/>
      <w:lvlText w:val="4.1.%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Restart w:val="0"/>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EC534592"/>
    <w:multiLevelType w:val="multilevel"/>
    <w:tmpl w:val="EC534592"/>
    <w:lvl w:ilvl="0" w:tentative="0">
      <w:start w:val="1"/>
      <w:numFmt w:val="decimal"/>
      <w:lvlText w:val="%1."/>
      <w:lvlJc w:val="left"/>
      <w:pPr>
        <w:tabs>
          <w:tab w:val="left" w:pos="907"/>
        </w:tabs>
        <w:ind w:left="907" w:hanging="907"/>
      </w:pPr>
      <w:rPr>
        <w:rFonts w:hint="eastAsia"/>
        <w:b/>
      </w:rPr>
    </w:lvl>
    <w:lvl w:ilvl="1" w:tentative="0">
      <w:start w:val="1"/>
      <w:numFmt w:val="decimal"/>
      <w:lvlText w:val="  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F9B1E5BA"/>
    <w:multiLevelType w:val="singleLevel"/>
    <w:tmpl w:val="F9B1E5BA"/>
    <w:lvl w:ilvl="0" w:tentative="0">
      <w:start w:val="1"/>
      <w:numFmt w:val="decimal"/>
      <w:suff w:val="nothing"/>
      <w:lvlText w:val="%1、"/>
      <w:lvlJc w:val="left"/>
      <w:pPr>
        <w:ind w:left="0" w:firstLine="403"/>
      </w:pPr>
      <w:rPr>
        <w:rFonts w:hint="default"/>
      </w:rPr>
    </w:lvl>
  </w:abstractNum>
  <w:abstractNum w:abstractNumId="15">
    <w:nsid w:val="0000002A"/>
    <w:multiLevelType w:val="multilevel"/>
    <w:tmpl w:val="0000002A"/>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53"/>
    <w:multiLevelType w:val="singleLevel"/>
    <w:tmpl w:val="00000053"/>
    <w:lvl w:ilvl="0" w:tentative="0">
      <w:start w:val="1"/>
      <w:numFmt w:val="decimal"/>
      <w:suff w:val="nothing"/>
      <w:lvlText w:val="（%1）"/>
      <w:lvlJc w:val="left"/>
      <w:pPr>
        <w:tabs>
          <w:tab w:val="left" w:pos="0"/>
        </w:tabs>
        <w:ind w:left="0" w:firstLine="420"/>
      </w:pPr>
      <w:rPr>
        <w:rFonts w:hint="default"/>
        <w:b/>
      </w:rPr>
    </w:lvl>
  </w:abstractNum>
  <w:abstractNum w:abstractNumId="17">
    <w:nsid w:val="0BE5DBC7"/>
    <w:multiLevelType w:val="singleLevel"/>
    <w:tmpl w:val="0BE5DBC7"/>
    <w:lvl w:ilvl="0" w:tentative="0">
      <w:start w:val="1"/>
      <w:numFmt w:val="decimal"/>
      <w:suff w:val="nothing"/>
      <w:lvlText w:val="%1、"/>
      <w:lvlJc w:val="left"/>
      <w:pPr>
        <w:ind w:left="0" w:firstLine="403"/>
      </w:pPr>
      <w:rPr>
        <w:rFonts w:hint="default"/>
      </w:rPr>
    </w:lvl>
  </w:abstractNum>
  <w:abstractNum w:abstractNumId="18">
    <w:nsid w:val="0CA0CCE9"/>
    <w:multiLevelType w:val="singleLevel"/>
    <w:tmpl w:val="0CA0CCE9"/>
    <w:lvl w:ilvl="0" w:tentative="0">
      <w:start w:val="1"/>
      <w:numFmt w:val="decimal"/>
      <w:suff w:val="nothing"/>
      <w:lvlText w:val="%1、"/>
      <w:lvlJc w:val="left"/>
      <w:pPr>
        <w:ind w:left="0" w:firstLine="403"/>
      </w:pPr>
      <w:rPr>
        <w:rFonts w:hint="default"/>
      </w:rPr>
    </w:lvl>
  </w:abstractNum>
  <w:abstractNum w:abstractNumId="19">
    <w:nsid w:val="0FE74F7D"/>
    <w:multiLevelType w:val="multilevel"/>
    <w:tmpl w:val="0FE74F7D"/>
    <w:lvl w:ilvl="0" w:tentative="0">
      <w:start w:val="1"/>
      <w:numFmt w:val="decimal"/>
      <w:lvlText w:val="%1."/>
      <w:lvlJc w:val="left"/>
      <w:pPr>
        <w:tabs>
          <w:tab w:val="left" w:pos="709"/>
        </w:tabs>
        <w:ind w:left="709" w:hanging="709"/>
      </w:pPr>
      <w:rPr>
        <w:rFonts w:hint="eastAsia" w:ascii="Arial" w:hAnsi="Arial"/>
        <w:b w:val="0"/>
      </w:rPr>
    </w:lvl>
    <w:lvl w:ilvl="1" w:tentative="0">
      <w:start w:val="1"/>
      <w:numFmt w:val="decimal"/>
      <w:pStyle w:val="53"/>
      <w:isLgl/>
      <w:lvlText w:val="%1.%2"/>
      <w:lvlJc w:val="left"/>
      <w:pPr>
        <w:tabs>
          <w:tab w:val="left" w:pos="709"/>
        </w:tabs>
        <w:ind w:left="709" w:hanging="709"/>
      </w:pPr>
      <w:rPr>
        <w:rFonts w:hint="eastAsia" w:ascii="Arial" w:hAnsi="Arial"/>
        <w:b w:val="0"/>
      </w:rPr>
    </w:lvl>
    <w:lvl w:ilvl="2" w:tentative="0">
      <w:start w:val="1"/>
      <w:numFmt w:val="lowerLetter"/>
      <w:pStyle w:val="54"/>
      <w:lvlText w:val="(%3)"/>
      <w:lvlJc w:val="left"/>
      <w:pPr>
        <w:tabs>
          <w:tab w:val="left" w:pos="1443"/>
        </w:tabs>
        <w:ind w:left="1443" w:hanging="708"/>
      </w:pPr>
      <w:rPr>
        <w:rFonts w:hint="eastAsia" w:ascii="Arial" w:hAnsi="Arial"/>
        <w:b w:val="0"/>
      </w:rPr>
    </w:lvl>
    <w:lvl w:ilvl="3" w:tentative="0">
      <w:start w:val="1"/>
      <w:numFmt w:val="lowerRoman"/>
      <w:lvlText w:val="(%4)"/>
      <w:lvlJc w:val="left"/>
      <w:pPr>
        <w:tabs>
          <w:tab w:val="left" w:pos="2126"/>
        </w:tabs>
        <w:ind w:left="2126" w:hanging="709"/>
      </w:pPr>
      <w:rPr>
        <w:rFonts w:hint="eastAsia" w:ascii="Arial" w:hAnsi="Arial"/>
        <w:b w:val="0"/>
      </w:rPr>
    </w:lvl>
    <w:lvl w:ilvl="4" w:tentative="0">
      <w:start w:val="1"/>
      <w:numFmt w:val="decimal"/>
      <w:lvlText w:val="(%5)"/>
      <w:lvlJc w:val="left"/>
      <w:pPr>
        <w:tabs>
          <w:tab w:val="left" w:pos="2835"/>
        </w:tabs>
        <w:ind w:left="2835" w:hanging="709"/>
      </w:pPr>
      <w:rPr>
        <w:rFonts w:hint="eastAsia" w:ascii="Arial" w:hAnsi="Arial"/>
        <w:b w:val="0"/>
      </w:rPr>
    </w:lvl>
    <w:lvl w:ilvl="5" w:tentative="0">
      <w:start w:val="1"/>
      <w:numFmt w:val="lowerRoman"/>
      <w:lvlText w:val="(%6)"/>
      <w:lvlJc w:val="left"/>
      <w:pPr>
        <w:tabs>
          <w:tab w:val="left" w:pos="2160"/>
        </w:tabs>
        <w:ind w:left="2160" w:hanging="360"/>
      </w:pPr>
      <w:rPr>
        <w:rFonts w:hint="eastAsia"/>
      </w:rPr>
    </w:lvl>
    <w:lvl w:ilvl="6" w:tentative="0">
      <w:start w:val="1"/>
      <w:numFmt w:val="decimal"/>
      <w:lvlText w:val="%7."/>
      <w:lvlJc w:val="left"/>
      <w:pPr>
        <w:tabs>
          <w:tab w:val="left" w:pos="2520"/>
        </w:tabs>
        <w:ind w:left="2520" w:hanging="360"/>
      </w:pPr>
      <w:rPr>
        <w:rFonts w:hint="eastAsia"/>
      </w:rPr>
    </w:lvl>
    <w:lvl w:ilvl="7" w:tentative="0">
      <w:start w:val="1"/>
      <w:numFmt w:val="lowerLetter"/>
      <w:lvlText w:val="%8."/>
      <w:lvlJc w:val="left"/>
      <w:pPr>
        <w:tabs>
          <w:tab w:val="left" w:pos="2880"/>
        </w:tabs>
        <w:ind w:left="2880" w:hanging="360"/>
      </w:pPr>
      <w:rPr>
        <w:rFonts w:hint="eastAsia"/>
      </w:rPr>
    </w:lvl>
    <w:lvl w:ilvl="8" w:tentative="0">
      <w:start w:val="1"/>
      <w:numFmt w:val="lowerRoman"/>
      <w:lvlText w:val="%9."/>
      <w:lvlJc w:val="left"/>
      <w:pPr>
        <w:tabs>
          <w:tab w:val="left" w:pos="3240"/>
        </w:tabs>
        <w:ind w:left="3240" w:hanging="360"/>
      </w:pPr>
      <w:rPr>
        <w:rFonts w:hint="eastAsia"/>
      </w:rPr>
    </w:lvl>
  </w:abstractNum>
  <w:abstractNum w:abstractNumId="20">
    <w:nsid w:val="13D331A6"/>
    <w:multiLevelType w:val="multilevel"/>
    <w:tmpl w:val="13D331A6"/>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1">
    <w:nsid w:val="1EB52C76"/>
    <w:multiLevelType w:val="multilevel"/>
    <w:tmpl w:val="1EB52C7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57D3B16"/>
    <w:multiLevelType w:val="singleLevel"/>
    <w:tmpl w:val="257D3B16"/>
    <w:lvl w:ilvl="0" w:tentative="0">
      <w:start w:val="1"/>
      <w:numFmt w:val="decimal"/>
      <w:suff w:val="nothing"/>
      <w:lvlText w:val="%1、"/>
      <w:lvlJc w:val="left"/>
      <w:pPr>
        <w:ind w:left="0" w:firstLine="403"/>
      </w:pPr>
      <w:rPr>
        <w:rFonts w:hint="default"/>
      </w:rPr>
    </w:lvl>
  </w:abstractNum>
  <w:abstractNum w:abstractNumId="23">
    <w:nsid w:val="3D527F07"/>
    <w:multiLevelType w:val="singleLevel"/>
    <w:tmpl w:val="3D527F07"/>
    <w:lvl w:ilvl="0" w:tentative="0">
      <w:start w:val="1"/>
      <w:numFmt w:val="chineseCounting"/>
      <w:suff w:val="nothing"/>
      <w:lvlText w:val="%1、"/>
      <w:lvlJc w:val="left"/>
      <w:pPr>
        <w:ind w:left="0" w:firstLine="420"/>
      </w:pPr>
      <w:rPr>
        <w:rFonts w:hint="eastAsia"/>
      </w:rPr>
    </w:lvl>
  </w:abstractNum>
  <w:abstractNum w:abstractNumId="24">
    <w:nsid w:val="41C9E259"/>
    <w:multiLevelType w:val="singleLevel"/>
    <w:tmpl w:val="41C9E259"/>
    <w:lvl w:ilvl="0" w:tentative="0">
      <w:start w:val="1"/>
      <w:numFmt w:val="chineseCounting"/>
      <w:suff w:val="nothing"/>
      <w:lvlText w:val="（%1）"/>
      <w:lvlJc w:val="left"/>
      <w:pPr>
        <w:ind w:left="0" w:firstLine="420"/>
      </w:pPr>
      <w:rPr>
        <w:rFonts w:hint="eastAsia"/>
      </w:rPr>
    </w:lvl>
  </w:abstractNum>
  <w:abstractNum w:abstractNumId="25">
    <w:nsid w:val="4AB44CB9"/>
    <w:multiLevelType w:val="singleLevel"/>
    <w:tmpl w:val="4AB44CB9"/>
    <w:lvl w:ilvl="0" w:tentative="0">
      <w:start w:val="1"/>
      <w:numFmt w:val="decimal"/>
      <w:suff w:val="nothing"/>
      <w:lvlText w:val="%1、"/>
      <w:lvlJc w:val="left"/>
      <w:pPr>
        <w:ind w:left="0" w:firstLine="403"/>
      </w:pPr>
      <w:rPr>
        <w:rFonts w:hint="default"/>
      </w:rPr>
    </w:lvl>
  </w:abstractNum>
  <w:abstractNum w:abstractNumId="26">
    <w:nsid w:val="4EEDF7D5"/>
    <w:multiLevelType w:val="singleLevel"/>
    <w:tmpl w:val="4EEDF7D5"/>
    <w:lvl w:ilvl="0" w:tentative="0">
      <w:start w:val="1"/>
      <w:numFmt w:val="decimal"/>
      <w:suff w:val="nothing"/>
      <w:lvlText w:val="%1、"/>
      <w:lvlJc w:val="left"/>
      <w:pPr>
        <w:ind w:left="0" w:firstLine="403"/>
      </w:pPr>
      <w:rPr>
        <w:rFonts w:hint="default"/>
      </w:rPr>
    </w:lvl>
  </w:abstractNum>
  <w:abstractNum w:abstractNumId="27">
    <w:nsid w:val="53CD2D01"/>
    <w:multiLevelType w:val="singleLevel"/>
    <w:tmpl w:val="53CD2D01"/>
    <w:lvl w:ilvl="0" w:tentative="0">
      <w:start w:val="1"/>
      <w:numFmt w:val="decimal"/>
      <w:suff w:val="nothing"/>
      <w:lvlText w:val="%1、"/>
      <w:lvlJc w:val="left"/>
      <w:pPr>
        <w:ind w:left="0" w:firstLine="420"/>
      </w:pPr>
      <w:rPr>
        <w:rFonts w:hint="default"/>
      </w:rPr>
    </w:lvl>
  </w:abstractNum>
  <w:abstractNum w:abstractNumId="28">
    <w:nsid w:val="58B64150"/>
    <w:multiLevelType w:val="singleLevel"/>
    <w:tmpl w:val="58B64150"/>
    <w:lvl w:ilvl="0" w:tentative="0">
      <w:start w:val="1"/>
      <w:numFmt w:val="chineseCounting"/>
      <w:suff w:val="nothing"/>
      <w:lvlText w:val="（%1）"/>
      <w:lvlJc w:val="left"/>
      <w:pPr>
        <w:ind w:left="0" w:firstLine="420"/>
      </w:pPr>
      <w:rPr>
        <w:rFonts w:hint="eastAsia"/>
      </w:rPr>
    </w:lvl>
  </w:abstractNum>
  <w:abstractNum w:abstractNumId="29">
    <w:nsid w:val="58B67566"/>
    <w:multiLevelType w:val="singleLevel"/>
    <w:tmpl w:val="58B67566"/>
    <w:lvl w:ilvl="0" w:tentative="0">
      <w:start w:val="1"/>
      <w:numFmt w:val="chineseCounting"/>
      <w:suff w:val="nothing"/>
      <w:lvlText w:val="（%1）"/>
      <w:lvlJc w:val="left"/>
      <w:pPr>
        <w:ind w:left="0" w:firstLine="420"/>
      </w:pPr>
      <w:rPr>
        <w:rFonts w:hint="eastAsia"/>
      </w:rPr>
    </w:lvl>
  </w:abstractNum>
  <w:abstractNum w:abstractNumId="30">
    <w:nsid w:val="58B6B67C"/>
    <w:multiLevelType w:val="singleLevel"/>
    <w:tmpl w:val="58B6B67C"/>
    <w:lvl w:ilvl="0" w:tentative="0">
      <w:start w:val="1"/>
      <w:numFmt w:val="decimal"/>
      <w:suff w:val="nothing"/>
      <w:lvlText w:val="%1、"/>
      <w:lvlJc w:val="left"/>
      <w:pPr>
        <w:ind w:left="0" w:firstLine="420"/>
      </w:pPr>
      <w:rPr>
        <w:rFonts w:hint="default"/>
      </w:rPr>
    </w:lvl>
  </w:abstractNum>
  <w:abstractNum w:abstractNumId="31">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32">
    <w:nsid w:val="58B6BE4C"/>
    <w:multiLevelType w:val="singleLevel"/>
    <w:tmpl w:val="58B6BE4C"/>
    <w:lvl w:ilvl="0" w:tentative="0">
      <w:start w:val="1"/>
      <w:numFmt w:val="chineseCounting"/>
      <w:suff w:val="nothing"/>
      <w:lvlText w:val="%1、"/>
      <w:lvlJc w:val="left"/>
      <w:pPr>
        <w:ind w:left="0" w:firstLine="420"/>
      </w:pPr>
      <w:rPr>
        <w:rFonts w:hint="eastAsia"/>
      </w:rPr>
    </w:lvl>
  </w:abstractNum>
  <w:abstractNum w:abstractNumId="33">
    <w:nsid w:val="58B6C0F6"/>
    <w:multiLevelType w:val="singleLevel"/>
    <w:tmpl w:val="58B6C0F6"/>
    <w:lvl w:ilvl="0" w:tentative="0">
      <w:start w:val="1"/>
      <w:numFmt w:val="decimal"/>
      <w:suff w:val="nothing"/>
      <w:lvlText w:val="%1、"/>
      <w:lvlJc w:val="left"/>
      <w:pPr>
        <w:ind w:left="0" w:firstLine="420"/>
      </w:pPr>
      <w:rPr>
        <w:rFonts w:hint="default"/>
      </w:rPr>
    </w:lvl>
  </w:abstractNum>
  <w:abstractNum w:abstractNumId="34">
    <w:nsid w:val="58BAC30E"/>
    <w:multiLevelType w:val="multilevel"/>
    <w:tmpl w:val="58BAC30E"/>
    <w:lvl w:ilvl="0" w:tentative="0">
      <w:start w:val="1"/>
      <w:numFmt w:val="decimal"/>
      <w:lvlText w:val="%1."/>
      <w:lvlJc w:val="left"/>
      <w:pPr>
        <w:ind w:left="425" w:hanging="425"/>
      </w:pPr>
      <w:rPr>
        <w:rFonts w:hint="default"/>
      </w:rPr>
    </w:lvl>
    <w:lvl w:ilvl="1" w:tentative="0">
      <w:start w:val="1"/>
      <w:numFmt w:val="decimal"/>
      <w:isLgl/>
      <w:lvlText w:val="%1.%2"/>
      <w:lvlJc w:val="left"/>
      <w:pPr>
        <w:ind w:left="1614" w:hanging="480"/>
      </w:pPr>
      <w:rPr>
        <w:rFonts w:hint="default"/>
      </w:rPr>
    </w:lvl>
    <w:lvl w:ilvl="2" w:tentative="0">
      <w:start w:val="1"/>
      <w:numFmt w:val="decimal"/>
      <w:isLgl/>
      <w:lvlText w:val="%1.%2.%3"/>
      <w:lvlJc w:val="left"/>
      <w:pPr>
        <w:ind w:left="1571" w:hanging="720"/>
      </w:pPr>
      <w:rPr>
        <w:rFonts w:hint="default"/>
      </w:rPr>
    </w:lvl>
    <w:lvl w:ilvl="3" w:tentative="0">
      <w:start w:val="1"/>
      <w:numFmt w:val="decimal"/>
      <w:isLgl/>
      <w:lvlText w:val="%1.%2.%3.%4"/>
      <w:lvlJc w:val="left"/>
      <w:pPr>
        <w:ind w:left="4482" w:hanging="1080"/>
      </w:pPr>
      <w:rPr>
        <w:rFonts w:hint="default"/>
      </w:rPr>
    </w:lvl>
    <w:lvl w:ilvl="4" w:tentative="0">
      <w:start w:val="1"/>
      <w:numFmt w:val="decimal"/>
      <w:isLgl/>
      <w:lvlText w:val="%1.%2.%3.%4.%5"/>
      <w:lvlJc w:val="left"/>
      <w:pPr>
        <w:ind w:left="5616" w:hanging="1080"/>
      </w:pPr>
      <w:rPr>
        <w:rFonts w:hint="default"/>
      </w:rPr>
    </w:lvl>
    <w:lvl w:ilvl="5" w:tentative="0">
      <w:start w:val="1"/>
      <w:numFmt w:val="decimal"/>
      <w:isLgl/>
      <w:lvlText w:val="%1.%2.%3.%4.%5.%6"/>
      <w:lvlJc w:val="left"/>
      <w:pPr>
        <w:ind w:left="7110" w:hanging="1440"/>
      </w:pPr>
      <w:rPr>
        <w:rFonts w:hint="default"/>
      </w:rPr>
    </w:lvl>
    <w:lvl w:ilvl="6" w:tentative="0">
      <w:start w:val="1"/>
      <w:numFmt w:val="decimal"/>
      <w:isLgl/>
      <w:lvlText w:val="%1.%2.%3.%4.%5.%6.%7"/>
      <w:lvlJc w:val="left"/>
      <w:pPr>
        <w:ind w:left="8604" w:hanging="1800"/>
      </w:pPr>
      <w:rPr>
        <w:rFonts w:hint="default"/>
      </w:rPr>
    </w:lvl>
    <w:lvl w:ilvl="7" w:tentative="0">
      <w:start w:val="1"/>
      <w:numFmt w:val="decimal"/>
      <w:isLgl/>
      <w:lvlText w:val="%1.%2.%3.%4.%5.%6.%7.%8"/>
      <w:lvlJc w:val="left"/>
      <w:pPr>
        <w:ind w:left="9738" w:hanging="1800"/>
      </w:pPr>
      <w:rPr>
        <w:rFonts w:hint="default"/>
      </w:rPr>
    </w:lvl>
    <w:lvl w:ilvl="8" w:tentative="0">
      <w:start w:val="1"/>
      <w:numFmt w:val="decimal"/>
      <w:isLgl/>
      <w:lvlText w:val="%1.%2.%3.%4.%5.%6.%7.%8.%9"/>
      <w:lvlJc w:val="left"/>
      <w:pPr>
        <w:ind w:left="11232" w:hanging="2160"/>
      </w:pPr>
      <w:rPr>
        <w:rFonts w:hint="default"/>
      </w:rPr>
    </w:lvl>
  </w:abstractNum>
  <w:abstractNum w:abstractNumId="35">
    <w:nsid w:val="58BAC327"/>
    <w:multiLevelType w:val="multilevel"/>
    <w:tmpl w:val="58BAC327"/>
    <w:lvl w:ilvl="0" w:tentative="0">
      <w:start w:val="2"/>
      <w:numFmt w:val="decimal"/>
      <w:lvlText w:val="%1."/>
      <w:lvlJc w:val="left"/>
      <w:pPr>
        <w:tabs>
          <w:tab w:val="left" w:pos="425"/>
        </w:tabs>
        <w:ind w:left="425" w:hanging="425"/>
      </w:pPr>
      <w:rPr>
        <w:rFonts w:hint="default"/>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37">
    <w:nsid w:val="58BACF60"/>
    <w:multiLevelType w:val="singleLevel"/>
    <w:tmpl w:val="58BACF60"/>
    <w:lvl w:ilvl="0" w:tentative="0">
      <w:start w:val="1"/>
      <w:numFmt w:val="chineseCounting"/>
      <w:suff w:val="nothing"/>
      <w:lvlText w:val="%1、"/>
      <w:lvlJc w:val="left"/>
      <w:pPr>
        <w:ind w:left="0" w:firstLine="420"/>
      </w:pPr>
      <w:rPr>
        <w:rFonts w:hint="eastAsia"/>
        <w:b/>
      </w:rPr>
    </w:lvl>
  </w:abstractNum>
  <w:abstractNum w:abstractNumId="38">
    <w:nsid w:val="58BADF9B"/>
    <w:multiLevelType w:val="singleLevel"/>
    <w:tmpl w:val="58BADF9B"/>
    <w:lvl w:ilvl="0" w:tentative="0">
      <w:start w:val="1"/>
      <w:numFmt w:val="decimal"/>
      <w:suff w:val="nothing"/>
      <w:lvlText w:val="%1、"/>
      <w:lvlJc w:val="left"/>
      <w:pPr>
        <w:ind w:left="0" w:firstLine="420"/>
      </w:pPr>
      <w:rPr>
        <w:rFonts w:hint="default"/>
      </w:rPr>
    </w:lvl>
  </w:abstractNum>
  <w:abstractNum w:abstractNumId="39">
    <w:nsid w:val="58BAE00C"/>
    <w:multiLevelType w:val="singleLevel"/>
    <w:tmpl w:val="58BAE00C"/>
    <w:lvl w:ilvl="0" w:tentative="0">
      <w:start w:val="1"/>
      <w:numFmt w:val="decimal"/>
      <w:suff w:val="nothing"/>
      <w:lvlText w:val="%1、"/>
      <w:lvlJc w:val="left"/>
      <w:pPr>
        <w:ind w:left="0" w:firstLine="420"/>
      </w:pPr>
      <w:rPr>
        <w:rFonts w:hint="default"/>
      </w:rPr>
    </w:lvl>
  </w:abstractNum>
  <w:abstractNum w:abstractNumId="40">
    <w:nsid w:val="58BAE056"/>
    <w:multiLevelType w:val="singleLevel"/>
    <w:tmpl w:val="58BAE056"/>
    <w:lvl w:ilvl="0" w:tentative="0">
      <w:start w:val="1"/>
      <w:numFmt w:val="decimal"/>
      <w:suff w:val="nothing"/>
      <w:lvlText w:val="%1、"/>
      <w:lvlJc w:val="left"/>
      <w:pPr>
        <w:ind w:left="0" w:firstLine="420"/>
      </w:pPr>
      <w:rPr>
        <w:rFonts w:hint="default"/>
      </w:rPr>
    </w:lvl>
  </w:abstractNum>
  <w:abstractNum w:abstractNumId="41">
    <w:nsid w:val="58BAE083"/>
    <w:multiLevelType w:val="singleLevel"/>
    <w:tmpl w:val="58BAE083"/>
    <w:lvl w:ilvl="0" w:tentative="0">
      <w:start w:val="1"/>
      <w:numFmt w:val="decimal"/>
      <w:suff w:val="nothing"/>
      <w:lvlText w:val="%1、"/>
      <w:lvlJc w:val="left"/>
      <w:pPr>
        <w:ind w:left="0" w:firstLine="420"/>
      </w:pPr>
      <w:rPr>
        <w:rFonts w:hint="default"/>
      </w:rPr>
    </w:lvl>
  </w:abstractNum>
  <w:abstractNum w:abstractNumId="42">
    <w:nsid w:val="58C77C53"/>
    <w:multiLevelType w:val="multilevel"/>
    <w:tmpl w:val="58C77C53"/>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58C77C88"/>
    <w:multiLevelType w:val="singleLevel"/>
    <w:tmpl w:val="58C77C88"/>
    <w:lvl w:ilvl="0" w:tentative="0">
      <w:start w:val="1"/>
      <w:numFmt w:val="decimal"/>
      <w:lvlText w:val="%1."/>
      <w:lvlJc w:val="left"/>
      <w:pPr>
        <w:ind w:left="425" w:hanging="425"/>
      </w:pPr>
      <w:rPr>
        <w:rFonts w:hint="default"/>
      </w:rPr>
    </w:lvl>
  </w:abstractNum>
  <w:abstractNum w:abstractNumId="44">
    <w:nsid w:val="58C77CA7"/>
    <w:multiLevelType w:val="multilevel"/>
    <w:tmpl w:val="58C77CA7"/>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58C77ECE"/>
    <w:multiLevelType w:val="multilevel"/>
    <w:tmpl w:val="58C77ECE"/>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58C77F14"/>
    <w:multiLevelType w:val="multilevel"/>
    <w:tmpl w:val="58C77F14"/>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58C77F87"/>
    <w:multiLevelType w:val="multilevel"/>
    <w:tmpl w:val="58C77F87"/>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58C780ED"/>
    <w:multiLevelType w:val="multilevel"/>
    <w:tmpl w:val="58C780ED"/>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58C78143"/>
    <w:multiLevelType w:val="multilevel"/>
    <w:tmpl w:val="58C78143"/>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58C781A1"/>
    <w:multiLevelType w:val="multilevel"/>
    <w:tmpl w:val="58C781A1"/>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58C7825F"/>
    <w:multiLevelType w:val="multilevel"/>
    <w:tmpl w:val="58C7825F"/>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8C78482"/>
    <w:multiLevelType w:val="multilevel"/>
    <w:tmpl w:val="58C78482"/>
    <w:lvl w:ilvl="0" w:tentative="0">
      <w:start w:val="1"/>
      <w:numFmt w:val="decimal"/>
      <w:lvlText w:val="%1."/>
      <w:lvlJc w:val="left"/>
      <w:pPr>
        <w:tabs>
          <w:tab w:val="left" w:pos="907"/>
        </w:tabs>
        <w:ind w:left="907" w:hanging="907"/>
      </w:pPr>
      <w:rPr>
        <w:rFonts w:hint="eastAsia"/>
        <w:b/>
      </w:rPr>
    </w:lvl>
    <w:lvl w:ilvl="1" w:tentative="0">
      <w:start w:val="1"/>
      <w:numFmt w:val="decimal"/>
      <w:lvlText w:val="1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58C784B3"/>
    <w:multiLevelType w:val="multilevel"/>
    <w:tmpl w:val="58C784B3"/>
    <w:lvl w:ilvl="0" w:tentative="0">
      <w:start w:val="1"/>
      <w:numFmt w:val="decimal"/>
      <w:lvlText w:val="%1."/>
      <w:lvlJc w:val="left"/>
      <w:pPr>
        <w:tabs>
          <w:tab w:val="left" w:pos="907"/>
        </w:tabs>
        <w:ind w:left="907" w:hanging="907"/>
      </w:pPr>
      <w:rPr>
        <w:rFonts w:hint="eastAsia"/>
        <w:b/>
      </w:rPr>
    </w:lvl>
    <w:lvl w:ilvl="1" w:tentative="0">
      <w:start w:val="1"/>
      <w:numFmt w:val="decimal"/>
      <w:lvlText w:val="1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8C78525"/>
    <w:multiLevelType w:val="multilevel"/>
    <w:tmpl w:val="58C78525"/>
    <w:lvl w:ilvl="0" w:tentative="0">
      <w:start w:val="1"/>
      <w:numFmt w:val="decimal"/>
      <w:lvlText w:val="%1."/>
      <w:lvlJc w:val="left"/>
      <w:pPr>
        <w:tabs>
          <w:tab w:val="left" w:pos="907"/>
        </w:tabs>
        <w:ind w:left="907" w:hanging="907"/>
      </w:pPr>
      <w:rPr>
        <w:rFonts w:hint="eastAsia"/>
        <w:b/>
      </w:rPr>
    </w:lvl>
    <w:lvl w:ilvl="1" w:tentative="0">
      <w:start w:val="1"/>
      <w:numFmt w:val="decimal"/>
      <w:lvlText w:val="1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8C78590"/>
    <w:multiLevelType w:val="multilevel"/>
    <w:tmpl w:val="58C78590"/>
    <w:lvl w:ilvl="0" w:tentative="0">
      <w:start w:val="1"/>
      <w:numFmt w:val="decimal"/>
      <w:lvlText w:val="%1."/>
      <w:lvlJc w:val="left"/>
      <w:pPr>
        <w:tabs>
          <w:tab w:val="left" w:pos="907"/>
        </w:tabs>
        <w:ind w:left="907" w:hanging="907"/>
      </w:pPr>
      <w:rPr>
        <w:rFonts w:hint="eastAsia"/>
        <w:b/>
      </w:rPr>
    </w:lvl>
    <w:lvl w:ilvl="1" w:tentative="0">
      <w:start w:val="1"/>
      <w:numFmt w:val="decimal"/>
      <w:lvlText w:val="1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C78603"/>
    <w:multiLevelType w:val="multilevel"/>
    <w:tmpl w:val="58C78603"/>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7868A"/>
    <w:multiLevelType w:val="multilevel"/>
    <w:tmpl w:val="58C7868A"/>
    <w:lvl w:ilvl="0" w:tentative="0">
      <w:start w:val="1"/>
      <w:numFmt w:val="decimal"/>
      <w:lvlText w:val="%1."/>
      <w:lvlJc w:val="left"/>
      <w:pPr>
        <w:tabs>
          <w:tab w:val="left" w:pos="907"/>
        </w:tabs>
        <w:ind w:left="907" w:hanging="907"/>
      </w:pPr>
      <w:rPr>
        <w:rFonts w:hint="eastAsia"/>
        <w:b/>
      </w:rPr>
    </w:lvl>
    <w:lvl w:ilvl="1" w:tentative="0">
      <w:start w:val="1"/>
      <w:numFmt w:val="decimal"/>
      <w:lvlText w:val="1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78756"/>
    <w:multiLevelType w:val="multilevel"/>
    <w:tmpl w:val="58C78756"/>
    <w:lvl w:ilvl="0" w:tentative="0">
      <w:start w:val="1"/>
      <w:numFmt w:val="decimal"/>
      <w:lvlText w:val="%1."/>
      <w:lvlJc w:val="left"/>
      <w:pPr>
        <w:tabs>
          <w:tab w:val="left" w:pos="907"/>
        </w:tabs>
        <w:ind w:left="907" w:hanging="907"/>
      </w:pPr>
      <w:rPr>
        <w:rFonts w:hint="eastAsia"/>
        <w:b/>
      </w:rPr>
    </w:lvl>
    <w:lvl w:ilvl="1" w:tentative="0">
      <w:start w:val="1"/>
      <w:numFmt w:val="decimal"/>
      <w:lvlText w:val="1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58C78796"/>
    <w:multiLevelType w:val="multilevel"/>
    <w:tmpl w:val="58C78796"/>
    <w:lvl w:ilvl="0" w:tentative="0">
      <w:start w:val="1"/>
      <w:numFmt w:val="decimal"/>
      <w:lvlText w:val="%1."/>
      <w:lvlJc w:val="left"/>
      <w:pPr>
        <w:tabs>
          <w:tab w:val="left" w:pos="907"/>
        </w:tabs>
        <w:ind w:left="907" w:hanging="907"/>
      </w:pPr>
      <w:rPr>
        <w:rFonts w:hint="eastAsia"/>
        <w:b/>
      </w:rPr>
    </w:lvl>
    <w:lvl w:ilvl="1" w:tentative="0">
      <w:start w:val="1"/>
      <w:numFmt w:val="decimal"/>
      <w:lvlText w:val="2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58C7980E"/>
    <w:multiLevelType w:val="multilevel"/>
    <w:tmpl w:val="58C7980E"/>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58C79826"/>
    <w:multiLevelType w:val="multilevel"/>
    <w:tmpl w:val="58C79826"/>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8C798B6"/>
    <w:multiLevelType w:val="singleLevel"/>
    <w:tmpl w:val="58C798B6"/>
    <w:lvl w:ilvl="0" w:tentative="0">
      <w:start w:val="1"/>
      <w:numFmt w:val="decimal"/>
      <w:suff w:val="nothing"/>
      <w:lvlText w:val="（%1）"/>
      <w:lvlJc w:val="left"/>
      <w:pPr>
        <w:ind w:left="0" w:firstLine="420"/>
      </w:pPr>
      <w:rPr>
        <w:rFonts w:hint="default"/>
      </w:rPr>
    </w:lvl>
  </w:abstractNum>
  <w:abstractNum w:abstractNumId="65">
    <w:nsid w:val="58C798CD"/>
    <w:multiLevelType w:val="singleLevel"/>
    <w:tmpl w:val="58C798CD"/>
    <w:lvl w:ilvl="0" w:tentative="0">
      <w:start w:val="1"/>
      <w:numFmt w:val="decimal"/>
      <w:suff w:val="nothing"/>
      <w:lvlText w:val="（%1）"/>
      <w:lvlJc w:val="left"/>
      <w:pPr>
        <w:ind w:left="0" w:firstLine="420"/>
      </w:pPr>
      <w:rPr>
        <w:rFonts w:hint="default"/>
      </w:rPr>
    </w:lvl>
  </w:abstractNum>
  <w:abstractNum w:abstractNumId="66">
    <w:nsid w:val="58C798F5"/>
    <w:multiLevelType w:val="multilevel"/>
    <w:tmpl w:val="58C798F5"/>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58C79A53"/>
    <w:multiLevelType w:val="singleLevel"/>
    <w:tmpl w:val="58C79A53"/>
    <w:lvl w:ilvl="0" w:tentative="0">
      <w:start w:val="1"/>
      <w:numFmt w:val="decimal"/>
      <w:suff w:val="nothing"/>
      <w:lvlText w:val="%1、"/>
      <w:lvlJc w:val="left"/>
      <w:pPr>
        <w:ind w:left="0" w:firstLine="420"/>
      </w:pPr>
      <w:rPr>
        <w:rFonts w:hint="default"/>
      </w:rPr>
    </w:lvl>
  </w:abstractNum>
  <w:abstractNum w:abstractNumId="69">
    <w:nsid w:val="58C7A25C"/>
    <w:multiLevelType w:val="singleLevel"/>
    <w:tmpl w:val="58C7A25C"/>
    <w:lvl w:ilvl="0" w:tentative="0">
      <w:start w:val="1"/>
      <w:numFmt w:val="decimal"/>
      <w:suff w:val="nothing"/>
      <w:lvlText w:val="%1、"/>
      <w:lvlJc w:val="left"/>
      <w:pPr>
        <w:ind w:left="0" w:firstLine="420"/>
      </w:pPr>
      <w:rPr>
        <w:rFonts w:hint="default"/>
      </w:rPr>
    </w:lvl>
  </w:abstractNum>
  <w:abstractNum w:abstractNumId="70">
    <w:nsid w:val="58C7A2B7"/>
    <w:multiLevelType w:val="singleLevel"/>
    <w:tmpl w:val="58C7A2B7"/>
    <w:lvl w:ilvl="0" w:tentative="0">
      <w:start w:val="1"/>
      <w:numFmt w:val="decimal"/>
      <w:suff w:val="nothing"/>
      <w:lvlText w:val="%1、"/>
      <w:lvlJc w:val="left"/>
      <w:pPr>
        <w:ind w:left="0" w:firstLine="420"/>
      </w:pPr>
      <w:rPr>
        <w:rFonts w:hint="default"/>
      </w:rPr>
    </w:lvl>
  </w:abstractNum>
  <w:abstractNum w:abstractNumId="71">
    <w:nsid w:val="58C7ABA9"/>
    <w:multiLevelType w:val="singleLevel"/>
    <w:tmpl w:val="58C7ABA9"/>
    <w:lvl w:ilvl="0" w:tentative="0">
      <w:start w:val="1"/>
      <w:numFmt w:val="decimal"/>
      <w:suff w:val="nothing"/>
      <w:lvlText w:val="（%1）"/>
      <w:lvlJc w:val="left"/>
      <w:pPr>
        <w:tabs>
          <w:tab w:val="left" w:pos="0"/>
        </w:tabs>
        <w:ind w:left="0" w:firstLine="420"/>
      </w:pPr>
      <w:rPr>
        <w:rFonts w:hint="default"/>
        <w:b/>
      </w:rPr>
    </w:lvl>
  </w:abstractNum>
  <w:abstractNum w:abstractNumId="72">
    <w:nsid w:val="58C7ACE0"/>
    <w:multiLevelType w:val="singleLevel"/>
    <w:tmpl w:val="58C7ACE0"/>
    <w:lvl w:ilvl="0" w:tentative="0">
      <w:start w:val="1"/>
      <w:numFmt w:val="decimal"/>
      <w:suff w:val="nothing"/>
      <w:lvlText w:val="%1、"/>
      <w:lvlJc w:val="left"/>
      <w:pPr>
        <w:ind w:left="0" w:firstLine="420"/>
      </w:pPr>
      <w:rPr>
        <w:rFonts w:hint="default"/>
      </w:rPr>
    </w:lvl>
  </w:abstractNum>
  <w:abstractNum w:abstractNumId="73">
    <w:nsid w:val="58C7AEB1"/>
    <w:multiLevelType w:val="singleLevel"/>
    <w:tmpl w:val="58C7AEB1"/>
    <w:lvl w:ilvl="0" w:tentative="0">
      <w:start w:val="1"/>
      <w:numFmt w:val="decimal"/>
      <w:suff w:val="nothing"/>
      <w:lvlText w:val="%1、"/>
      <w:lvlJc w:val="left"/>
      <w:pPr>
        <w:ind w:left="0" w:firstLine="420"/>
      </w:pPr>
      <w:rPr>
        <w:rFonts w:hint="default"/>
      </w:rPr>
    </w:lvl>
  </w:abstractNum>
  <w:abstractNum w:abstractNumId="74">
    <w:nsid w:val="58C7B481"/>
    <w:multiLevelType w:val="singleLevel"/>
    <w:tmpl w:val="58C7B481"/>
    <w:lvl w:ilvl="0" w:tentative="0">
      <w:start w:val="1"/>
      <w:numFmt w:val="decimal"/>
      <w:suff w:val="nothing"/>
      <w:lvlText w:val="%1、"/>
      <w:lvlJc w:val="left"/>
      <w:pPr>
        <w:ind w:left="0" w:firstLine="420"/>
      </w:pPr>
      <w:rPr>
        <w:rFonts w:hint="default"/>
      </w:rPr>
    </w:lvl>
  </w:abstractNum>
  <w:abstractNum w:abstractNumId="75">
    <w:nsid w:val="58C7B754"/>
    <w:multiLevelType w:val="singleLevel"/>
    <w:tmpl w:val="58C7B754"/>
    <w:lvl w:ilvl="0" w:tentative="0">
      <w:start w:val="1"/>
      <w:numFmt w:val="decimal"/>
      <w:suff w:val="nothing"/>
      <w:lvlText w:val="%1、"/>
      <w:lvlJc w:val="left"/>
      <w:pPr>
        <w:ind w:left="0" w:firstLine="420"/>
      </w:pPr>
      <w:rPr>
        <w:rFonts w:hint="default"/>
      </w:rPr>
    </w:lvl>
  </w:abstractNum>
  <w:abstractNum w:abstractNumId="76">
    <w:nsid w:val="58C7DE19"/>
    <w:multiLevelType w:val="multilevel"/>
    <w:tmpl w:val="58C7DE19"/>
    <w:lvl w:ilvl="0" w:tentative="0">
      <w:start w:val="1"/>
      <w:numFmt w:val="decimal"/>
      <w:lvlText w:val="%1."/>
      <w:lvlJc w:val="left"/>
      <w:pPr>
        <w:tabs>
          <w:tab w:val="left" w:pos="907"/>
        </w:tabs>
        <w:ind w:left="907" w:hanging="907"/>
      </w:pPr>
      <w:rPr>
        <w:rFonts w:hint="eastAsia"/>
        <w:b/>
      </w:rPr>
    </w:lvl>
    <w:lvl w:ilvl="1" w:tentative="0">
      <w:start w:val="1"/>
      <w:numFmt w:val="decimal"/>
      <w:lvlText w:val="2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58C7DE4D"/>
    <w:multiLevelType w:val="multilevel"/>
    <w:tmpl w:val="58C7DE4D"/>
    <w:lvl w:ilvl="0" w:tentative="0">
      <w:start w:val="1"/>
      <w:numFmt w:val="decimal"/>
      <w:lvlText w:val="%1."/>
      <w:lvlJc w:val="left"/>
      <w:pPr>
        <w:tabs>
          <w:tab w:val="left" w:pos="907"/>
        </w:tabs>
        <w:ind w:left="907" w:hanging="907"/>
      </w:pPr>
      <w:rPr>
        <w:rFonts w:hint="eastAsia"/>
        <w:b/>
      </w:rPr>
    </w:lvl>
    <w:lvl w:ilvl="1" w:tentative="0">
      <w:start w:val="1"/>
      <w:numFmt w:val="decimal"/>
      <w:lvlText w:val="2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8">
    <w:nsid w:val="58C7DE7E"/>
    <w:multiLevelType w:val="multilevel"/>
    <w:tmpl w:val="58C7DE7E"/>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9">
    <w:nsid w:val="58C7DED4"/>
    <w:multiLevelType w:val="multilevel"/>
    <w:tmpl w:val="58C7DED4"/>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宋体" w:hAnsi="宋体" w:eastAsia="宋体" w:cs="宋体"/>
        <w:b w:val="0"/>
        <w:bCs/>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0">
    <w:nsid w:val="58C7DF32"/>
    <w:multiLevelType w:val="multilevel"/>
    <w:tmpl w:val="58C7DF32"/>
    <w:lvl w:ilvl="0" w:tentative="0">
      <w:start w:val="1"/>
      <w:numFmt w:val="decimal"/>
      <w:lvlText w:val="%1."/>
      <w:lvlJc w:val="left"/>
      <w:pPr>
        <w:tabs>
          <w:tab w:val="left" w:pos="907"/>
        </w:tabs>
        <w:ind w:left="907" w:hanging="907"/>
      </w:pPr>
      <w:rPr>
        <w:rFonts w:hint="eastAsia"/>
        <w:b/>
      </w:rPr>
    </w:lvl>
    <w:lvl w:ilvl="1" w:tentative="0">
      <w:start w:val="1"/>
      <w:numFmt w:val="decimal"/>
      <w:lvlText w:val="2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1">
    <w:nsid w:val="58C7DF5F"/>
    <w:multiLevelType w:val="multilevel"/>
    <w:tmpl w:val="58C7DF5F"/>
    <w:lvl w:ilvl="0" w:tentative="0">
      <w:start w:val="1"/>
      <w:numFmt w:val="decimal"/>
      <w:lvlText w:val="%1."/>
      <w:lvlJc w:val="left"/>
      <w:pPr>
        <w:tabs>
          <w:tab w:val="left" w:pos="907"/>
        </w:tabs>
        <w:ind w:left="907" w:hanging="907"/>
      </w:pPr>
      <w:rPr>
        <w:rFonts w:hint="eastAsia"/>
        <w:b/>
      </w:rPr>
    </w:lvl>
    <w:lvl w:ilvl="1" w:tentative="0">
      <w:start w:val="1"/>
      <w:numFmt w:val="decimal"/>
      <w:lvlText w:val="2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2">
    <w:nsid w:val="58C7DF85"/>
    <w:multiLevelType w:val="multilevel"/>
    <w:tmpl w:val="58C7DF85"/>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3">
    <w:nsid w:val="58C7DFA5"/>
    <w:multiLevelType w:val="multilevel"/>
    <w:tmpl w:val="58C7DFA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4">
    <w:nsid w:val="58C7DFDB"/>
    <w:multiLevelType w:val="multilevel"/>
    <w:tmpl w:val="58C7DFDB"/>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5">
    <w:nsid w:val="58C7E009"/>
    <w:multiLevelType w:val="multilevel"/>
    <w:tmpl w:val="58C7E009"/>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6">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6.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7">
    <w:nsid w:val="663E3592"/>
    <w:multiLevelType w:val="multilevel"/>
    <w:tmpl w:val="663E359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8">
    <w:nsid w:val="6D4BC127"/>
    <w:multiLevelType w:val="singleLevel"/>
    <w:tmpl w:val="6D4BC127"/>
    <w:lvl w:ilvl="0" w:tentative="0">
      <w:start w:val="1"/>
      <w:numFmt w:val="decimal"/>
      <w:suff w:val="nothing"/>
      <w:lvlText w:val="%1、"/>
      <w:lvlJc w:val="left"/>
      <w:pPr>
        <w:ind w:left="0" w:firstLine="403"/>
      </w:pPr>
      <w:rPr>
        <w:rFonts w:hint="default"/>
      </w:rPr>
    </w:lvl>
  </w:abstractNum>
  <w:abstractNum w:abstractNumId="89">
    <w:nsid w:val="6F132AB3"/>
    <w:multiLevelType w:val="singleLevel"/>
    <w:tmpl w:val="6F132AB3"/>
    <w:lvl w:ilvl="0" w:tentative="0">
      <w:start w:val="1"/>
      <w:numFmt w:val="decimal"/>
      <w:suff w:val="nothing"/>
      <w:lvlText w:val="%1、"/>
      <w:lvlJc w:val="left"/>
      <w:pPr>
        <w:ind w:left="0" w:firstLine="403"/>
      </w:pPr>
      <w:rPr>
        <w:rFonts w:hint="default"/>
      </w:rPr>
    </w:lvl>
  </w:abstractNum>
  <w:abstractNum w:abstractNumId="90">
    <w:nsid w:val="74F94D24"/>
    <w:multiLevelType w:val="multilevel"/>
    <w:tmpl w:val="74F94D2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1">
    <w:nsid w:val="7AA737B0"/>
    <w:multiLevelType w:val="multilevel"/>
    <w:tmpl w:val="7AA737B0"/>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2">
    <w:nsid w:val="7C054F00"/>
    <w:multiLevelType w:val="singleLevel"/>
    <w:tmpl w:val="7C054F00"/>
    <w:lvl w:ilvl="0" w:tentative="0">
      <w:start w:val="1"/>
      <w:numFmt w:val="chineseCounting"/>
      <w:suff w:val="nothing"/>
      <w:lvlText w:val="（%1）"/>
      <w:lvlJc w:val="left"/>
      <w:pPr>
        <w:ind w:left="0" w:firstLine="420"/>
      </w:pPr>
      <w:rPr>
        <w:rFonts w:hint="eastAsia"/>
      </w:rPr>
    </w:lvl>
  </w:abstractNum>
  <w:abstractNum w:abstractNumId="93">
    <w:nsid w:val="7D70E843"/>
    <w:multiLevelType w:val="multilevel"/>
    <w:tmpl w:val="7D70E843"/>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num w:numId="1">
    <w:abstractNumId w:val="19"/>
  </w:num>
  <w:num w:numId="2">
    <w:abstractNumId w:val="37"/>
  </w:num>
  <w:num w:numId="3">
    <w:abstractNumId w:val="32"/>
  </w:num>
  <w:num w:numId="4">
    <w:abstractNumId w:val="33"/>
  </w:num>
  <w:num w:numId="5">
    <w:abstractNumId w:val="3"/>
  </w:num>
  <w:num w:numId="6">
    <w:abstractNumId w:val="34"/>
  </w:num>
  <w:num w:numId="7">
    <w:abstractNumId w:val="36"/>
  </w:num>
  <w:num w:numId="8">
    <w:abstractNumId w:val="35"/>
  </w:num>
  <w:num w:numId="9">
    <w:abstractNumId w:val="28"/>
  </w:num>
  <w:num w:numId="10">
    <w:abstractNumId w:val="43"/>
  </w:num>
  <w:num w:numId="11">
    <w:abstractNumId w:val="42"/>
  </w:num>
  <w:num w:numId="12">
    <w:abstractNumId w:val="44"/>
  </w:num>
  <w:num w:numId="13">
    <w:abstractNumId w:val="45"/>
  </w:num>
  <w:num w:numId="14">
    <w:abstractNumId w:val="46"/>
  </w:num>
  <w:num w:numId="15">
    <w:abstractNumId w:val="47"/>
  </w:num>
  <w:num w:numId="16">
    <w:abstractNumId w:val="48"/>
  </w:num>
  <w:num w:numId="17">
    <w:abstractNumId w:val="13"/>
  </w:num>
  <w:num w:numId="18">
    <w:abstractNumId w:val="49"/>
  </w:num>
  <w:num w:numId="19">
    <w:abstractNumId w:val="50"/>
  </w:num>
  <w:num w:numId="20">
    <w:abstractNumId w:val="51"/>
  </w:num>
  <w:num w:numId="21">
    <w:abstractNumId w:val="52"/>
  </w:num>
  <w:num w:numId="22">
    <w:abstractNumId w:val="53"/>
  </w:num>
  <w:num w:numId="23">
    <w:abstractNumId w:val="54"/>
  </w:num>
  <w:num w:numId="24">
    <w:abstractNumId w:val="55"/>
  </w:num>
  <w:num w:numId="25">
    <w:abstractNumId w:val="56"/>
  </w:num>
  <w:num w:numId="26">
    <w:abstractNumId w:val="57"/>
  </w:num>
  <w:num w:numId="27">
    <w:abstractNumId w:val="86"/>
  </w:num>
  <w:num w:numId="28">
    <w:abstractNumId w:val="58"/>
  </w:num>
  <w:num w:numId="29">
    <w:abstractNumId w:val="59"/>
  </w:num>
  <w:num w:numId="30">
    <w:abstractNumId w:val="60"/>
  </w:num>
  <w:num w:numId="31">
    <w:abstractNumId w:val="61"/>
  </w:num>
  <w:num w:numId="32">
    <w:abstractNumId w:val="76"/>
  </w:num>
  <w:num w:numId="33">
    <w:abstractNumId w:val="77"/>
  </w:num>
  <w:num w:numId="34">
    <w:abstractNumId w:val="78"/>
  </w:num>
  <w:num w:numId="35">
    <w:abstractNumId w:val="79"/>
  </w:num>
  <w:num w:numId="36">
    <w:abstractNumId w:val="80"/>
  </w:num>
  <w:num w:numId="37">
    <w:abstractNumId w:val="81"/>
  </w:num>
  <w:num w:numId="38">
    <w:abstractNumId w:val="82"/>
  </w:num>
  <w:num w:numId="39">
    <w:abstractNumId w:val="83"/>
  </w:num>
  <w:num w:numId="40">
    <w:abstractNumId w:val="84"/>
  </w:num>
  <w:num w:numId="41">
    <w:abstractNumId w:val="85"/>
  </w:num>
  <w:num w:numId="42">
    <w:abstractNumId w:val="29"/>
  </w:num>
  <w:num w:numId="43">
    <w:abstractNumId w:val="62"/>
  </w:num>
  <w:num w:numId="44">
    <w:abstractNumId w:val="63"/>
  </w:num>
  <w:num w:numId="45">
    <w:abstractNumId w:val="64"/>
  </w:num>
  <w:num w:numId="46">
    <w:abstractNumId w:val="65"/>
  </w:num>
  <w:num w:numId="47">
    <w:abstractNumId w:val="66"/>
  </w:num>
  <w:num w:numId="48">
    <w:abstractNumId w:val="12"/>
  </w:num>
  <w:num w:numId="49">
    <w:abstractNumId w:val="87"/>
  </w:num>
  <w:num w:numId="50">
    <w:abstractNumId w:val="21"/>
  </w:num>
  <w:num w:numId="51">
    <w:abstractNumId w:val="67"/>
  </w:num>
  <w:num w:numId="52">
    <w:abstractNumId w:val="68"/>
  </w:num>
  <w:num w:numId="53">
    <w:abstractNumId w:val="27"/>
  </w:num>
  <w:num w:numId="54">
    <w:abstractNumId w:val="23"/>
  </w:num>
  <w:num w:numId="55">
    <w:abstractNumId w:val="6"/>
  </w:num>
  <w:num w:numId="56">
    <w:abstractNumId w:val="17"/>
  </w:num>
  <w:num w:numId="57">
    <w:abstractNumId w:val="25"/>
  </w:num>
  <w:num w:numId="58">
    <w:abstractNumId w:val="26"/>
  </w:num>
  <w:num w:numId="59">
    <w:abstractNumId w:val="1"/>
  </w:num>
  <w:num w:numId="60">
    <w:abstractNumId w:val="9"/>
  </w:num>
  <w:num w:numId="61">
    <w:abstractNumId w:val="18"/>
  </w:num>
  <w:num w:numId="62">
    <w:abstractNumId w:val="24"/>
  </w:num>
  <w:num w:numId="63">
    <w:abstractNumId w:val="8"/>
  </w:num>
  <w:num w:numId="64">
    <w:abstractNumId w:val="0"/>
  </w:num>
  <w:num w:numId="65">
    <w:abstractNumId w:val="88"/>
  </w:num>
  <w:num w:numId="66">
    <w:abstractNumId w:val="91"/>
  </w:num>
  <w:num w:numId="67">
    <w:abstractNumId w:val="7"/>
  </w:num>
  <w:num w:numId="68">
    <w:abstractNumId w:val="22"/>
  </w:num>
  <w:num w:numId="69">
    <w:abstractNumId w:val="11"/>
  </w:num>
  <w:num w:numId="70">
    <w:abstractNumId w:val="14"/>
  </w:num>
  <w:num w:numId="71">
    <w:abstractNumId w:val="89"/>
  </w:num>
  <w:num w:numId="72">
    <w:abstractNumId w:val="92"/>
  </w:num>
  <w:num w:numId="73">
    <w:abstractNumId w:val="10"/>
  </w:num>
  <w:num w:numId="74">
    <w:abstractNumId w:val="5"/>
  </w:num>
  <w:num w:numId="75">
    <w:abstractNumId w:val="93"/>
  </w:num>
  <w:num w:numId="76">
    <w:abstractNumId w:val="90"/>
  </w:num>
  <w:num w:numId="77">
    <w:abstractNumId w:val="4"/>
  </w:num>
  <w:num w:numId="78">
    <w:abstractNumId w:val="38"/>
  </w:num>
  <w:num w:numId="79">
    <w:abstractNumId w:val="69"/>
  </w:num>
  <w:num w:numId="80">
    <w:abstractNumId w:val="70"/>
  </w:num>
  <w:num w:numId="81">
    <w:abstractNumId w:val="20"/>
  </w:num>
  <w:num w:numId="82">
    <w:abstractNumId w:val="16"/>
  </w:num>
  <w:num w:numId="83">
    <w:abstractNumId w:val="2"/>
  </w:num>
  <w:num w:numId="84">
    <w:abstractNumId w:val="39"/>
  </w:num>
  <w:num w:numId="85">
    <w:abstractNumId w:val="71"/>
  </w:num>
  <w:num w:numId="86">
    <w:abstractNumId w:val="72"/>
  </w:num>
  <w:num w:numId="87">
    <w:abstractNumId w:val="73"/>
  </w:num>
  <w:num w:numId="88">
    <w:abstractNumId w:val="15"/>
  </w:num>
  <w:num w:numId="89">
    <w:abstractNumId w:val="74"/>
  </w:num>
  <w:num w:numId="90">
    <w:abstractNumId w:val="75"/>
  </w:num>
  <w:num w:numId="91">
    <w:abstractNumId w:val="40"/>
  </w:num>
  <w:num w:numId="92">
    <w:abstractNumId w:val="30"/>
  </w:num>
  <w:num w:numId="93">
    <w:abstractNumId w:val="41"/>
  </w:num>
  <w:num w:numId="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TVjYTIyNGJlYWE5OGRhM2RjMGY1MmM0YThkOTIifQ=="/>
  </w:docVars>
  <w:rsids>
    <w:rsidRoot w:val="00172A27"/>
    <w:rsid w:val="0001014C"/>
    <w:rsid w:val="00043B91"/>
    <w:rsid w:val="00043C13"/>
    <w:rsid w:val="00050B26"/>
    <w:rsid w:val="00051C48"/>
    <w:rsid w:val="00076806"/>
    <w:rsid w:val="000808D3"/>
    <w:rsid w:val="0009339B"/>
    <w:rsid w:val="000A34EC"/>
    <w:rsid w:val="000D197C"/>
    <w:rsid w:val="000D53F0"/>
    <w:rsid w:val="000D5ABF"/>
    <w:rsid w:val="000E0944"/>
    <w:rsid w:val="000E2018"/>
    <w:rsid w:val="000F11CC"/>
    <w:rsid w:val="00100599"/>
    <w:rsid w:val="00104AC3"/>
    <w:rsid w:val="00106130"/>
    <w:rsid w:val="00123C39"/>
    <w:rsid w:val="001529AA"/>
    <w:rsid w:val="00162669"/>
    <w:rsid w:val="00162CC7"/>
    <w:rsid w:val="00164374"/>
    <w:rsid w:val="00172A27"/>
    <w:rsid w:val="0018157F"/>
    <w:rsid w:val="00183642"/>
    <w:rsid w:val="00183B75"/>
    <w:rsid w:val="0019179E"/>
    <w:rsid w:val="001928BA"/>
    <w:rsid w:val="00193C10"/>
    <w:rsid w:val="001A2539"/>
    <w:rsid w:val="001C1E41"/>
    <w:rsid w:val="001D1A97"/>
    <w:rsid w:val="001F71B9"/>
    <w:rsid w:val="00214EED"/>
    <w:rsid w:val="00225099"/>
    <w:rsid w:val="00233CA9"/>
    <w:rsid w:val="00235776"/>
    <w:rsid w:val="002426B8"/>
    <w:rsid w:val="002500D4"/>
    <w:rsid w:val="00267E9B"/>
    <w:rsid w:val="0027367A"/>
    <w:rsid w:val="00283BE4"/>
    <w:rsid w:val="002931CC"/>
    <w:rsid w:val="002B20BC"/>
    <w:rsid w:val="002C0471"/>
    <w:rsid w:val="002E616A"/>
    <w:rsid w:val="002F4890"/>
    <w:rsid w:val="00302BE3"/>
    <w:rsid w:val="003230B7"/>
    <w:rsid w:val="00332979"/>
    <w:rsid w:val="0033428A"/>
    <w:rsid w:val="003365AA"/>
    <w:rsid w:val="00341261"/>
    <w:rsid w:val="00343DD8"/>
    <w:rsid w:val="00346200"/>
    <w:rsid w:val="0038561C"/>
    <w:rsid w:val="003C6236"/>
    <w:rsid w:val="003D2458"/>
    <w:rsid w:val="003D30C7"/>
    <w:rsid w:val="003E59EE"/>
    <w:rsid w:val="00400524"/>
    <w:rsid w:val="00402BEE"/>
    <w:rsid w:val="00411E01"/>
    <w:rsid w:val="00412A66"/>
    <w:rsid w:val="00414460"/>
    <w:rsid w:val="00415A62"/>
    <w:rsid w:val="0042006F"/>
    <w:rsid w:val="0042475A"/>
    <w:rsid w:val="00426BAE"/>
    <w:rsid w:val="00431857"/>
    <w:rsid w:val="00445432"/>
    <w:rsid w:val="00467AB3"/>
    <w:rsid w:val="00477FE1"/>
    <w:rsid w:val="004A64FC"/>
    <w:rsid w:val="004D4EEF"/>
    <w:rsid w:val="004F649E"/>
    <w:rsid w:val="00505321"/>
    <w:rsid w:val="00511FAE"/>
    <w:rsid w:val="00516F83"/>
    <w:rsid w:val="005350FC"/>
    <w:rsid w:val="005401E1"/>
    <w:rsid w:val="00547BE8"/>
    <w:rsid w:val="00553EF8"/>
    <w:rsid w:val="00557140"/>
    <w:rsid w:val="005649D6"/>
    <w:rsid w:val="0057537A"/>
    <w:rsid w:val="00580F57"/>
    <w:rsid w:val="00582ABD"/>
    <w:rsid w:val="0059119B"/>
    <w:rsid w:val="005A03E3"/>
    <w:rsid w:val="005A10B5"/>
    <w:rsid w:val="005B052A"/>
    <w:rsid w:val="005D5F42"/>
    <w:rsid w:val="005E4193"/>
    <w:rsid w:val="005E6546"/>
    <w:rsid w:val="005F067B"/>
    <w:rsid w:val="005F1783"/>
    <w:rsid w:val="006261EE"/>
    <w:rsid w:val="006471D3"/>
    <w:rsid w:val="006631D3"/>
    <w:rsid w:val="00665A48"/>
    <w:rsid w:val="00666138"/>
    <w:rsid w:val="00676838"/>
    <w:rsid w:val="006A0B04"/>
    <w:rsid w:val="006B50CE"/>
    <w:rsid w:val="006C39B3"/>
    <w:rsid w:val="006D026F"/>
    <w:rsid w:val="006D2869"/>
    <w:rsid w:val="006D3980"/>
    <w:rsid w:val="007017CC"/>
    <w:rsid w:val="00702E08"/>
    <w:rsid w:val="00703460"/>
    <w:rsid w:val="0071090D"/>
    <w:rsid w:val="00711293"/>
    <w:rsid w:val="007533AE"/>
    <w:rsid w:val="00767583"/>
    <w:rsid w:val="00770B97"/>
    <w:rsid w:val="00777F0D"/>
    <w:rsid w:val="00782B65"/>
    <w:rsid w:val="00787AD9"/>
    <w:rsid w:val="00787EC6"/>
    <w:rsid w:val="00790DE1"/>
    <w:rsid w:val="007954AC"/>
    <w:rsid w:val="00795A51"/>
    <w:rsid w:val="007A3682"/>
    <w:rsid w:val="007C41AC"/>
    <w:rsid w:val="007C5849"/>
    <w:rsid w:val="007D10F5"/>
    <w:rsid w:val="007D3FDC"/>
    <w:rsid w:val="007E329C"/>
    <w:rsid w:val="007E4E4B"/>
    <w:rsid w:val="00800CD1"/>
    <w:rsid w:val="00817F60"/>
    <w:rsid w:val="0082243D"/>
    <w:rsid w:val="00835DB6"/>
    <w:rsid w:val="0085357F"/>
    <w:rsid w:val="008577FD"/>
    <w:rsid w:val="0086181A"/>
    <w:rsid w:val="0086799B"/>
    <w:rsid w:val="008801CA"/>
    <w:rsid w:val="00881F21"/>
    <w:rsid w:val="00885DFC"/>
    <w:rsid w:val="008B11C2"/>
    <w:rsid w:val="008C141C"/>
    <w:rsid w:val="008D6BF5"/>
    <w:rsid w:val="008D75B9"/>
    <w:rsid w:val="008E07D9"/>
    <w:rsid w:val="008E090E"/>
    <w:rsid w:val="008E4292"/>
    <w:rsid w:val="008F1FD2"/>
    <w:rsid w:val="00901113"/>
    <w:rsid w:val="00913A8E"/>
    <w:rsid w:val="00927095"/>
    <w:rsid w:val="00931BC4"/>
    <w:rsid w:val="00932854"/>
    <w:rsid w:val="00933E88"/>
    <w:rsid w:val="00951FD7"/>
    <w:rsid w:val="0095266D"/>
    <w:rsid w:val="00970BCB"/>
    <w:rsid w:val="00977FC8"/>
    <w:rsid w:val="0099114D"/>
    <w:rsid w:val="009C595A"/>
    <w:rsid w:val="009E6155"/>
    <w:rsid w:val="009F7EB8"/>
    <w:rsid w:val="00A13D36"/>
    <w:rsid w:val="00A17061"/>
    <w:rsid w:val="00A26EAA"/>
    <w:rsid w:val="00A274E4"/>
    <w:rsid w:val="00A30C20"/>
    <w:rsid w:val="00A326B7"/>
    <w:rsid w:val="00A3444C"/>
    <w:rsid w:val="00A469B2"/>
    <w:rsid w:val="00A504C7"/>
    <w:rsid w:val="00A70DCA"/>
    <w:rsid w:val="00A71F6B"/>
    <w:rsid w:val="00A75161"/>
    <w:rsid w:val="00A75A3E"/>
    <w:rsid w:val="00AA384E"/>
    <w:rsid w:val="00AA489B"/>
    <w:rsid w:val="00AB1576"/>
    <w:rsid w:val="00AB340E"/>
    <w:rsid w:val="00AB4C2D"/>
    <w:rsid w:val="00AB7AE4"/>
    <w:rsid w:val="00AB7C0B"/>
    <w:rsid w:val="00AC4181"/>
    <w:rsid w:val="00AC4D8A"/>
    <w:rsid w:val="00AE3624"/>
    <w:rsid w:val="00AF38C0"/>
    <w:rsid w:val="00B10BD9"/>
    <w:rsid w:val="00B134D7"/>
    <w:rsid w:val="00B14585"/>
    <w:rsid w:val="00B31A93"/>
    <w:rsid w:val="00B40353"/>
    <w:rsid w:val="00B504A4"/>
    <w:rsid w:val="00B55693"/>
    <w:rsid w:val="00B570D4"/>
    <w:rsid w:val="00B63460"/>
    <w:rsid w:val="00B66DEB"/>
    <w:rsid w:val="00B67B6C"/>
    <w:rsid w:val="00B913EB"/>
    <w:rsid w:val="00B94A6B"/>
    <w:rsid w:val="00B95360"/>
    <w:rsid w:val="00BA6098"/>
    <w:rsid w:val="00BA7BB1"/>
    <w:rsid w:val="00BB70F5"/>
    <w:rsid w:val="00BE5B2A"/>
    <w:rsid w:val="00BF084B"/>
    <w:rsid w:val="00BF4451"/>
    <w:rsid w:val="00C01413"/>
    <w:rsid w:val="00C10B72"/>
    <w:rsid w:val="00C17381"/>
    <w:rsid w:val="00C25CE3"/>
    <w:rsid w:val="00C26F03"/>
    <w:rsid w:val="00C30B15"/>
    <w:rsid w:val="00C35D88"/>
    <w:rsid w:val="00C52B48"/>
    <w:rsid w:val="00C8391F"/>
    <w:rsid w:val="00CA1B36"/>
    <w:rsid w:val="00CA2FC8"/>
    <w:rsid w:val="00CB0A3C"/>
    <w:rsid w:val="00CB6866"/>
    <w:rsid w:val="00CC37BE"/>
    <w:rsid w:val="00CC5198"/>
    <w:rsid w:val="00CC69CB"/>
    <w:rsid w:val="00CD20E7"/>
    <w:rsid w:val="00CF1410"/>
    <w:rsid w:val="00CF1FE3"/>
    <w:rsid w:val="00CF2A28"/>
    <w:rsid w:val="00CF76D5"/>
    <w:rsid w:val="00D20229"/>
    <w:rsid w:val="00D2078B"/>
    <w:rsid w:val="00D300A8"/>
    <w:rsid w:val="00D336DA"/>
    <w:rsid w:val="00D349EB"/>
    <w:rsid w:val="00D4077D"/>
    <w:rsid w:val="00D41296"/>
    <w:rsid w:val="00D57916"/>
    <w:rsid w:val="00D7010F"/>
    <w:rsid w:val="00D81655"/>
    <w:rsid w:val="00D826B8"/>
    <w:rsid w:val="00D82C34"/>
    <w:rsid w:val="00D939D4"/>
    <w:rsid w:val="00DA1569"/>
    <w:rsid w:val="00DA3897"/>
    <w:rsid w:val="00DB703C"/>
    <w:rsid w:val="00DD0FCB"/>
    <w:rsid w:val="00DD2F4A"/>
    <w:rsid w:val="00DD6455"/>
    <w:rsid w:val="00DE5C6E"/>
    <w:rsid w:val="00E02D66"/>
    <w:rsid w:val="00E03C7A"/>
    <w:rsid w:val="00E45423"/>
    <w:rsid w:val="00E50DE7"/>
    <w:rsid w:val="00E55436"/>
    <w:rsid w:val="00E621FC"/>
    <w:rsid w:val="00E76568"/>
    <w:rsid w:val="00E8584E"/>
    <w:rsid w:val="00E90FFD"/>
    <w:rsid w:val="00E956E9"/>
    <w:rsid w:val="00EB5018"/>
    <w:rsid w:val="00EC191B"/>
    <w:rsid w:val="00EC7E84"/>
    <w:rsid w:val="00ED6464"/>
    <w:rsid w:val="00EE44EA"/>
    <w:rsid w:val="00EF1630"/>
    <w:rsid w:val="00EF54E2"/>
    <w:rsid w:val="00F14DDB"/>
    <w:rsid w:val="00F36EA7"/>
    <w:rsid w:val="00F43B89"/>
    <w:rsid w:val="00F47340"/>
    <w:rsid w:val="00F50851"/>
    <w:rsid w:val="00F5093C"/>
    <w:rsid w:val="00F63E6D"/>
    <w:rsid w:val="00F73A1D"/>
    <w:rsid w:val="00F8302D"/>
    <w:rsid w:val="00F90364"/>
    <w:rsid w:val="00F9052B"/>
    <w:rsid w:val="00F90C86"/>
    <w:rsid w:val="00FB1F45"/>
    <w:rsid w:val="00FB59E8"/>
    <w:rsid w:val="00FC7F9B"/>
    <w:rsid w:val="00FE0ECD"/>
    <w:rsid w:val="00FE1DEC"/>
    <w:rsid w:val="00FE6F12"/>
    <w:rsid w:val="00FF557E"/>
    <w:rsid w:val="010C4F3C"/>
    <w:rsid w:val="01522A7A"/>
    <w:rsid w:val="015D75D2"/>
    <w:rsid w:val="01774851"/>
    <w:rsid w:val="017D19B5"/>
    <w:rsid w:val="017E24BB"/>
    <w:rsid w:val="01A87768"/>
    <w:rsid w:val="01FD6F7A"/>
    <w:rsid w:val="02035E53"/>
    <w:rsid w:val="022C2B60"/>
    <w:rsid w:val="0234043A"/>
    <w:rsid w:val="02384F46"/>
    <w:rsid w:val="025458BA"/>
    <w:rsid w:val="025C4F47"/>
    <w:rsid w:val="026C75EF"/>
    <w:rsid w:val="029C1566"/>
    <w:rsid w:val="02AC7452"/>
    <w:rsid w:val="02AE56D1"/>
    <w:rsid w:val="02B53012"/>
    <w:rsid w:val="02F05E8F"/>
    <w:rsid w:val="02FA0D9C"/>
    <w:rsid w:val="032E23B8"/>
    <w:rsid w:val="035C153C"/>
    <w:rsid w:val="03803AD6"/>
    <w:rsid w:val="03A54CE2"/>
    <w:rsid w:val="03BB010E"/>
    <w:rsid w:val="03C12262"/>
    <w:rsid w:val="03DA4690"/>
    <w:rsid w:val="04061E19"/>
    <w:rsid w:val="04116C8C"/>
    <w:rsid w:val="045F6A0A"/>
    <w:rsid w:val="046B0BDC"/>
    <w:rsid w:val="046C7F20"/>
    <w:rsid w:val="0483157C"/>
    <w:rsid w:val="04AB2475"/>
    <w:rsid w:val="04B17363"/>
    <w:rsid w:val="04B92AB2"/>
    <w:rsid w:val="04CC5A7B"/>
    <w:rsid w:val="0506094C"/>
    <w:rsid w:val="05246190"/>
    <w:rsid w:val="052F7BDE"/>
    <w:rsid w:val="0557260C"/>
    <w:rsid w:val="055B1A12"/>
    <w:rsid w:val="0593254F"/>
    <w:rsid w:val="05A87D29"/>
    <w:rsid w:val="05F1273E"/>
    <w:rsid w:val="05F1290D"/>
    <w:rsid w:val="05F51C46"/>
    <w:rsid w:val="061D4F3F"/>
    <w:rsid w:val="061E465A"/>
    <w:rsid w:val="06297651"/>
    <w:rsid w:val="062A7203"/>
    <w:rsid w:val="063C38B5"/>
    <w:rsid w:val="068055CA"/>
    <w:rsid w:val="077A3B97"/>
    <w:rsid w:val="07B66727"/>
    <w:rsid w:val="07C71A34"/>
    <w:rsid w:val="07FB1E0E"/>
    <w:rsid w:val="08075AF6"/>
    <w:rsid w:val="080B77B6"/>
    <w:rsid w:val="085206BF"/>
    <w:rsid w:val="085A5790"/>
    <w:rsid w:val="086D1A05"/>
    <w:rsid w:val="087F4B83"/>
    <w:rsid w:val="088E0365"/>
    <w:rsid w:val="08C26AA5"/>
    <w:rsid w:val="08CC6781"/>
    <w:rsid w:val="08D70C47"/>
    <w:rsid w:val="08EB3F52"/>
    <w:rsid w:val="092847CA"/>
    <w:rsid w:val="093874A2"/>
    <w:rsid w:val="09684C0F"/>
    <w:rsid w:val="099009CE"/>
    <w:rsid w:val="099E4BC2"/>
    <w:rsid w:val="09AD6DBB"/>
    <w:rsid w:val="0A22782C"/>
    <w:rsid w:val="0A85045D"/>
    <w:rsid w:val="0AE4197D"/>
    <w:rsid w:val="0B13691D"/>
    <w:rsid w:val="0B200F71"/>
    <w:rsid w:val="0B3576E3"/>
    <w:rsid w:val="0B421BD6"/>
    <w:rsid w:val="0B4F3217"/>
    <w:rsid w:val="0B667FED"/>
    <w:rsid w:val="0B8019B1"/>
    <w:rsid w:val="0B8F2739"/>
    <w:rsid w:val="0B9B6058"/>
    <w:rsid w:val="0B9D5A96"/>
    <w:rsid w:val="0BBE5FFC"/>
    <w:rsid w:val="0BD77E6C"/>
    <w:rsid w:val="0C1217A4"/>
    <w:rsid w:val="0C2C6048"/>
    <w:rsid w:val="0C425AE4"/>
    <w:rsid w:val="0C445065"/>
    <w:rsid w:val="0C76718D"/>
    <w:rsid w:val="0C9009B1"/>
    <w:rsid w:val="0CCD1D3B"/>
    <w:rsid w:val="0CE975F0"/>
    <w:rsid w:val="0D0A44E6"/>
    <w:rsid w:val="0D484369"/>
    <w:rsid w:val="0D96463F"/>
    <w:rsid w:val="0D9679A1"/>
    <w:rsid w:val="0D975C75"/>
    <w:rsid w:val="0DA902C8"/>
    <w:rsid w:val="0DA937A3"/>
    <w:rsid w:val="0DC06C07"/>
    <w:rsid w:val="0DEA4F56"/>
    <w:rsid w:val="0DEB08B3"/>
    <w:rsid w:val="0DEF4814"/>
    <w:rsid w:val="0DF4033F"/>
    <w:rsid w:val="0E0C73B6"/>
    <w:rsid w:val="0E0D0EC1"/>
    <w:rsid w:val="0E182722"/>
    <w:rsid w:val="0E1B0198"/>
    <w:rsid w:val="0E23622E"/>
    <w:rsid w:val="0E24080A"/>
    <w:rsid w:val="0E276792"/>
    <w:rsid w:val="0E50474C"/>
    <w:rsid w:val="0E600F6E"/>
    <w:rsid w:val="0E655E4B"/>
    <w:rsid w:val="0E7773C3"/>
    <w:rsid w:val="0E823A32"/>
    <w:rsid w:val="0E8D251B"/>
    <w:rsid w:val="0E8F14BF"/>
    <w:rsid w:val="0E943882"/>
    <w:rsid w:val="0EA972A9"/>
    <w:rsid w:val="0ED15B27"/>
    <w:rsid w:val="0EF4628A"/>
    <w:rsid w:val="0EFA419D"/>
    <w:rsid w:val="0F0D2708"/>
    <w:rsid w:val="0F3B4ACF"/>
    <w:rsid w:val="0F6161F2"/>
    <w:rsid w:val="0F870DDE"/>
    <w:rsid w:val="0FAF0392"/>
    <w:rsid w:val="0FAF5B9A"/>
    <w:rsid w:val="0FC01045"/>
    <w:rsid w:val="10091F90"/>
    <w:rsid w:val="1040460D"/>
    <w:rsid w:val="10543453"/>
    <w:rsid w:val="106B7D58"/>
    <w:rsid w:val="107A2A2B"/>
    <w:rsid w:val="1083458C"/>
    <w:rsid w:val="108F1F6A"/>
    <w:rsid w:val="10917BE0"/>
    <w:rsid w:val="11374485"/>
    <w:rsid w:val="11426613"/>
    <w:rsid w:val="119721BF"/>
    <w:rsid w:val="11A31A53"/>
    <w:rsid w:val="11D2003C"/>
    <w:rsid w:val="120C264D"/>
    <w:rsid w:val="12122800"/>
    <w:rsid w:val="1223181F"/>
    <w:rsid w:val="122820D4"/>
    <w:rsid w:val="1239126D"/>
    <w:rsid w:val="124627DA"/>
    <w:rsid w:val="129F742E"/>
    <w:rsid w:val="12A43316"/>
    <w:rsid w:val="12A81650"/>
    <w:rsid w:val="12C7664F"/>
    <w:rsid w:val="12D71C18"/>
    <w:rsid w:val="1322725B"/>
    <w:rsid w:val="13341C82"/>
    <w:rsid w:val="137865F5"/>
    <w:rsid w:val="13813A20"/>
    <w:rsid w:val="138B4BD3"/>
    <w:rsid w:val="13B27351"/>
    <w:rsid w:val="13DE2C23"/>
    <w:rsid w:val="13F03F8A"/>
    <w:rsid w:val="13F21F47"/>
    <w:rsid w:val="13F364EB"/>
    <w:rsid w:val="141445A8"/>
    <w:rsid w:val="1433159C"/>
    <w:rsid w:val="14387767"/>
    <w:rsid w:val="144006A6"/>
    <w:rsid w:val="14881EBF"/>
    <w:rsid w:val="149B56BC"/>
    <w:rsid w:val="149C3C37"/>
    <w:rsid w:val="14B57ED3"/>
    <w:rsid w:val="14E629DC"/>
    <w:rsid w:val="15051F1D"/>
    <w:rsid w:val="151648D1"/>
    <w:rsid w:val="153147CD"/>
    <w:rsid w:val="155A0D15"/>
    <w:rsid w:val="156432AD"/>
    <w:rsid w:val="15734CD8"/>
    <w:rsid w:val="15DE1C7E"/>
    <w:rsid w:val="15ED169A"/>
    <w:rsid w:val="16006D3F"/>
    <w:rsid w:val="16040771"/>
    <w:rsid w:val="162B1B05"/>
    <w:rsid w:val="16316D25"/>
    <w:rsid w:val="16540FA7"/>
    <w:rsid w:val="169C5B2E"/>
    <w:rsid w:val="16AC428E"/>
    <w:rsid w:val="16BC26E2"/>
    <w:rsid w:val="16C151D2"/>
    <w:rsid w:val="16CA1368"/>
    <w:rsid w:val="16CA3198"/>
    <w:rsid w:val="17456DB9"/>
    <w:rsid w:val="176678FF"/>
    <w:rsid w:val="176F6BF2"/>
    <w:rsid w:val="177C3946"/>
    <w:rsid w:val="178C02FA"/>
    <w:rsid w:val="1828246F"/>
    <w:rsid w:val="182F2A52"/>
    <w:rsid w:val="183C63BA"/>
    <w:rsid w:val="186D6A90"/>
    <w:rsid w:val="18F636E6"/>
    <w:rsid w:val="19040249"/>
    <w:rsid w:val="1949277D"/>
    <w:rsid w:val="194E016A"/>
    <w:rsid w:val="195D6BE3"/>
    <w:rsid w:val="1967588A"/>
    <w:rsid w:val="19A5407B"/>
    <w:rsid w:val="19AF15DD"/>
    <w:rsid w:val="19D520AC"/>
    <w:rsid w:val="19F336C7"/>
    <w:rsid w:val="1A066FED"/>
    <w:rsid w:val="1A1E2F47"/>
    <w:rsid w:val="1A2D6666"/>
    <w:rsid w:val="1A4904BC"/>
    <w:rsid w:val="1A8B4088"/>
    <w:rsid w:val="1AB0197B"/>
    <w:rsid w:val="1ABA7ED5"/>
    <w:rsid w:val="1B0062E3"/>
    <w:rsid w:val="1B1C713C"/>
    <w:rsid w:val="1B2516E2"/>
    <w:rsid w:val="1B3B62C4"/>
    <w:rsid w:val="1B591C91"/>
    <w:rsid w:val="1B663DB6"/>
    <w:rsid w:val="1B6E41E1"/>
    <w:rsid w:val="1B9F1DB3"/>
    <w:rsid w:val="1BAE57B7"/>
    <w:rsid w:val="1BBE5579"/>
    <w:rsid w:val="1BCA5E15"/>
    <w:rsid w:val="1BD0710C"/>
    <w:rsid w:val="1BD573E4"/>
    <w:rsid w:val="1BF34FF4"/>
    <w:rsid w:val="1BF63DC2"/>
    <w:rsid w:val="1BF838FD"/>
    <w:rsid w:val="1BFB76B0"/>
    <w:rsid w:val="1C2A4F04"/>
    <w:rsid w:val="1C2F7818"/>
    <w:rsid w:val="1C386F61"/>
    <w:rsid w:val="1C7908FC"/>
    <w:rsid w:val="1C9260FE"/>
    <w:rsid w:val="1CA26C1C"/>
    <w:rsid w:val="1CA529FA"/>
    <w:rsid w:val="1CE4351B"/>
    <w:rsid w:val="1CE72C4A"/>
    <w:rsid w:val="1CED5D86"/>
    <w:rsid w:val="1D011872"/>
    <w:rsid w:val="1D062A01"/>
    <w:rsid w:val="1D2974F0"/>
    <w:rsid w:val="1D321371"/>
    <w:rsid w:val="1D3D7F38"/>
    <w:rsid w:val="1D714A07"/>
    <w:rsid w:val="1D732BA8"/>
    <w:rsid w:val="1D962032"/>
    <w:rsid w:val="1D9835E4"/>
    <w:rsid w:val="1DA6687F"/>
    <w:rsid w:val="1DBF25C2"/>
    <w:rsid w:val="1DE01514"/>
    <w:rsid w:val="1DE70714"/>
    <w:rsid w:val="1E071E62"/>
    <w:rsid w:val="1E0B4F03"/>
    <w:rsid w:val="1E222ED9"/>
    <w:rsid w:val="1E351CBA"/>
    <w:rsid w:val="1E3C1F02"/>
    <w:rsid w:val="1E666E3F"/>
    <w:rsid w:val="1E6E1935"/>
    <w:rsid w:val="1EA34596"/>
    <w:rsid w:val="1EDD6C6C"/>
    <w:rsid w:val="1F1F5596"/>
    <w:rsid w:val="1F397559"/>
    <w:rsid w:val="1F4A3FC3"/>
    <w:rsid w:val="1F64000B"/>
    <w:rsid w:val="1FCA4BF8"/>
    <w:rsid w:val="1FE90FF5"/>
    <w:rsid w:val="20064589"/>
    <w:rsid w:val="202209CB"/>
    <w:rsid w:val="20221F16"/>
    <w:rsid w:val="20810336"/>
    <w:rsid w:val="20826260"/>
    <w:rsid w:val="20A634A9"/>
    <w:rsid w:val="20F26DFB"/>
    <w:rsid w:val="211A15E9"/>
    <w:rsid w:val="213B123C"/>
    <w:rsid w:val="21A578DD"/>
    <w:rsid w:val="21C61D1A"/>
    <w:rsid w:val="21CB2F3F"/>
    <w:rsid w:val="22533827"/>
    <w:rsid w:val="226C412B"/>
    <w:rsid w:val="22700CA8"/>
    <w:rsid w:val="22850D4C"/>
    <w:rsid w:val="22CD5824"/>
    <w:rsid w:val="22F63984"/>
    <w:rsid w:val="22F84363"/>
    <w:rsid w:val="22FB7D9A"/>
    <w:rsid w:val="23544A39"/>
    <w:rsid w:val="23B5144C"/>
    <w:rsid w:val="23B615F6"/>
    <w:rsid w:val="23B64BA9"/>
    <w:rsid w:val="23F0674C"/>
    <w:rsid w:val="23F60825"/>
    <w:rsid w:val="2412703C"/>
    <w:rsid w:val="24155192"/>
    <w:rsid w:val="243F62AC"/>
    <w:rsid w:val="248433DA"/>
    <w:rsid w:val="24D71207"/>
    <w:rsid w:val="24FC417F"/>
    <w:rsid w:val="251F3FA8"/>
    <w:rsid w:val="253A5760"/>
    <w:rsid w:val="253F60A4"/>
    <w:rsid w:val="255404BF"/>
    <w:rsid w:val="256834E7"/>
    <w:rsid w:val="25B95F44"/>
    <w:rsid w:val="25DD260A"/>
    <w:rsid w:val="25E16F30"/>
    <w:rsid w:val="26237696"/>
    <w:rsid w:val="268231A3"/>
    <w:rsid w:val="269F0AAD"/>
    <w:rsid w:val="26C66955"/>
    <w:rsid w:val="26F03136"/>
    <w:rsid w:val="270F7064"/>
    <w:rsid w:val="27563197"/>
    <w:rsid w:val="2767390A"/>
    <w:rsid w:val="27744FD6"/>
    <w:rsid w:val="27891436"/>
    <w:rsid w:val="27CE3856"/>
    <w:rsid w:val="27F55973"/>
    <w:rsid w:val="28145850"/>
    <w:rsid w:val="281B73FD"/>
    <w:rsid w:val="285B596A"/>
    <w:rsid w:val="286C410F"/>
    <w:rsid w:val="288F715D"/>
    <w:rsid w:val="28936A7D"/>
    <w:rsid w:val="28947FEF"/>
    <w:rsid w:val="28AC554B"/>
    <w:rsid w:val="28C66721"/>
    <w:rsid w:val="28D1518A"/>
    <w:rsid w:val="28EC2FF8"/>
    <w:rsid w:val="28EE1023"/>
    <w:rsid w:val="294D7013"/>
    <w:rsid w:val="29763E79"/>
    <w:rsid w:val="297F4B04"/>
    <w:rsid w:val="29A82935"/>
    <w:rsid w:val="29AD4693"/>
    <w:rsid w:val="29C12CFB"/>
    <w:rsid w:val="29DA230C"/>
    <w:rsid w:val="29FD5108"/>
    <w:rsid w:val="2A1F169C"/>
    <w:rsid w:val="2A232F79"/>
    <w:rsid w:val="2A324CFC"/>
    <w:rsid w:val="2A3C3D88"/>
    <w:rsid w:val="2A4218E4"/>
    <w:rsid w:val="2A4839AB"/>
    <w:rsid w:val="2A683A21"/>
    <w:rsid w:val="2B00248A"/>
    <w:rsid w:val="2B3E162A"/>
    <w:rsid w:val="2B5A1E76"/>
    <w:rsid w:val="2B610509"/>
    <w:rsid w:val="2C250291"/>
    <w:rsid w:val="2C250427"/>
    <w:rsid w:val="2C2B37E0"/>
    <w:rsid w:val="2C7926FB"/>
    <w:rsid w:val="2CE543EC"/>
    <w:rsid w:val="2D01304D"/>
    <w:rsid w:val="2D057641"/>
    <w:rsid w:val="2D185B09"/>
    <w:rsid w:val="2D297D44"/>
    <w:rsid w:val="2D3F75AA"/>
    <w:rsid w:val="2D5E3375"/>
    <w:rsid w:val="2D741A4D"/>
    <w:rsid w:val="2D791B49"/>
    <w:rsid w:val="2D874951"/>
    <w:rsid w:val="2D8E1D82"/>
    <w:rsid w:val="2D9479D3"/>
    <w:rsid w:val="2DBA0419"/>
    <w:rsid w:val="2DC805E8"/>
    <w:rsid w:val="2DDB46C1"/>
    <w:rsid w:val="2DE117EE"/>
    <w:rsid w:val="2E0F5B79"/>
    <w:rsid w:val="2E1C72DA"/>
    <w:rsid w:val="2E410200"/>
    <w:rsid w:val="2E472EA1"/>
    <w:rsid w:val="2E494290"/>
    <w:rsid w:val="2E5614F6"/>
    <w:rsid w:val="2E5A363C"/>
    <w:rsid w:val="2E66264A"/>
    <w:rsid w:val="2E6723D8"/>
    <w:rsid w:val="2E881BA9"/>
    <w:rsid w:val="2E9115BD"/>
    <w:rsid w:val="2E9C675A"/>
    <w:rsid w:val="2E9E4356"/>
    <w:rsid w:val="2EA52652"/>
    <w:rsid w:val="2EBE4669"/>
    <w:rsid w:val="2EF55CFA"/>
    <w:rsid w:val="2F0F3368"/>
    <w:rsid w:val="2F19559E"/>
    <w:rsid w:val="2F313D0A"/>
    <w:rsid w:val="2F9D4B95"/>
    <w:rsid w:val="2FA1297E"/>
    <w:rsid w:val="2FCE542B"/>
    <w:rsid w:val="2FDD2640"/>
    <w:rsid w:val="2FEC0D1B"/>
    <w:rsid w:val="2FF6143F"/>
    <w:rsid w:val="2FFA5411"/>
    <w:rsid w:val="30393D9F"/>
    <w:rsid w:val="30431C24"/>
    <w:rsid w:val="306407C3"/>
    <w:rsid w:val="307A3066"/>
    <w:rsid w:val="308D1245"/>
    <w:rsid w:val="30A346DC"/>
    <w:rsid w:val="30A55E88"/>
    <w:rsid w:val="30BA7C4D"/>
    <w:rsid w:val="31373240"/>
    <w:rsid w:val="3168083B"/>
    <w:rsid w:val="319845AF"/>
    <w:rsid w:val="319F5197"/>
    <w:rsid w:val="31B46778"/>
    <w:rsid w:val="32005ACC"/>
    <w:rsid w:val="32191E71"/>
    <w:rsid w:val="32261847"/>
    <w:rsid w:val="322B1CE1"/>
    <w:rsid w:val="3233591F"/>
    <w:rsid w:val="323D5E57"/>
    <w:rsid w:val="326B4043"/>
    <w:rsid w:val="32B5685D"/>
    <w:rsid w:val="32D331A4"/>
    <w:rsid w:val="32D447AC"/>
    <w:rsid w:val="33835A63"/>
    <w:rsid w:val="338702EB"/>
    <w:rsid w:val="338878B3"/>
    <w:rsid w:val="33E0763E"/>
    <w:rsid w:val="33E939F0"/>
    <w:rsid w:val="33F42776"/>
    <w:rsid w:val="33FC77CA"/>
    <w:rsid w:val="340C4BAD"/>
    <w:rsid w:val="34220119"/>
    <w:rsid w:val="342F1025"/>
    <w:rsid w:val="34562D1A"/>
    <w:rsid w:val="3461796F"/>
    <w:rsid w:val="348F1050"/>
    <w:rsid w:val="34903D06"/>
    <w:rsid w:val="34F16E3C"/>
    <w:rsid w:val="34F429D0"/>
    <w:rsid w:val="34FD5E06"/>
    <w:rsid w:val="35A16CA0"/>
    <w:rsid w:val="35A7651F"/>
    <w:rsid w:val="35B2561E"/>
    <w:rsid w:val="35B91D1C"/>
    <w:rsid w:val="35C7443E"/>
    <w:rsid w:val="35E36E62"/>
    <w:rsid w:val="35FB5103"/>
    <w:rsid w:val="36101E8A"/>
    <w:rsid w:val="362B7D2A"/>
    <w:rsid w:val="3631642F"/>
    <w:rsid w:val="363A14E1"/>
    <w:rsid w:val="36551DDC"/>
    <w:rsid w:val="36A43AAF"/>
    <w:rsid w:val="36B424F2"/>
    <w:rsid w:val="36BF538F"/>
    <w:rsid w:val="37024487"/>
    <w:rsid w:val="37031584"/>
    <w:rsid w:val="372351AB"/>
    <w:rsid w:val="37257DEB"/>
    <w:rsid w:val="3751011F"/>
    <w:rsid w:val="376801E4"/>
    <w:rsid w:val="37812F1C"/>
    <w:rsid w:val="37BB4B7A"/>
    <w:rsid w:val="37BB73F9"/>
    <w:rsid w:val="37BE4DE7"/>
    <w:rsid w:val="37D304DF"/>
    <w:rsid w:val="3803511D"/>
    <w:rsid w:val="380368E9"/>
    <w:rsid w:val="383474A1"/>
    <w:rsid w:val="383C5D68"/>
    <w:rsid w:val="385B3A21"/>
    <w:rsid w:val="38650022"/>
    <w:rsid w:val="38DA4A09"/>
    <w:rsid w:val="38F947C3"/>
    <w:rsid w:val="38FA40FA"/>
    <w:rsid w:val="39112206"/>
    <w:rsid w:val="39253BF9"/>
    <w:rsid w:val="392E14BD"/>
    <w:rsid w:val="39396C5E"/>
    <w:rsid w:val="39445724"/>
    <w:rsid w:val="398A5FE3"/>
    <w:rsid w:val="39940408"/>
    <w:rsid w:val="399817B6"/>
    <w:rsid w:val="39994C6C"/>
    <w:rsid w:val="39BA7805"/>
    <w:rsid w:val="3A2738FD"/>
    <w:rsid w:val="3A487489"/>
    <w:rsid w:val="3A4E4E7A"/>
    <w:rsid w:val="3A6F369F"/>
    <w:rsid w:val="3A737BFB"/>
    <w:rsid w:val="3A852E48"/>
    <w:rsid w:val="3A8A617C"/>
    <w:rsid w:val="3A944414"/>
    <w:rsid w:val="3AA75680"/>
    <w:rsid w:val="3AB855AB"/>
    <w:rsid w:val="3ABC797F"/>
    <w:rsid w:val="3ACB7DB4"/>
    <w:rsid w:val="3AE666AB"/>
    <w:rsid w:val="3B1A4171"/>
    <w:rsid w:val="3B5079DD"/>
    <w:rsid w:val="3B530C1D"/>
    <w:rsid w:val="3B542668"/>
    <w:rsid w:val="3B710D57"/>
    <w:rsid w:val="3B72747C"/>
    <w:rsid w:val="3BD5714B"/>
    <w:rsid w:val="3C1B48AE"/>
    <w:rsid w:val="3C521EC1"/>
    <w:rsid w:val="3C5474A8"/>
    <w:rsid w:val="3CB073DE"/>
    <w:rsid w:val="3CBA4966"/>
    <w:rsid w:val="3CC65E20"/>
    <w:rsid w:val="3CD302BD"/>
    <w:rsid w:val="3CD464E2"/>
    <w:rsid w:val="3CD74D86"/>
    <w:rsid w:val="3CE829C9"/>
    <w:rsid w:val="3D0B4C75"/>
    <w:rsid w:val="3D1F2EFC"/>
    <w:rsid w:val="3D6213C3"/>
    <w:rsid w:val="3D9F44FE"/>
    <w:rsid w:val="3DB87CE5"/>
    <w:rsid w:val="3DE9188C"/>
    <w:rsid w:val="3E0005D9"/>
    <w:rsid w:val="3E410389"/>
    <w:rsid w:val="3E583F87"/>
    <w:rsid w:val="3E7061DA"/>
    <w:rsid w:val="3E863CC5"/>
    <w:rsid w:val="3EA868D8"/>
    <w:rsid w:val="3F0A508C"/>
    <w:rsid w:val="3F140668"/>
    <w:rsid w:val="3F21432B"/>
    <w:rsid w:val="3F58064E"/>
    <w:rsid w:val="3F711504"/>
    <w:rsid w:val="3F7D1E85"/>
    <w:rsid w:val="3FC0380F"/>
    <w:rsid w:val="3FF455E7"/>
    <w:rsid w:val="3FF7026F"/>
    <w:rsid w:val="40146C41"/>
    <w:rsid w:val="401E5636"/>
    <w:rsid w:val="40B74574"/>
    <w:rsid w:val="40CC1728"/>
    <w:rsid w:val="41125CDB"/>
    <w:rsid w:val="411356D3"/>
    <w:rsid w:val="41235797"/>
    <w:rsid w:val="41464BB3"/>
    <w:rsid w:val="414F48F8"/>
    <w:rsid w:val="415B6C69"/>
    <w:rsid w:val="41643DC8"/>
    <w:rsid w:val="419D5F86"/>
    <w:rsid w:val="41E2138A"/>
    <w:rsid w:val="420332BF"/>
    <w:rsid w:val="42073526"/>
    <w:rsid w:val="42215ABE"/>
    <w:rsid w:val="423827E0"/>
    <w:rsid w:val="42432054"/>
    <w:rsid w:val="429077F8"/>
    <w:rsid w:val="4291353B"/>
    <w:rsid w:val="42B0114E"/>
    <w:rsid w:val="43502090"/>
    <w:rsid w:val="435270DB"/>
    <w:rsid w:val="43712331"/>
    <w:rsid w:val="43743CAC"/>
    <w:rsid w:val="43D95701"/>
    <w:rsid w:val="440F5960"/>
    <w:rsid w:val="4428467D"/>
    <w:rsid w:val="444969E0"/>
    <w:rsid w:val="444B7A63"/>
    <w:rsid w:val="444E2555"/>
    <w:rsid w:val="44602340"/>
    <w:rsid w:val="447F04A4"/>
    <w:rsid w:val="448602B3"/>
    <w:rsid w:val="44C331FC"/>
    <w:rsid w:val="44CC0E59"/>
    <w:rsid w:val="44F34F96"/>
    <w:rsid w:val="452510A4"/>
    <w:rsid w:val="452C71D7"/>
    <w:rsid w:val="452E51D1"/>
    <w:rsid w:val="4530055D"/>
    <w:rsid w:val="453D3F02"/>
    <w:rsid w:val="454B1982"/>
    <w:rsid w:val="45527497"/>
    <w:rsid w:val="455C3C07"/>
    <w:rsid w:val="455D0F3D"/>
    <w:rsid w:val="4561064E"/>
    <w:rsid w:val="45693967"/>
    <w:rsid w:val="45897BC0"/>
    <w:rsid w:val="458F3BBD"/>
    <w:rsid w:val="45E67226"/>
    <w:rsid w:val="45F85F95"/>
    <w:rsid w:val="46043434"/>
    <w:rsid w:val="46063A88"/>
    <w:rsid w:val="461A78FB"/>
    <w:rsid w:val="461E4A09"/>
    <w:rsid w:val="462B636B"/>
    <w:rsid w:val="46597941"/>
    <w:rsid w:val="466703CF"/>
    <w:rsid w:val="466A3A71"/>
    <w:rsid w:val="46AD0D93"/>
    <w:rsid w:val="46CE6D64"/>
    <w:rsid w:val="46CF779A"/>
    <w:rsid w:val="46D87369"/>
    <w:rsid w:val="46EF0CA7"/>
    <w:rsid w:val="46F94EC9"/>
    <w:rsid w:val="47084408"/>
    <w:rsid w:val="47384473"/>
    <w:rsid w:val="47413A43"/>
    <w:rsid w:val="4752395B"/>
    <w:rsid w:val="477415E3"/>
    <w:rsid w:val="4787223F"/>
    <w:rsid w:val="47893343"/>
    <w:rsid w:val="479E44DC"/>
    <w:rsid w:val="47B2394A"/>
    <w:rsid w:val="47F2262D"/>
    <w:rsid w:val="480B7063"/>
    <w:rsid w:val="481F13DA"/>
    <w:rsid w:val="48776C75"/>
    <w:rsid w:val="488418B9"/>
    <w:rsid w:val="489378AB"/>
    <w:rsid w:val="48C453B7"/>
    <w:rsid w:val="48D42BB4"/>
    <w:rsid w:val="48DC563C"/>
    <w:rsid w:val="48F11756"/>
    <w:rsid w:val="48F67086"/>
    <w:rsid w:val="493F7773"/>
    <w:rsid w:val="49542B82"/>
    <w:rsid w:val="49683A46"/>
    <w:rsid w:val="49772732"/>
    <w:rsid w:val="497B0FBC"/>
    <w:rsid w:val="49A67675"/>
    <w:rsid w:val="49D11745"/>
    <w:rsid w:val="49D640B5"/>
    <w:rsid w:val="49E20DDD"/>
    <w:rsid w:val="49E436D0"/>
    <w:rsid w:val="4A15390F"/>
    <w:rsid w:val="4A2C57D4"/>
    <w:rsid w:val="4A64130E"/>
    <w:rsid w:val="4A643EF8"/>
    <w:rsid w:val="4A9640C4"/>
    <w:rsid w:val="4A9C5C7C"/>
    <w:rsid w:val="4AE26D22"/>
    <w:rsid w:val="4AEE0EDA"/>
    <w:rsid w:val="4B045C4A"/>
    <w:rsid w:val="4B056255"/>
    <w:rsid w:val="4B5C4F0C"/>
    <w:rsid w:val="4BB564CA"/>
    <w:rsid w:val="4C0F63B2"/>
    <w:rsid w:val="4C270417"/>
    <w:rsid w:val="4C7E3398"/>
    <w:rsid w:val="4C8423AC"/>
    <w:rsid w:val="4C8C18EC"/>
    <w:rsid w:val="4CB622C2"/>
    <w:rsid w:val="4D025256"/>
    <w:rsid w:val="4D177A88"/>
    <w:rsid w:val="4D1B0FAF"/>
    <w:rsid w:val="4D1E762A"/>
    <w:rsid w:val="4D26044A"/>
    <w:rsid w:val="4D3504CD"/>
    <w:rsid w:val="4D394A7C"/>
    <w:rsid w:val="4D546DAB"/>
    <w:rsid w:val="4D954544"/>
    <w:rsid w:val="4D9C41D3"/>
    <w:rsid w:val="4DBF2A34"/>
    <w:rsid w:val="4DC6050C"/>
    <w:rsid w:val="4DF73C56"/>
    <w:rsid w:val="4E3068F9"/>
    <w:rsid w:val="4E3824F0"/>
    <w:rsid w:val="4E764490"/>
    <w:rsid w:val="4E7E0DE0"/>
    <w:rsid w:val="4E8A03B3"/>
    <w:rsid w:val="4EAE00FC"/>
    <w:rsid w:val="4ED335D3"/>
    <w:rsid w:val="4EE616D5"/>
    <w:rsid w:val="4F55279D"/>
    <w:rsid w:val="4F7F2021"/>
    <w:rsid w:val="4FA32934"/>
    <w:rsid w:val="4FBE6428"/>
    <w:rsid w:val="4FFB513F"/>
    <w:rsid w:val="5008551D"/>
    <w:rsid w:val="501B1B69"/>
    <w:rsid w:val="501D53C2"/>
    <w:rsid w:val="5023741F"/>
    <w:rsid w:val="50631515"/>
    <w:rsid w:val="50664AF8"/>
    <w:rsid w:val="50956B7E"/>
    <w:rsid w:val="50B80FCD"/>
    <w:rsid w:val="50D0287E"/>
    <w:rsid w:val="50DD689F"/>
    <w:rsid w:val="51280015"/>
    <w:rsid w:val="515C7615"/>
    <w:rsid w:val="516F1760"/>
    <w:rsid w:val="51A3085A"/>
    <w:rsid w:val="51C44D37"/>
    <w:rsid w:val="51D02D0A"/>
    <w:rsid w:val="51D5519A"/>
    <w:rsid w:val="51EF2649"/>
    <w:rsid w:val="51F54B29"/>
    <w:rsid w:val="52095930"/>
    <w:rsid w:val="5250748C"/>
    <w:rsid w:val="52721433"/>
    <w:rsid w:val="52A50228"/>
    <w:rsid w:val="52B56CAA"/>
    <w:rsid w:val="52BF204D"/>
    <w:rsid w:val="52EE7B26"/>
    <w:rsid w:val="532E1939"/>
    <w:rsid w:val="53CF2ABD"/>
    <w:rsid w:val="53DE0E85"/>
    <w:rsid w:val="541F6966"/>
    <w:rsid w:val="54294BEB"/>
    <w:rsid w:val="543776F5"/>
    <w:rsid w:val="545A1C47"/>
    <w:rsid w:val="54602459"/>
    <w:rsid w:val="547E6419"/>
    <w:rsid w:val="54811CC9"/>
    <w:rsid w:val="54821502"/>
    <w:rsid w:val="549D0CBC"/>
    <w:rsid w:val="54AA2438"/>
    <w:rsid w:val="54B00E3D"/>
    <w:rsid w:val="54CC7DA2"/>
    <w:rsid w:val="54D96052"/>
    <w:rsid w:val="54DD6A56"/>
    <w:rsid w:val="55090618"/>
    <w:rsid w:val="551E0802"/>
    <w:rsid w:val="551F5686"/>
    <w:rsid w:val="55345C32"/>
    <w:rsid w:val="55477854"/>
    <w:rsid w:val="55491E46"/>
    <w:rsid w:val="558F0D18"/>
    <w:rsid w:val="55C827BD"/>
    <w:rsid w:val="56095A91"/>
    <w:rsid w:val="562517CE"/>
    <w:rsid w:val="566764AA"/>
    <w:rsid w:val="56724C95"/>
    <w:rsid w:val="56774421"/>
    <w:rsid w:val="569B0E5E"/>
    <w:rsid w:val="56C43CE5"/>
    <w:rsid w:val="57644F88"/>
    <w:rsid w:val="57A554C1"/>
    <w:rsid w:val="57A83FE5"/>
    <w:rsid w:val="57CB45B2"/>
    <w:rsid w:val="57DA367C"/>
    <w:rsid w:val="57E2367E"/>
    <w:rsid w:val="583A63C2"/>
    <w:rsid w:val="58487543"/>
    <w:rsid w:val="584F0603"/>
    <w:rsid w:val="58993C11"/>
    <w:rsid w:val="58A10100"/>
    <w:rsid w:val="58D659B3"/>
    <w:rsid w:val="58D672A7"/>
    <w:rsid w:val="58FA6337"/>
    <w:rsid w:val="5913239A"/>
    <w:rsid w:val="59140A47"/>
    <w:rsid w:val="591959BF"/>
    <w:rsid w:val="592854F9"/>
    <w:rsid w:val="59341AEF"/>
    <w:rsid w:val="596C1781"/>
    <w:rsid w:val="598510FA"/>
    <w:rsid w:val="59971ABF"/>
    <w:rsid w:val="59AD375F"/>
    <w:rsid w:val="59D34098"/>
    <w:rsid w:val="5A2F296A"/>
    <w:rsid w:val="5A5C2A6E"/>
    <w:rsid w:val="5A946633"/>
    <w:rsid w:val="5AE73D6D"/>
    <w:rsid w:val="5B1A4A0F"/>
    <w:rsid w:val="5B3916F8"/>
    <w:rsid w:val="5B9F1EB8"/>
    <w:rsid w:val="5BC72ADC"/>
    <w:rsid w:val="5BD33F99"/>
    <w:rsid w:val="5BD47684"/>
    <w:rsid w:val="5BE36CFB"/>
    <w:rsid w:val="5BF9060C"/>
    <w:rsid w:val="5C040268"/>
    <w:rsid w:val="5C2D184D"/>
    <w:rsid w:val="5C954AEF"/>
    <w:rsid w:val="5CA72F2B"/>
    <w:rsid w:val="5CA85AC8"/>
    <w:rsid w:val="5CA96E90"/>
    <w:rsid w:val="5CAC081B"/>
    <w:rsid w:val="5D086AE0"/>
    <w:rsid w:val="5D1108A6"/>
    <w:rsid w:val="5D6113BD"/>
    <w:rsid w:val="5D6932AC"/>
    <w:rsid w:val="5D705830"/>
    <w:rsid w:val="5D942926"/>
    <w:rsid w:val="5DD10FBE"/>
    <w:rsid w:val="5DE11842"/>
    <w:rsid w:val="5E0615F5"/>
    <w:rsid w:val="5E383101"/>
    <w:rsid w:val="5E5E31FA"/>
    <w:rsid w:val="5E6F3488"/>
    <w:rsid w:val="5E6F49B2"/>
    <w:rsid w:val="5E7506F5"/>
    <w:rsid w:val="5E8009CD"/>
    <w:rsid w:val="5E804826"/>
    <w:rsid w:val="5E9149CF"/>
    <w:rsid w:val="5EA72F53"/>
    <w:rsid w:val="5EC70F5A"/>
    <w:rsid w:val="5ECB2528"/>
    <w:rsid w:val="5ED30372"/>
    <w:rsid w:val="5EE0378C"/>
    <w:rsid w:val="5EED3586"/>
    <w:rsid w:val="5F0201F5"/>
    <w:rsid w:val="5F2E4633"/>
    <w:rsid w:val="5F3D7D0E"/>
    <w:rsid w:val="5F405331"/>
    <w:rsid w:val="5F447A81"/>
    <w:rsid w:val="5F933958"/>
    <w:rsid w:val="5F9350F1"/>
    <w:rsid w:val="5FC9135B"/>
    <w:rsid w:val="600D0AD3"/>
    <w:rsid w:val="600F628C"/>
    <w:rsid w:val="60360482"/>
    <w:rsid w:val="60585D62"/>
    <w:rsid w:val="6074415B"/>
    <w:rsid w:val="60A63360"/>
    <w:rsid w:val="60D31562"/>
    <w:rsid w:val="60D728FB"/>
    <w:rsid w:val="60F46444"/>
    <w:rsid w:val="610B320E"/>
    <w:rsid w:val="610F2DCF"/>
    <w:rsid w:val="611733FE"/>
    <w:rsid w:val="612C252D"/>
    <w:rsid w:val="613500B2"/>
    <w:rsid w:val="61376CF3"/>
    <w:rsid w:val="61381BD7"/>
    <w:rsid w:val="61520B8C"/>
    <w:rsid w:val="619A650C"/>
    <w:rsid w:val="61A664BE"/>
    <w:rsid w:val="61AA63EB"/>
    <w:rsid w:val="61E17048"/>
    <w:rsid w:val="61E801A4"/>
    <w:rsid w:val="621E485C"/>
    <w:rsid w:val="62292210"/>
    <w:rsid w:val="62307F29"/>
    <w:rsid w:val="62A713B8"/>
    <w:rsid w:val="62BB086C"/>
    <w:rsid w:val="62D14922"/>
    <w:rsid w:val="62FD2A0F"/>
    <w:rsid w:val="6312218F"/>
    <w:rsid w:val="631D043A"/>
    <w:rsid w:val="63245F80"/>
    <w:rsid w:val="6348509C"/>
    <w:rsid w:val="63661835"/>
    <w:rsid w:val="637653B8"/>
    <w:rsid w:val="63BB2797"/>
    <w:rsid w:val="6402638B"/>
    <w:rsid w:val="64113058"/>
    <w:rsid w:val="642743CD"/>
    <w:rsid w:val="64380D97"/>
    <w:rsid w:val="644C69BE"/>
    <w:rsid w:val="64A212CD"/>
    <w:rsid w:val="64A23EE2"/>
    <w:rsid w:val="652770F9"/>
    <w:rsid w:val="65957F9B"/>
    <w:rsid w:val="65DC40F8"/>
    <w:rsid w:val="65DE67F2"/>
    <w:rsid w:val="660C0398"/>
    <w:rsid w:val="66226D5E"/>
    <w:rsid w:val="66661EBD"/>
    <w:rsid w:val="667802FC"/>
    <w:rsid w:val="66876426"/>
    <w:rsid w:val="66A8522D"/>
    <w:rsid w:val="66CC70B3"/>
    <w:rsid w:val="66DA6020"/>
    <w:rsid w:val="676F0D27"/>
    <w:rsid w:val="67AB1DB8"/>
    <w:rsid w:val="680D1014"/>
    <w:rsid w:val="680E31DC"/>
    <w:rsid w:val="681255F3"/>
    <w:rsid w:val="682227CA"/>
    <w:rsid w:val="6836563D"/>
    <w:rsid w:val="689F58A1"/>
    <w:rsid w:val="68A54DB1"/>
    <w:rsid w:val="68AC536F"/>
    <w:rsid w:val="68FC42C3"/>
    <w:rsid w:val="691B0F00"/>
    <w:rsid w:val="691F3377"/>
    <w:rsid w:val="69374A69"/>
    <w:rsid w:val="694532D4"/>
    <w:rsid w:val="69633D60"/>
    <w:rsid w:val="69774FF8"/>
    <w:rsid w:val="697E19DB"/>
    <w:rsid w:val="699C48FB"/>
    <w:rsid w:val="69C673B6"/>
    <w:rsid w:val="69F277AB"/>
    <w:rsid w:val="69FA4F9F"/>
    <w:rsid w:val="69FB1F78"/>
    <w:rsid w:val="6A0F5A2D"/>
    <w:rsid w:val="6A1B2069"/>
    <w:rsid w:val="6A4C1225"/>
    <w:rsid w:val="6A60067A"/>
    <w:rsid w:val="6A756E71"/>
    <w:rsid w:val="6A9210C1"/>
    <w:rsid w:val="6AB66D6B"/>
    <w:rsid w:val="6AC03A95"/>
    <w:rsid w:val="6AFF28FF"/>
    <w:rsid w:val="6B1869E5"/>
    <w:rsid w:val="6B1D15E8"/>
    <w:rsid w:val="6B3768EB"/>
    <w:rsid w:val="6B38611C"/>
    <w:rsid w:val="6B497B06"/>
    <w:rsid w:val="6B8571C8"/>
    <w:rsid w:val="6BF23ED8"/>
    <w:rsid w:val="6C1913F5"/>
    <w:rsid w:val="6C1A51D7"/>
    <w:rsid w:val="6C270035"/>
    <w:rsid w:val="6C577032"/>
    <w:rsid w:val="6C9416D6"/>
    <w:rsid w:val="6CA934DE"/>
    <w:rsid w:val="6CB84AC4"/>
    <w:rsid w:val="6D214D71"/>
    <w:rsid w:val="6D4A20DF"/>
    <w:rsid w:val="6D5E3853"/>
    <w:rsid w:val="6D720D16"/>
    <w:rsid w:val="6DB354AB"/>
    <w:rsid w:val="6E0070B5"/>
    <w:rsid w:val="6E127BF7"/>
    <w:rsid w:val="6E2242FC"/>
    <w:rsid w:val="6E295613"/>
    <w:rsid w:val="6E2B3272"/>
    <w:rsid w:val="6E3D5333"/>
    <w:rsid w:val="6EC20795"/>
    <w:rsid w:val="6ED71F91"/>
    <w:rsid w:val="6EDB41E1"/>
    <w:rsid w:val="6EEB422C"/>
    <w:rsid w:val="6F0A7200"/>
    <w:rsid w:val="6F2525C8"/>
    <w:rsid w:val="6F3720BE"/>
    <w:rsid w:val="6F856CAA"/>
    <w:rsid w:val="6FA5629E"/>
    <w:rsid w:val="6FDB6878"/>
    <w:rsid w:val="6FFF5333"/>
    <w:rsid w:val="70213730"/>
    <w:rsid w:val="7059007C"/>
    <w:rsid w:val="70A23EE1"/>
    <w:rsid w:val="70CD6A8C"/>
    <w:rsid w:val="70D478BB"/>
    <w:rsid w:val="70DC6D1E"/>
    <w:rsid w:val="70F20EE6"/>
    <w:rsid w:val="70F92230"/>
    <w:rsid w:val="711F529A"/>
    <w:rsid w:val="71687644"/>
    <w:rsid w:val="71B711A1"/>
    <w:rsid w:val="71BD043C"/>
    <w:rsid w:val="71C668D2"/>
    <w:rsid w:val="71CE47BE"/>
    <w:rsid w:val="71E02763"/>
    <w:rsid w:val="71F04484"/>
    <w:rsid w:val="72165FF1"/>
    <w:rsid w:val="7229590C"/>
    <w:rsid w:val="726803E1"/>
    <w:rsid w:val="72776146"/>
    <w:rsid w:val="729F62FB"/>
    <w:rsid w:val="72BC75B7"/>
    <w:rsid w:val="72CE2518"/>
    <w:rsid w:val="73596CAE"/>
    <w:rsid w:val="739E6BEC"/>
    <w:rsid w:val="739F17E1"/>
    <w:rsid w:val="73FC7B9C"/>
    <w:rsid w:val="74161689"/>
    <w:rsid w:val="74350708"/>
    <w:rsid w:val="744C6BC4"/>
    <w:rsid w:val="7450784E"/>
    <w:rsid w:val="74557806"/>
    <w:rsid w:val="7459076D"/>
    <w:rsid w:val="74853A0A"/>
    <w:rsid w:val="7491370C"/>
    <w:rsid w:val="74D20B89"/>
    <w:rsid w:val="74D955B1"/>
    <w:rsid w:val="75012D1E"/>
    <w:rsid w:val="755620CA"/>
    <w:rsid w:val="75731FD0"/>
    <w:rsid w:val="757A765C"/>
    <w:rsid w:val="75D017E9"/>
    <w:rsid w:val="75E174C9"/>
    <w:rsid w:val="75ED59FD"/>
    <w:rsid w:val="75F02D66"/>
    <w:rsid w:val="760A19CD"/>
    <w:rsid w:val="760F2252"/>
    <w:rsid w:val="76611939"/>
    <w:rsid w:val="766304FB"/>
    <w:rsid w:val="767718A2"/>
    <w:rsid w:val="76B948BE"/>
    <w:rsid w:val="76BC285E"/>
    <w:rsid w:val="7707291D"/>
    <w:rsid w:val="77275903"/>
    <w:rsid w:val="775A0D6A"/>
    <w:rsid w:val="77642710"/>
    <w:rsid w:val="77773F1B"/>
    <w:rsid w:val="77A80472"/>
    <w:rsid w:val="77B5151D"/>
    <w:rsid w:val="77BA2C07"/>
    <w:rsid w:val="78077E49"/>
    <w:rsid w:val="782879EA"/>
    <w:rsid w:val="7836325D"/>
    <w:rsid w:val="78444643"/>
    <w:rsid w:val="78477936"/>
    <w:rsid w:val="7899094F"/>
    <w:rsid w:val="78AE54E6"/>
    <w:rsid w:val="78B63393"/>
    <w:rsid w:val="78C20B1E"/>
    <w:rsid w:val="78C72993"/>
    <w:rsid w:val="78DC209B"/>
    <w:rsid w:val="78F351B6"/>
    <w:rsid w:val="79135767"/>
    <w:rsid w:val="791F777D"/>
    <w:rsid w:val="792F2C20"/>
    <w:rsid w:val="79395B4F"/>
    <w:rsid w:val="79610FF2"/>
    <w:rsid w:val="797E2ED8"/>
    <w:rsid w:val="79D07B0B"/>
    <w:rsid w:val="7A2E2964"/>
    <w:rsid w:val="7A3B282B"/>
    <w:rsid w:val="7A5343E6"/>
    <w:rsid w:val="7A8C406F"/>
    <w:rsid w:val="7AD456F6"/>
    <w:rsid w:val="7AED7A2D"/>
    <w:rsid w:val="7AFE32FA"/>
    <w:rsid w:val="7B120C32"/>
    <w:rsid w:val="7B12749D"/>
    <w:rsid w:val="7B172DAE"/>
    <w:rsid w:val="7B1E631C"/>
    <w:rsid w:val="7B2762C3"/>
    <w:rsid w:val="7B493EE4"/>
    <w:rsid w:val="7B717B60"/>
    <w:rsid w:val="7B844A1D"/>
    <w:rsid w:val="7B912BA7"/>
    <w:rsid w:val="7B972056"/>
    <w:rsid w:val="7BA10DEF"/>
    <w:rsid w:val="7BB76E70"/>
    <w:rsid w:val="7BBE3D80"/>
    <w:rsid w:val="7BE706D2"/>
    <w:rsid w:val="7C110EB4"/>
    <w:rsid w:val="7C723E83"/>
    <w:rsid w:val="7C800590"/>
    <w:rsid w:val="7C831930"/>
    <w:rsid w:val="7CC74721"/>
    <w:rsid w:val="7CDA1729"/>
    <w:rsid w:val="7CE85BF3"/>
    <w:rsid w:val="7D1511CD"/>
    <w:rsid w:val="7D312E59"/>
    <w:rsid w:val="7D3376AD"/>
    <w:rsid w:val="7D3B11E8"/>
    <w:rsid w:val="7DA243DB"/>
    <w:rsid w:val="7DBF5BE0"/>
    <w:rsid w:val="7DD725A9"/>
    <w:rsid w:val="7DEE2A37"/>
    <w:rsid w:val="7DFE31C4"/>
    <w:rsid w:val="7E0574C1"/>
    <w:rsid w:val="7E0E239F"/>
    <w:rsid w:val="7E2217F7"/>
    <w:rsid w:val="7E24535B"/>
    <w:rsid w:val="7E4D4AF5"/>
    <w:rsid w:val="7E4E04A0"/>
    <w:rsid w:val="7E516C68"/>
    <w:rsid w:val="7E5D22F9"/>
    <w:rsid w:val="7EBD3260"/>
    <w:rsid w:val="7EBF62A3"/>
    <w:rsid w:val="7ED960BD"/>
    <w:rsid w:val="7EE81233"/>
    <w:rsid w:val="7EEA7E0D"/>
    <w:rsid w:val="7EF16FE3"/>
    <w:rsid w:val="7F123263"/>
    <w:rsid w:val="7F2756AB"/>
    <w:rsid w:val="7F32394D"/>
    <w:rsid w:val="7F327028"/>
    <w:rsid w:val="7F915817"/>
    <w:rsid w:val="7FF71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0"/>
    <w:pPr>
      <w:keepNext/>
      <w:keepLines/>
      <w:tabs>
        <w:tab w:val="left" w:pos="1440"/>
      </w:tab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tabs>
        <w:tab w:val="left" w:pos="720"/>
      </w:tabs>
      <w:spacing w:before="260" w:after="260" w:line="413" w:lineRule="auto"/>
      <w:ind w:left="720" w:hanging="432"/>
      <w:outlineLvl w:val="2"/>
    </w:pPr>
    <w:rPr>
      <w:b/>
      <w:bCs/>
      <w:sz w:val="32"/>
      <w:szCs w:val="32"/>
    </w:rPr>
  </w:style>
  <w:style w:type="paragraph" w:styleId="5">
    <w:name w:val="heading 4"/>
    <w:basedOn w:val="1"/>
    <w:next w:val="1"/>
    <w:unhideWhenUsed/>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link w:val="52"/>
    <w:semiHidden/>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unhideWhenUsed/>
    <w:qFormat/>
    <w:uiPriority w:val="0"/>
    <w:rPr>
      <w:rFonts w:ascii="Cambria" w:hAnsi="Cambria" w:eastAsia="黑体" w:cs="Times New Roman"/>
      <w:sz w:val="20"/>
      <w:szCs w:val="20"/>
    </w:rPr>
  </w:style>
  <w:style w:type="paragraph" w:styleId="9">
    <w:name w:val="toa heading"/>
    <w:basedOn w:val="1"/>
    <w:next w:val="1"/>
    <w:qFormat/>
    <w:uiPriority w:val="0"/>
    <w:pPr>
      <w:spacing w:before="120"/>
    </w:pPr>
    <w:rPr>
      <w:rFonts w:ascii="Arial" w:hAnsi="Arial" w:eastAsia="宋体" w:cs="Times New Roman"/>
      <w:sz w:val="24"/>
      <w:szCs w:val="20"/>
    </w:rPr>
  </w:style>
  <w:style w:type="paragraph" w:styleId="10">
    <w:name w:val="annotation text"/>
    <w:basedOn w:val="1"/>
    <w:link w:val="48"/>
    <w:qFormat/>
    <w:uiPriority w:val="0"/>
    <w:pPr>
      <w:jc w:val="left"/>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alloon Text"/>
    <w:basedOn w:val="1"/>
    <w:link w:val="3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index heading"/>
    <w:basedOn w:val="1"/>
    <w:next w:val="19"/>
    <w:qFormat/>
    <w:uiPriority w:val="0"/>
    <w:rPr>
      <w:szCs w:val="20"/>
    </w:rPr>
  </w:style>
  <w:style w:type="paragraph" w:styleId="19">
    <w:name w:val="index 1"/>
    <w:basedOn w:val="1"/>
    <w:next w:val="1"/>
    <w:qFormat/>
    <w:uiPriority w:val="0"/>
    <w:rPr>
      <w:szCs w:val="20"/>
    </w:rPr>
  </w:style>
  <w:style w:type="paragraph" w:styleId="20">
    <w:name w:val="Body Text Indent 3"/>
    <w:basedOn w:val="1"/>
    <w:qFormat/>
    <w:uiPriority w:val="0"/>
    <w:pPr>
      <w:spacing w:line="360" w:lineRule="auto"/>
      <w:ind w:firstLine="420" w:firstLineChars="200"/>
    </w:pPr>
    <w:rPr>
      <w:rFonts w:ascii="Times New Roman" w:hAnsi="Times New Roman"/>
    </w:rPr>
  </w:style>
  <w:style w:type="paragraph" w:styleId="21">
    <w:name w:val="toc 2"/>
    <w:basedOn w:val="1"/>
    <w:next w:val="1"/>
    <w:qFormat/>
    <w:uiPriority w:val="39"/>
    <w:pPr>
      <w:ind w:left="420" w:leftChars="200"/>
    </w:pPr>
  </w:style>
  <w:style w:type="paragraph" w:styleId="22">
    <w:name w:val="Normal (Web)"/>
    <w:basedOn w:val="1"/>
    <w:qFormat/>
    <w:uiPriority w:val="99"/>
    <w:pPr>
      <w:widowControl/>
      <w:spacing w:beforeAutospacing="1" w:afterAutospacing="1"/>
      <w:jc w:val="left"/>
    </w:pPr>
    <w:rPr>
      <w:rFonts w:ascii="宋体" w:hAnsi="宋体"/>
      <w:kern w:val="0"/>
      <w:sz w:val="24"/>
    </w:rPr>
  </w:style>
  <w:style w:type="paragraph" w:styleId="23">
    <w:name w:val="annotation subject"/>
    <w:basedOn w:val="10"/>
    <w:next w:val="10"/>
    <w:link w:val="49"/>
    <w:qFormat/>
    <w:uiPriority w:val="0"/>
    <w:rPr>
      <w:b/>
      <w:bCs/>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color w:val="0000FF"/>
      <w:u w:val="single"/>
    </w:rPr>
  </w:style>
  <w:style w:type="character" w:styleId="28">
    <w:name w:val="annotation reference"/>
    <w:basedOn w:val="26"/>
    <w:qFormat/>
    <w:uiPriority w:val="0"/>
    <w:rPr>
      <w:sz w:val="21"/>
      <w:szCs w:val="21"/>
    </w:rPr>
  </w:style>
  <w:style w:type="character" w:customStyle="1" w:styleId="29">
    <w:name w:val="p141"/>
    <w:qFormat/>
    <w:uiPriority w:val="0"/>
    <w:rPr>
      <w:sz w:val="21"/>
    </w:rPr>
  </w:style>
  <w:style w:type="paragraph" w:customStyle="1" w:styleId="30">
    <w:name w:val="表格文字"/>
    <w:basedOn w:val="1"/>
    <w:qFormat/>
    <w:uiPriority w:val="0"/>
    <w:pPr>
      <w:spacing w:before="25" w:after="25"/>
      <w:jc w:val="left"/>
    </w:pPr>
    <w:rPr>
      <w:bCs/>
      <w:spacing w:val="10"/>
      <w:kern w:val="0"/>
      <w:sz w:val="24"/>
      <w:szCs w:val="20"/>
    </w:rPr>
  </w:style>
  <w:style w:type="paragraph" w:customStyle="1" w:styleId="31">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32">
    <w:name w:val="题注5"/>
    <w:basedOn w:val="1"/>
    <w:next w:val="8"/>
    <w:qFormat/>
    <w:uiPriority w:val="0"/>
    <w:pPr>
      <w:jc w:val="center"/>
    </w:pPr>
    <w:rPr>
      <w:b/>
      <w:color w:val="000000"/>
      <w:sz w:val="24"/>
      <w:szCs w:val="21"/>
    </w:rPr>
  </w:style>
  <w:style w:type="paragraph" w:customStyle="1" w:styleId="33">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34">
    <w:name w:val="题注4"/>
    <w:basedOn w:val="1"/>
    <w:next w:val="8"/>
    <w:qFormat/>
    <w:uiPriority w:val="0"/>
    <w:pPr>
      <w:ind w:left="-132" w:leftChars="-64" w:right="-105" w:rightChars="-50" w:hanging="2"/>
      <w:jc w:val="center"/>
    </w:pPr>
    <w:rPr>
      <w:b/>
      <w:color w:val="FF0000"/>
      <w:szCs w:val="21"/>
      <w:lang w:val="en-GB"/>
    </w:rPr>
  </w:style>
  <w:style w:type="paragraph" w:customStyle="1" w:styleId="35">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36">
    <w:name w:val="列出段落1"/>
    <w:basedOn w:val="1"/>
    <w:unhideWhenUsed/>
    <w:qFormat/>
    <w:uiPriority w:val="99"/>
    <w:pPr>
      <w:ind w:firstLine="420" w:firstLineChars="200"/>
    </w:pPr>
  </w:style>
  <w:style w:type="character" w:customStyle="1" w:styleId="37">
    <w:name w:val="批注框文本 Char"/>
    <w:basedOn w:val="26"/>
    <w:link w:val="14"/>
    <w:qFormat/>
    <w:uiPriority w:val="0"/>
    <w:rPr>
      <w:kern w:val="2"/>
      <w:sz w:val="18"/>
      <w:szCs w:val="18"/>
    </w:rPr>
  </w:style>
  <w:style w:type="paragraph" w:customStyle="1" w:styleId="38">
    <w:name w:val="列出段落2"/>
    <w:basedOn w:val="1"/>
    <w:qFormat/>
    <w:uiPriority w:val="0"/>
    <w:pPr>
      <w:adjustRightInd w:val="0"/>
      <w:spacing w:line="312" w:lineRule="atLeast"/>
      <w:ind w:firstLine="420" w:firstLineChars="200"/>
      <w:textAlignment w:val="baseline"/>
    </w:pPr>
    <w:rPr>
      <w:kern w:val="0"/>
    </w:rPr>
  </w:style>
  <w:style w:type="paragraph" w:customStyle="1" w:styleId="39">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0">
    <w:name w:val="样式2"/>
    <w:basedOn w:val="11"/>
    <w:qFormat/>
    <w:uiPriority w:val="0"/>
    <w:pPr>
      <w:tabs>
        <w:tab w:val="right" w:leader="dot" w:pos="9345"/>
        <w:tab w:val="right" w:leader="dot" w:pos="9450"/>
      </w:tabs>
      <w:ind w:left="420"/>
    </w:pPr>
  </w:style>
  <w:style w:type="paragraph" w:styleId="41">
    <w:name w:val="List Paragraph"/>
    <w:basedOn w:val="1"/>
    <w:unhideWhenUsed/>
    <w:qFormat/>
    <w:uiPriority w:val="99"/>
    <w:pPr>
      <w:ind w:firstLine="420" w:firstLineChars="200"/>
    </w:pPr>
  </w:style>
  <w:style w:type="paragraph" w:customStyle="1" w:styleId="42">
    <w:name w:val="正文TITLETABLE"/>
    <w:basedOn w:val="7"/>
    <w:next w:val="7"/>
    <w:qFormat/>
    <w:uiPriority w:val="0"/>
    <w:pPr>
      <w:autoSpaceDE w:val="0"/>
      <w:autoSpaceDN w:val="0"/>
      <w:adjustRightInd w:val="0"/>
      <w:snapToGrid w:val="0"/>
      <w:spacing w:beforeLines="20"/>
      <w:ind w:firstLine="0"/>
      <w:jc w:val="left"/>
    </w:pPr>
    <w:rPr>
      <w:rFonts w:ascii="Arial Narrow" w:hAnsi="Arial Narrow" w:eastAsia="宋体" w:cs="Arial"/>
      <w:i/>
      <w:kern w:val="0"/>
      <w:sz w:val="18"/>
      <w:szCs w:val="24"/>
    </w:rPr>
  </w:style>
  <w:style w:type="character" w:customStyle="1" w:styleId="43">
    <w:name w:val="标题 1 Char"/>
    <w:link w:val="2"/>
    <w:qFormat/>
    <w:uiPriority w:val="0"/>
    <w:rPr>
      <w:rFonts w:asciiTheme="minorHAnsi" w:hAnsiTheme="minorHAnsi" w:eastAsiaTheme="minorEastAsia" w:cstheme="minorBidi"/>
      <w:b/>
      <w:bCs/>
      <w:kern w:val="44"/>
      <w:sz w:val="44"/>
      <w:szCs w:val="44"/>
    </w:rPr>
  </w:style>
  <w:style w:type="paragraph" w:customStyle="1" w:styleId="44">
    <w:name w:val="OSD正文"/>
    <w:basedOn w:val="1"/>
    <w:qFormat/>
    <w:uiPriority w:val="0"/>
    <w:pPr>
      <w:tabs>
        <w:tab w:val="left" w:pos="600"/>
      </w:tabs>
      <w:autoSpaceDE w:val="0"/>
      <w:autoSpaceDN w:val="0"/>
      <w:adjustRightInd w:val="0"/>
      <w:ind w:left="1134"/>
    </w:pPr>
    <w:rPr>
      <w:rFonts w:ascii="Arial" w:hAnsi="Arial" w:eastAsia="宋体" w:cs="Arial"/>
      <w:spacing w:val="-3"/>
      <w:kern w:val="0"/>
      <w:sz w:val="24"/>
    </w:rPr>
  </w:style>
  <w:style w:type="paragraph" w:customStyle="1" w:styleId="45">
    <w:name w:val="标书正文1"/>
    <w:basedOn w:val="1"/>
    <w:qFormat/>
    <w:uiPriority w:val="0"/>
    <w:pPr>
      <w:tabs>
        <w:tab w:val="left" w:pos="5730"/>
        <w:tab w:val="left" w:pos="8280"/>
      </w:tabs>
      <w:adjustRightInd w:val="0"/>
      <w:snapToGrid w:val="0"/>
      <w:spacing w:line="240" w:lineRule="atLeast"/>
    </w:pPr>
    <w:rPr>
      <w:rFonts w:ascii="宋体" w:hAnsi="宋体" w:eastAsia="仿宋_GB2312" w:cs="Times New Roman"/>
      <w:sz w:val="30"/>
      <w:szCs w:val="20"/>
    </w:rPr>
  </w:style>
  <w:style w:type="paragraph" w:customStyle="1" w:styleId="46">
    <w:name w:val="列出段落3"/>
    <w:basedOn w:val="1"/>
    <w:unhideWhenUsed/>
    <w:qFormat/>
    <w:uiPriority w:val="99"/>
    <w:pPr>
      <w:ind w:firstLine="420" w:firstLineChars="200"/>
    </w:pPr>
  </w:style>
  <w:style w:type="paragraph" w:customStyle="1" w:styleId="4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8">
    <w:name w:val="批注文字 Char"/>
    <w:basedOn w:val="26"/>
    <w:link w:val="10"/>
    <w:qFormat/>
    <w:uiPriority w:val="0"/>
    <w:rPr>
      <w:rFonts w:asciiTheme="minorHAnsi" w:hAnsiTheme="minorHAnsi" w:eastAsiaTheme="minorEastAsia" w:cstheme="minorBidi"/>
      <w:kern w:val="2"/>
      <w:sz w:val="21"/>
      <w:szCs w:val="24"/>
    </w:rPr>
  </w:style>
  <w:style w:type="character" w:customStyle="1" w:styleId="49">
    <w:name w:val="批注主题 Char"/>
    <w:basedOn w:val="48"/>
    <w:link w:val="23"/>
    <w:qFormat/>
    <w:uiPriority w:val="0"/>
    <w:rPr>
      <w:rFonts w:asciiTheme="minorHAnsi" w:hAnsiTheme="minorHAnsi" w:eastAsiaTheme="minorEastAsia" w:cstheme="minorBidi"/>
      <w:b/>
      <w:bCs/>
      <w:kern w:val="2"/>
      <w:sz w:val="21"/>
      <w:szCs w:val="24"/>
    </w:rPr>
  </w:style>
  <w:style w:type="paragraph" w:customStyle="1" w:styleId="50">
    <w:name w:val="_Style 3"/>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2">
    <w:name w:val="标题 5 Char"/>
    <w:basedOn w:val="26"/>
    <w:link w:val="6"/>
    <w:semiHidden/>
    <w:qFormat/>
    <w:uiPriority w:val="0"/>
    <w:rPr>
      <w:rFonts w:asciiTheme="minorHAnsi" w:hAnsiTheme="minorHAnsi" w:eastAsiaTheme="minorEastAsia" w:cstheme="minorBidi"/>
      <w:b/>
      <w:bCs/>
      <w:kern w:val="2"/>
      <w:sz w:val="28"/>
      <w:szCs w:val="28"/>
    </w:rPr>
  </w:style>
  <w:style w:type="paragraph" w:customStyle="1" w:styleId="53">
    <w:name w:val="Level 2"/>
    <w:basedOn w:val="1"/>
    <w:next w:val="1"/>
    <w:qFormat/>
    <w:uiPriority w:val="0"/>
    <w:pPr>
      <w:widowControl/>
      <w:numPr>
        <w:ilvl w:val="1"/>
        <w:numId w:val="1"/>
      </w:numPr>
      <w:spacing w:after="210" w:line="264" w:lineRule="auto"/>
      <w:outlineLvl w:val="1"/>
    </w:pPr>
    <w:rPr>
      <w:rFonts w:ascii="Arial" w:hAnsi="Arial" w:eastAsia="宋体" w:cs="Times New Roman"/>
      <w:kern w:val="28"/>
      <w:szCs w:val="20"/>
      <w:lang w:val="en-GB"/>
    </w:rPr>
  </w:style>
  <w:style w:type="paragraph" w:customStyle="1" w:styleId="54">
    <w:name w:val="Level 3"/>
    <w:basedOn w:val="1"/>
    <w:next w:val="1"/>
    <w:qFormat/>
    <w:uiPriority w:val="0"/>
    <w:pPr>
      <w:widowControl/>
      <w:numPr>
        <w:ilvl w:val="2"/>
        <w:numId w:val="1"/>
      </w:numPr>
      <w:spacing w:after="210" w:line="264" w:lineRule="auto"/>
      <w:outlineLvl w:val="2"/>
    </w:pPr>
    <w:rPr>
      <w:rFonts w:ascii="Arial" w:hAnsi="Arial" w:eastAsia="宋体" w:cs="Times New Roman"/>
      <w:kern w:val="28"/>
      <w:szCs w:val="20"/>
      <w:lang w:val="en-GB"/>
    </w:rPr>
  </w:style>
  <w:style w:type="paragraph" w:customStyle="1" w:styleId="55">
    <w:name w:val="Char Char2 Char"/>
    <w:basedOn w:val="1"/>
    <w:qFormat/>
    <w:uiPriority w:val="0"/>
    <w:rPr>
      <w:rFonts w:ascii="宋体" w:hAnsi="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E3A69-9EF5-40D5-BC81-6CE379647E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25224</Words>
  <Characters>26129</Characters>
  <Lines>231</Lines>
  <Paragraphs>65</Paragraphs>
  <TotalTime>1</TotalTime>
  <ScaleCrop>false</ScaleCrop>
  <LinksUpToDate>false</LinksUpToDate>
  <CharactersWithSpaces>26975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2019-02-18T09:35:00Z</dcterms:created>
  <dc:creator>广东有德招标采购有限公司 编制</dc:creator>
  <cp:lastModifiedBy>WPS148</cp:lastModifiedBy>
  <cp:lastPrinted>2021-12-14T11:40:00Z</cp:lastPrinted>
  <dcterms:modified xsi:type="dcterms:W3CDTF">2024-09-11T02:04:45Z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8AF7AB57A3894859A50364357D4B6F56_13</vt:lpwstr>
  </property>
</Properties>
</file>