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wordWrap w:val="0"/>
        <w:spacing w:beforeLines="50" w:afterLines="50" w:line="1200" w:lineRule="auto"/>
        <w:ind w:left="1440" w:hanging="1440" w:hangingChars="200"/>
        <w:jc w:val="center"/>
        <w:rPr>
          <w:color w:val="auto"/>
          <w:sz w:val="72"/>
          <w:szCs w:val="72"/>
          <w:u w:val="single"/>
        </w:rPr>
      </w:pPr>
      <w:bookmarkStart w:id="1" w:name="_GoBack"/>
    </w:p>
    <w:p>
      <w:pPr>
        <w:kinsoku w:val="0"/>
        <w:wordWrap w:val="0"/>
        <w:spacing w:beforeLines="50" w:afterLines="50" w:line="960" w:lineRule="auto"/>
        <w:ind w:left="1440" w:hanging="1440" w:hangingChars="200"/>
        <w:jc w:val="center"/>
        <w:rPr>
          <w:color w:val="auto"/>
          <w:sz w:val="72"/>
          <w:szCs w:val="72"/>
        </w:rPr>
      </w:pPr>
      <w:r>
        <w:rPr>
          <w:rFonts w:hint="eastAsia"/>
          <w:color w:val="auto"/>
          <w:sz w:val="72"/>
          <w:szCs w:val="72"/>
          <w:u w:val="single"/>
          <w:lang w:eastAsia="zh-CN"/>
        </w:rPr>
        <w:t>广东省英德监狱中心机房精密空调采购</w:t>
      </w:r>
      <w:r>
        <w:rPr>
          <w:rFonts w:hint="eastAsia"/>
          <w:color w:val="auto"/>
          <w:sz w:val="72"/>
          <w:szCs w:val="72"/>
        </w:rPr>
        <w:t>项目</w:t>
      </w:r>
    </w:p>
    <w:p>
      <w:pPr>
        <w:kinsoku w:val="0"/>
        <w:wordWrap w:val="0"/>
        <w:spacing w:beforeLines="50" w:afterLines="50" w:line="960" w:lineRule="auto"/>
        <w:ind w:left="1440" w:hanging="1440" w:hangingChars="200"/>
        <w:jc w:val="center"/>
        <w:rPr>
          <w:color w:val="auto"/>
          <w:sz w:val="72"/>
          <w:szCs w:val="72"/>
        </w:rPr>
      </w:pPr>
      <w:r>
        <w:rPr>
          <w:rFonts w:hint="eastAsia"/>
          <w:color w:val="auto"/>
          <w:sz w:val="72"/>
          <w:szCs w:val="72"/>
        </w:rPr>
        <w:t>用户需求书</w:t>
      </w:r>
    </w:p>
    <w:p>
      <w:pPr>
        <w:jc w:val="center"/>
        <w:rPr>
          <w:rFonts w:hint="eastAsia" w:ascii="宋体" w:eastAsia="宋体"/>
          <w:b/>
          <w:bCs/>
          <w:color w:val="auto"/>
          <w:sz w:val="52"/>
          <w:szCs w:val="52"/>
          <w:lang w:eastAsia="zh-CN"/>
        </w:rPr>
      </w:pPr>
      <w:r>
        <w:rPr>
          <w:rFonts w:hint="eastAsia" w:ascii="黑体" w:hAnsi="宋体" w:cs="宋体"/>
          <w:b/>
          <w:bCs/>
          <w:color w:val="auto"/>
          <w:sz w:val="32"/>
          <w:szCs w:val="32"/>
          <w:lang w:val="en-US" w:eastAsia="zh-CN"/>
        </w:rPr>
        <w:t xml:space="preserve"> </w:t>
      </w:r>
    </w:p>
    <w:p>
      <w:pPr>
        <w:kinsoku w:val="0"/>
        <w:wordWrap w:val="0"/>
        <w:ind w:left="1440" w:hanging="1440" w:hangingChars="200"/>
        <w:jc w:val="center"/>
        <w:rPr>
          <w:color w:val="auto"/>
          <w:sz w:val="72"/>
          <w:szCs w:val="72"/>
        </w:rPr>
      </w:pPr>
    </w:p>
    <w:p>
      <w:pPr>
        <w:kinsoku w:val="0"/>
        <w:wordWrap w:val="0"/>
        <w:ind w:left="1440" w:hanging="1440" w:hangingChars="200"/>
        <w:jc w:val="center"/>
        <w:rPr>
          <w:color w:val="auto"/>
          <w:sz w:val="72"/>
          <w:szCs w:val="72"/>
        </w:rPr>
      </w:pPr>
    </w:p>
    <w:p>
      <w:pPr>
        <w:kinsoku w:val="0"/>
        <w:wordWrap w:val="0"/>
        <w:rPr>
          <w:color w:val="auto"/>
          <w:sz w:val="72"/>
          <w:szCs w:val="72"/>
        </w:rPr>
      </w:pPr>
    </w:p>
    <w:p>
      <w:pPr>
        <w:rPr>
          <w:color w:val="auto"/>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color w:val="auto"/>
                <w:sz w:val="32"/>
                <w:szCs w:val="32"/>
              </w:rPr>
            </w:pPr>
            <w:r>
              <w:rPr>
                <w:rFonts w:hint="eastAsia"/>
                <w:color w:val="auto"/>
                <w:sz w:val="32"/>
                <w:szCs w:val="32"/>
              </w:rPr>
              <w:t>需求部门</w:t>
            </w:r>
          </w:p>
        </w:tc>
        <w:tc>
          <w:tcPr>
            <w:tcW w:w="4261" w:type="dxa"/>
          </w:tcPr>
          <w:p>
            <w:pPr>
              <w:jc w:val="center"/>
              <w:rPr>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color w:val="auto"/>
                <w:sz w:val="32"/>
                <w:szCs w:val="32"/>
              </w:rPr>
            </w:pPr>
            <w:r>
              <w:rPr>
                <w:rFonts w:hint="eastAsia"/>
                <w:color w:val="auto"/>
                <w:sz w:val="32"/>
                <w:szCs w:val="32"/>
              </w:rPr>
              <w:t>制作人</w:t>
            </w:r>
          </w:p>
        </w:tc>
        <w:tc>
          <w:tcPr>
            <w:tcW w:w="4261" w:type="dxa"/>
          </w:tcPr>
          <w:p>
            <w:pPr>
              <w:jc w:val="center"/>
              <w:rPr>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color w:val="auto"/>
                <w:sz w:val="32"/>
                <w:szCs w:val="32"/>
              </w:rPr>
            </w:pPr>
            <w:r>
              <w:rPr>
                <w:rFonts w:hint="eastAsia"/>
                <w:color w:val="auto"/>
                <w:sz w:val="32"/>
                <w:szCs w:val="32"/>
              </w:rPr>
              <w:t>需求部门领导审核</w:t>
            </w:r>
          </w:p>
        </w:tc>
        <w:tc>
          <w:tcPr>
            <w:tcW w:w="4261" w:type="dxa"/>
          </w:tcPr>
          <w:p>
            <w:pPr>
              <w:jc w:val="center"/>
              <w:rPr>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color w:val="auto"/>
                <w:sz w:val="32"/>
                <w:szCs w:val="32"/>
              </w:rPr>
            </w:pPr>
            <w:r>
              <w:rPr>
                <w:rFonts w:hint="eastAsia"/>
                <w:color w:val="auto"/>
                <w:sz w:val="32"/>
                <w:szCs w:val="32"/>
              </w:rPr>
              <w:t>监狱分管领导审核</w:t>
            </w:r>
          </w:p>
        </w:tc>
        <w:tc>
          <w:tcPr>
            <w:tcW w:w="4261" w:type="dxa"/>
          </w:tcPr>
          <w:p>
            <w:pPr>
              <w:jc w:val="center"/>
              <w:rPr>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color w:val="auto"/>
                <w:sz w:val="32"/>
                <w:szCs w:val="32"/>
              </w:rPr>
            </w:pPr>
            <w:r>
              <w:rPr>
                <w:rFonts w:hint="eastAsia"/>
                <w:color w:val="auto"/>
                <w:sz w:val="32"/>
                <w:szCs w:val="32"/>
              </w:rPr>
              <w:t>审核时间</w:t>
            </w:r>
          </w:p>
        </w:tc>
        <w:tc>
          <w:tcPr>
            <w:tcW w:w="4261" w:type="dxa"/>
          </w:tcPr>
          <w:p>
            <w:pPr>
              <w:jc w:val="center"/>
              <w:rPr>
                <w:color w:val="auto"/>
                <w:sz w:val="32"/>
                <w:szCs w:val="32"/>
              </w:rPr>
            </w:pPr>
          </w:p>
        </w:tc>
      </w:tr>
    </w:tbl>
    <w:p>
      <w:pPr>
        <w:rPr>
          <w:color w:val="auto"/>
          <w:sz w:val="28"/>
          <w:szCs w:val="28"/>
        </w:rPr>
      </w:pPr>
      <w:r>
        <w:rPr>
          <w:rFonts w:hint="eastAsia"/>
          <w:color w:val="auto"/>
          <w:sz w:val="28"/>
          <w:szCs w:val="28"/>
        </w:rPr>
        <w:br w:type="page"/>
      </w:r>
    </w:p>
    <w:p>
      <w:pPr>
        <w:rPr>
          <w:rFonts w:hint="eastAsia" w:ascii="仿宋_GB2312" w:hAnsi="仿宋_GB2312" w:eastAsia="仿宋_GB2312" w:cs="仿宋_GB2312"/>
          <w:b/>
          <w:bCs/>
          <w:color w:val="auto"/>
          <w:szCs w:val="21"/>
        </w:rPr>
      </w:pPr>
    </w:p>
    <w:p>
      <w:pPr>
        <w:pStyle w:val="25"/>
        <w:numPr>
          <w:ilvl w:val="0"/>
          <w:numId w:val="2"/>
        </w:numPr>
        <w:snapToGrid w:val="0"/>
        <w:spacing w:line="360" w:lineRule="auto"/>
        <w:ind w:firstLineChars="0"/>
        <w:rPr>
          <w:rFonts w:hint="eastAsia" w:ascii="黑体" w:hAnsi="黑体" w:eastAsia="黑体" w:cs="黑体"/>
          <w:b/>
          <w:bCs/>
          <w:color w:val="auto"/>
          <w:sz w:val="28"/>
          <w:szCs w:val="28"/>
        </w:rPr>
      </w:pPr>
      <w:r>
        <w:rPr>
          <w:rFonts w:hint="eastAsia" w:ascii="黑体" w:hAnsi="黑体" w:eastAsia="黑体" w:cs="黑体"/>
          <w:b/>
          <w:bCs/>
          <w:color w:val="auto"/>
          <w:sz w:val="28"/>
          <w:szCs w:val="28"/>
        </w:rPr>
        <w:t>项目一览表</w:t>
      </w:r>
    </w:p>
    <w:tbl>
      <w:tblPr>
        <w:tblStyle w:val="21"/>
        <w:tblW w:w="9279"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2410"/>
        <w:gridCol w:w="1134"/>
        <w:gridCol w:w="3260"/>
        <w:gridCol w:w="24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513" w:hRule="atLeast"/>
          <w:jc w:val="center"/>
        </w:trPr>
        <w:tc>
          <w:tcPr>
            <w:tcW w:w="2410" w:type="dxa"/>
            <w:shd w:val="clear" w:color="auto" w:fill="EEECE1"/>
            <w:vAlign w:val="center"/>
          </w:tcPr>
          <w:p>
            <w:pPr>
              <w:spacing w:line="360" w:lineRule="auto"/>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项目名称</w:t>
            </w:r>
          </w:p>
        </w:tc>
        <w:tc>
          <w:tcPr>
            <w:tcW w:w="1134" w:type="dxa"/>
            <w:shd w:val="clear" w:color="auto" w:fill="EEECE1"/>
            <w:vAlign w:val="center"/>
          </w:tcPr>
          <w:p>
            <w:pPr>
              <w:spacing w:line="360" w:lineRule="auto"/>
              <w:ind w:right="-73" w:rightChars="-35"/>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数量</w:t>
            </w:r>
          </w:p>
        </w:tc>
        <w:tc>
          <w:tcPr>
            <w:tcW w:w="3260" w:type="dxa"/>
            <w:shd w:val="clear" w:color="auto" w:fill="EEECE1"/>
            <w:vAlign w:val="center"/>
          </w:tcPr>
          <w:p>
            <w:pPr>
              <w:spacing w:line="360" w:lineRule="auto"/>
              <w:ind w:right="-73" w:rightChars="-35"/>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交货期</w:t>
            </w:r>
          </w:p>
        </w:tc>
        <w:tc>
          <w:tcPr>
            <w:tcW w:w="2475" w:type="dxa"/>
            <w:shd w:val="clear" w:color="auto" w:fill="EEECE1"/>
            <w:vAlign w:val="center"/>
          </w:tcPr>
          <w:p>
            <w:pPr>
              <w:spacing w:line="360" w:lineRule="auto"/>
              <w:ind w:right="-73" w:rightChars="-35"/>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预算金额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Ex>
        <w:trPr>
          <w:trHeight w:val="673" w:hRule="atLeast"/>
          <w:jc w:val="center"/>
        </w:trPr>
        <w:tc>
          <w:tcPr>
            <w:tcW w:w="2410" w:type="dxa"/>
            <w:vAlign w:val="center"/>
          </w:tcPr>
          <w:p>
            <w:pPr>
              <w:spacing w:line="360" w:lineRule="auto"/>
              <w:jc w:val="center"/>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广东省</w:t>
            </w:r>
            <w:r>
              <w:rPr>
                <w:rFonts w:hint="eastAsia" w:ascii="仿宋_GB2312" w:hAnsi="仿宋_GB2312" w:eastAsia="仿宋_GB2312" w:cs="仿宋_GB2312"/>
                <w:bCs/>
                <w:color w:val="auto"/>
                <w:szCs w:val="21"/>
                <w:lang w:eastAsia="zh-CN"/>
              </w:rPr>
              <w:t>英德</w:t>
            </w:r>
            <w:r>
              <w:rPr>
                <w:rFonts w:hint="eastAsia" w:ascii="仿宋_GB2312" w:hAnsi="仿宋_GB2312" w:eastAsia="仿宋_GB2312" w:cs="仿宋_GB2312"/>
                <w:bCs/>
                <w:color w:val="auto"/>
                <w:szCs w:val="21"/>
              </w:rPr>
              <w:t>监狱中心机房精密空调采购项目</w:t>
            </w:r>
          </w:p>
        </w:tc>
        <w:tc>
          <w:tcPr>
            <w:tcW w:w="1134" w:type="dxa"/>
            <w:vAlign w:val="center"/>
          </w:tcPr>
          <w:p>
            <w:pPr>
              <w:spacing w:line="360" w:lineRule="auto"/>
              <w:jc w:val="center"/>
              <w:rPr>
                <w:rFonts w:hint="eastAsia" w:ascii="仿宋_GB2312" w:hAnsi="仿宋_GB2312" w:eastAsia="仿宋_GB2312" w:cs="仿宋_GB2312"/>
                <w:bCs/>
                <w:color w:val="auto"/>
                <w:kern w:val="44"/>
                <w:szCs w:val="21"/>
              </w:rPr>
            </w:pPr>
            <w:r>
              <w:rPr>
                <w:rFonts w:hint="eastAsia" w:ascii="仿宋_GB2312" w:hAnsi="仿宋_GB2312" w:eastAsia="仿宋_GB2312" w:cs="仿宋_GB2312"/>
                <w:bCs/>
                <w:color w:val="auto"/>
                <w:kern w:val="44"/>
                <w:szCs w:val="21"/>
              </w:rPr>
              <w:t>2台</w:t>
            </w:r>
          </w:p>
        </w:tc>
        <w:tc>
          <w:tcPr>
            <w:tcW w:w="3260" w:type="dxa"/>
            <w:vAlign w:val="center"/>
          </w:tcPr>
          <w:p>
            <w:pPr>
              <w:spacing w:line="360" w:lineRule="auto"/>
              <w:jc w:val="center"/>
              <w:rPr>
                <w:rFonts w:hint="eastAsia" w:ascii="仿宋_GB2312" w:hAnsi="仿宋_GB2312" w:eastAsia="仿宋_GB2312" w:cs="仿宋_GB2312"/>
                <w:bCs/>
                <w:color w:val="auto"/>
                <w:kern w:val="44"/>
                <w:szCs w:val="21"/>
              </w:rPr>
            </w:pPr>
            <w:r>
              <w:rPr>
                <w:rFonts w:hint="eastAsia" w:ascii="仿宋_GB2312" w:hAnsi="仿宋_GB2312" w:eastAsia="仿宋_GB2312" w:cs="仿宋_GB2312"/>
                <w:bCs/>
                <w:color w:val="auto"/>
                <w:kern w:val="44"/>
                <w:szCs w:val="21"/>
              </w:rPr>
              <w:t>合同签订确认生效后</w:t>
            </w:r>
            <w:r>
              <w:rPr>
                <w:rFonts w:hint="eastAsia" w:ascii="仿宋_GB2312" w:hAnsi="仿宋_GB2312" w:eastAsia="仿宋_GB2312" w:cs="仿宋_GB2312"/>
                <w:bCs/>
                <w:color w:val="auto"/>
                <w:kern w:val="44"/>
                <w:szCs w:val="21"/>
                <w:highlight w:val="none"/>
                <w:lang w:val="en-US" w:eastAsia="zh-CN"/>
              </w:rPr>
              <w:t>30</w:t>
            </w:r>
            <w:r>
              <w:rPr>
                <w:rFonts w:hint="eastAsia" w:ascii="仿宋_GB2312" w:hAnsi="仿宋_GB2312" w:eastAsia="仿宋_GB2312" w:cs="仿宋_GB2312"/>
                <w:bCs/>
                <w:color w:val="auto"/>
                <w:kern w:val="44"/>
                <w:szCs w:val="21"/>
                <w:highlight w:val="none"/>
              </w:rPr>
              <w:t>天</w:t>
            </w:r>
            <w:r>
              <w:rPr>
                <w:rFonts w:hint="eastAsia" w:ascii="仿宋_GB2312" w:hAnsi="仿宋_GB2312" w:eastAsia="仿宋_GB2312" w:cs="仿宋_GB2312"/>
                <w:bCs/>
                <w:color w:val="auto"/>
                <w:kern w:val="44"/>
                <w:szCs w:val="21"/>
              </w:rPr>
              <w:t>内供货、安装、调试、验收完毕并交付使用</w:t>
            </w:r>
          </w:p>
        </w:tc>
        <w:tc>
          <w:tcPr>
            <w:tcW w:w="2475" w:type="dxa"/>
            <w:vAlign w:val="center"/>
          </w:tcPr>
          <w:p>
            <w:pPr>
              <w:spacing w:line="360" w:lineRule="auto"/>
              <w:jc w:val="center"/>
              <w:rPr>
                <w:rFonts w:hint="eastAsia" w:ascii="仿宋_GB2312" w:hAnsi="仿宋_GB2312" w:eastAsia="仿宋_GB2312" w:cs="仿宋_GB2312"/>
                <w:bCs/>
                <w:color w:val="auto"/>
                <w:kern w:val="44"/>
                <w:szCs w:val="21"/>
              </w:rPr>
            </w:pPr>
            <w:r>
              <w:rPr>
                <w:rFonts w:hint="eastAsia" w:ascii="仿宋_GB2312" w:hAnsi="仿宋_GB2312" w:eastAsia="仿宋_GB2312" w:cs="仿宋_GB2312"/>
                <w:bCs/>
                <w:color w:val="auto"/>
                <w:kern w:val="44"/>
                <w:szCs w:val="21"/>
              </w:rPr>
              <w:t>人民币</w:t>
            </w:r>
            <w:r>
              <w:rPr>
                <w:rFonts w:hint="eastAsia" w:ascii="仿宋_GB2312" w:hAnsi="仿宋_GB2312" w:eastAsia="仿宋_GB2312" w:cs="仿宋_GB2312"/>
                <w:bCs/>
                <w:color w:val="auto"/>
                <w:kern w:val="44"/>
                <w:szCs w:val="21"/>
                <w:lang w:val="en-US" w:eastAsia="zh-CN"/>
              </w:rPr>
              <w:t>4</w:t>
            </w:r>
            <w:r>
              <w:rPr>
                <w:rFonts w:hint="default" w:ascii="仿宋_GB2312" w:hAnsi="仿宋_GB2312" w:eastAsia="仿宋_GB2312" w:cs="仿宋_GB2312"/>
                <w:bCs/>
                <w:color w:val="auto"/>
                <w:kern w:val="44"/>
                <w:szCs w:val="21"/>
                <w:lang w:val="en-US" w:eastAsia="zh-CN"/>
              </w:rPr>
              <w:t>27016</w:t>
            </w:r>
            <w:r>
              <w:rPr>
                <w:rFonts w:hint="eastAsia" w:ascii="仿宋_GB2312" w:hAnsi="仿宋_GB2312" w:eastAsia="仿宋_GB2312" w:cs="仿宋_GB2312"/>
                <w:bCs/>
                <w:color w:val="auto"/>
                <w:kern w:val="44"/>
                <w:szCs w:val="21"/>
              </w:rPr>
              <w:t>.</w:t>
            </w:r>
            <w:r>
              <w:rPr>
                <w:rFonts w:hint="default" w:ascii="仿宋_GB2312" w:hAnsi="仿宋_GB2312" w:eastAsia="仿宋_GB2312" w:cs="仿宋_GB2312"/>
                <w:bCs/>
                <w:color w:val="auto"/>
                <w:kern w:val="44"/>
                <w:szCs w:val="21"/>
                <w:lang w:val="en-US"/>
              </w:rPr>
              <w:t>50</w:t>
            </w:r>
            <w:r>
              <w:rPr>
                <w:rFonts w:hint="eastAsia" w:ascii="仿宋_GB2312" w:hAnsi="仿宋_GB2312" w:eastAsia="仿宋_GB2312" w:cs="仿宋_GB2312"/>
                <w:bCs/>
                <w:color w:val="auto"/>
                <w:kern w:val="44"/>
                <w:szCs w:val="21"/>
              </w:rPr>
              <w:t>元</w:t>
            </w:r>
          </w:p>
        </w:tc>
      </w:tr>
    </w:tbl>
    <w:p>
      <w:pPr>
        <w:pStyle w:val="25"/>
        <w:numPr>
          <w:ilvl w:val="0"/>
          <w:numId w:val="2"/>
        </w:numPr>
        <w:snapToGrid w:val="0"/>
        <w:spacing w:line="360" w:lineRule="auto"/>
        <w:ind w:firstLineChars="0"/>
        <w:rPr>
          <w:rFonts w:hint="eastAsia" w:ascii="黑体" w:hAnsi="黑体" w:eastAsia="黑体" w:cs="黑体"/>
          <w:b/>
          <w:bCs/>
          <w:color w:val="auto"/>
          <w:sz w:val="28"/>
          <w:szCs w:val="28"/>
        </w:rPr>
      </w:pPr>
      <w:r>
        <w:rPr>
          <w:rFonts w:hint="eastAsia" w:ascii="黑体" w:hAnsi="黑体" w:eastAsia="黑体" w:cs="黑体"/>
          <w:b/>
          <w:bCs/>
          <w:color w:val="auto"/>
          <w:sz w:val="28"/>
          <w:szCs w:val="28"/>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rPr>
      </w:pPr>
      <w:r>
        <w:rPr>
          <w:rFonts w:hint="eastAsia" w:ascii="仿宋_GB2312" w:hAnsi="仿宋_GB2312" w:eastAsia="仿宋_GB2312" w:cs="仿宋_GB2312"/>
          <w:bCs/>
          <w:color w:val="auto"/>
          <w:kern w:val="44"/>
          <w:sz w:val="28"/>
          <w:szCs w:val="28"/>
        </w:rPr>
        <w:t>1.项目名称：</w:t>
      </w:r>
      <w:bookmarkStart w:id="0" w:name="_Hlt303087229"/>
      <w:bookmarkEnd w:id="0"/>
      <w:r>
        <w:rPr>
          <w:rFonts w:hint="eastAsia" w:ascii="仿宋_GB2312" w:hAnsi="仿宋_GB2312" w:eastAsia="仿宋_GB2312" w:cs="仿宋_GB2312"/>
          <w:bCs/>
          <w:color w:val="auto"/>
          <w:kern w:val="44"/>
          <w:sz w:val="28"/>
          <w:szCs w:val="28"/>
        </w:rPr>
        <w:t>广东省</w:t>
      </w:r>
      <w:r>
        <w:rPr>
          <w:rFonts w:hint="eastAsia" w:ascii="仿宋_GB2312" w:hAnsi="仿宋_GB2312" w:eastAsia="仿宋_GB2312" w:cs="仿宋_GB2312"/>
          <w:bCs/>
          <w:color w:val="auto"/>
          <w:kern w:val="44"/>
          <w:sz w:val="28"/>
          <w:szCs w:val="28"/>
          <w:lang w:eastAsia="zh-CN"/>
        </w:rPr>
        <w:t>英德</w:t>
      </w:r>
      <w:r>
        <w:rPr>
          <w:rFonts w:hint="eastAsia" w:ascii="仿宋_GB2312" w:hAnsi="仿宋_GB2312" w:eastAsia="仿宋_GB2312" w:cs="仿宋_GB2312"/>
          <w:bCs/>
          <w:color w:val="auto"/>
          <w:kern w:val="44"/>
          <w:sz w:val="28"/>
          <w:szCs w:val="28"/>
        </w:rPr>
        <w:t>监狱中心机房精密空调采购项目；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rPr>
      </w:pPr>
      <w:r>
        <w:rPr>
          <w:rFonts w:hint="eastAsia" w:ascii="仿宋_GB2312" w:hAnsi="仿宋_GB2312" w:eastAsia="仿宋_GB2312" w:cs="仿宋_GB2312"/>
          <w:bCs/>
          <w:color w:val="auto"/>
          <w:kern w:val="44"/>
          <w:sz w:val="28"/>
          <w:szCs w:val="28"/>
        </w:rPr>
        <w:t>2.预算金额：人民币</w:t>
      </w:r>
      <w:r>
        <w:rPr>
          <w:rFonts w:hint="eastAsia" w:ascii="仿宋_GB2312" w:hAnsi="仿宋_GB2312" w:eastAsia="仿宋_GB2312" w:cs="仿宋_GB2312"/>
          <w:bCs/>
          <w:color w:val="auto"/>
          <w:kern w:val="44"/>
          <w:sz w:val="28"/>
          <w:szCs w:val="28"/>
          <w:lang w:val="en-US" w:eastAsia="zh-CN"/>
        </w:rPr>
        <w:t>427016.50</w:t>
      </w:r>
      <w:r>
        <w:rPr>
          <w:rFonts w:hint="eastAsia" w:ascii="仿宋_GB2312" w:hAnsi="仿宋_GB2312" w:eastAsia="仿宋_GB2312" w:cs="仿宋_GB2312"/>
          <w:bCs/>
          <w:color w:val="auto"/>
          <w:kern w:val="44"/>
          <w:sz w:val="28"/>
          <w:szCs w:val="28"/>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rPr>
      </w:pPr>
      <w:r>
        <w:rPr>
          <w:rFonts w:hint="eastAsia" w:ascii="仿宋_GB2312" w:hAnsi="仿宋_GB2312" w:eastAsia="仿宋_GB2312" w:cs="仿宋_GB2312"/>
          <w:bCs/>
          <w:color w:val="auto"/>
          <w:kern w:val="44"/>
          <w:sz w:val="28"/>
          <w:szCs w:val="28"/>
        </w:rPr>
        <w:t>3.购置目的</w:t>
      </w:r>
      <w:r>
        <w:rPr>
          <w:rFonts w:hint="eastAsia" w:ascii="仿宋_GB2312" w:hAnsi="仿宋_GB2312" w:eastAsia="仿宋_GB2312" w:cs="仿宋_GB2312"/>
          <w:bCs/>
          <w:color w:val="auto"/>
          <w:kern w:val="44"/>
          <w:sz w:val="28"/>
          <w:szCs w:val="28"/>
          <w:lang w:eastAsia="zh-CN"/>
        </w:rPr>
        <w:t>：</w:t>
      </w:r>
      <w:r>
        <w:rPr>
          <w:rFonts w:hint="eastAsia" w:ascii="仿宋_GB2312" w:hAnsi="仿宋_GB2312" w:eastAsia="仿宋_GB2312" w:cs="仿宋_GB2312"/>
          <w:bCs/>
          <w:color w:val="auto"/>
          <w:kern w:val="44"/>
          <w:sz w:val="28"/>
          <w:szCs w:val="28"/>
        </w:rPr>
        <w:t>保障机房设备正常运行。</w:t>
      </w:r>
    </w:p>
    <w:p>
      <w:pPr>
        <w:pStyle w:val="25"/>
        <w:numPr>
          <w:ilvl w:val="0"/>
          <w:numId w:val="2"/>
        </w:numPr>
        <w:snapToGrid w:val="0"/>
        <w:spacing w:line="360" w:lineRule="auto"/>
        <w:ind w:firstLineChars="0"/>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技术要求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现有计划在中心机房安装2台</w:t>
      </w:r>
      <w:r>
        <w:rPr>
          <w:rFonts w:hint="eastAsia" w:ascii="仿宋_GB2312" w:hAnsi="仿宋_GB2312" w:eastAsia="仿宋_GB2312" w:cs="仿宋_GB2312"/>
          <w:bCs/>
          <w:color w:val="auto"/>
          <w:kern w:val="44"/>
          <w:sz w:val="28"/>
          <w:szCs w:val="28"/>
          <w:lang w:val="en-US" w:eastAsia="zh-CN"/>
        </w:rPr>
        <w:t>45kW</w:t>
      </w:r>
      <w:r>
        <w:rPr>
          <w:rFonts w:hint="eastAsia" w:ascii="仿宋_GB2312" w:hAnsi="仿宋_GB2312" w:eastAsia="仿宋_GB2312" w:cs="仿宋_GB2312"/>
          <w:bCs/>
          <w:color w:val="auto"/>
          <w:kern w:val="44"/>
          <w:sz w:val="28"/>
          <w:szCs w:val="28"/>
          <w:lang w:val="en-US" w:eastAsia="zh-CN"/>
        </w:rPr>
        <w:t>的精密空调更换掉现有旧空调（中心机房旧精密空调状况：①空调型号：KHJA-P40AD（40kW）；②已投入使用年限：8年），以2+0的运行方式，可满足31个服务器机柜</w:t>
      </w:r>
      <w:r>
        <w:rPr>
          <w:rFonts w:hint="eastAsia" w:ascii="仿宋_GB2312" w:hAnsi="仿宋_GB2312" w:eastAsia="仿宋_GB2312" w:cs="仿宋_GB2312"/>
          <w:bCs/>
          <w:color w:val="auto"/>
          <w:kern w:val="44"/>
          <w:sz w:val="28"/>
          <w:szCs w:val="28"/>
          <w:lang w:val="en-US" w:eastAsia="zh-CN"/>
        </w:rPr>
        <w:t>2.9kW</w:t>
      </w:r>
      <w:r>
        <w:rPr>
          <w:rFonts w:hint="eastAsia" w:ascii="仿宋_GB2312" w:hAnsi="仿宋_GB2312" w:eastAsia="仿宋_GB2312" w:cs="仿宋_GB2312"/>
          <w:bCs/>
          <w:color w:val="auto"/>
          <w:kern w:val="44"/>
          <w:sz w:val="28"/>
          <w:szCs w:val="28"/>
          <w:lang w:val="en-US" w:eastAsia="zh-CN"/>
        </w:rPr>
        <w:t>负载的使用。</w:t>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_GB2312" w:hAnsi="仿宋_GB2312" w:eastAsia="仿宋_GB2312" w:cs="仿宋_GB2312"/>
          <w:color w:val="auto"/>
          <w:sz w:val="20"/>
          <w:szCs w:val="20"/>
          <w:lang w:val="en-US" w:eastAsia="zh-CN"/>
        </w:rPr>
      </w:pPr>
    </w:p>
    <w:p>
      <w:pPr>
        <w:pStyle w:val="25"/>
        <w:numPr>
          <w:ilvl w:val="0"/>
          <w:numId w:val="2"/>
        </w:numPr>
        <w:snapToGrid w:val="0"/>
        <w:spacing w:line="360" w:lineRule="auto"/>
        <w:ind w:firstLineChars="0"/>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精密空调技术参数要求</w:t>
      </w:r>
    </w:p>
    <w:tbl>
      <w:tblPr>
        <w:tblStyle w:val="21"/>
        <w:tblpPr w:leftFromText="180" w:rightFromText="180" w:vertAnchor="text" w:horzAnchor="page" w:tblpX="2064" w:tblpY="1138"/>
        <w:tblOverlap w:val="never"/>
        <w:tblW w:w="8143" w:type="dxa"/>
        <w:tblInd w:w="0" w:type="dxa"/>
        <w:tblLayout w:type="fixed"/>
        <w:tblCellMar>
          <w:top w:w="0" w:type="dxa"/>
          <w:left w:w="0" w:type="dxa"/>
          <w:bottom w:w="0" w:type="dxa"/>
          <w:right w:w="0" w:type="dxa"/>
        </w:tblCellMar>
      </w:tblPr>
      <w:tblGrid>
        <w:gridCol w:w="642"/>
        <w:gridCol w:w="1314"/>
        <w:gridCol w:w="6187"/>
      </w:tblGrid>
      <w:tr>
        <w:tblPrEx>
          <w:tblLayout w:type="fixed"/>
          <w:tblCellMar>
            <w:top w:w="0" w:type="dxa"/>
            <w:left w:w="0" w:type="dxa"/>
            <w:bottom w:w="0" w:type="dxa"/>
            <w:right w:w="0" w:type="dxa"/>
          </w:tblCellMar>
        </w:tblPrEx>
        <w:trPr>
          <w:trHeight w:val="720" w:hRule="atLeast"/>
        </w:trPr>
        <w:tc>
          <w:tcPr>
            <w:tcW w:w="6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微软雅黑" w:hAnsi="微软雅黑" w:eastAsia="微软雅黑" w:cs="微软雅黑"/>
                <w:color w:val="auto"/>
                <w:szCs w:val="21"/>
              </w:rPr>
            </w:pPr>
            <w:r>
              <w:rPr>
                <w:rFonts w:hint="eastAsia" w:ascii="微软雅黑" w:hAnsi="微软雅黑" w:eastAsia="微软雅黑" w:cs="微软雅黑"/>
                <w:color w:val="auto"/>
                <w:kern w:val="0"/>
                <w:szCs w:val="21"/>
              </w:rPr>
              <w:t>项号</w:t>
            </w:r>
          </w:p>
        </w:tc>
        <w:tc>
          <w:tcPr>
            <w:tcW w:w="13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微软雅黑" w:hAnsi="微软雅黑" w:eastAsia="微软雅黑" w:cs="微软雅黑"/>
                <w:color w:val="auto"/>
                <w:szCs w:val="21"/>
              </w:rPr>
            </w:pPr>
            <w:r>
              <w:rPr>
                <w:rFonts w:hint="eastAsia" w:ascii="微软雅黑" w:hAnsi="微软雅黑" w:eastAsia="微软雅黑" w:cs="微软雅黑"/>
                <w:color w:val="auto"/>
                <w:kern w:val="0"/>
                <w:szCs w:val="21"/>
                <w:lang w:eastAsia="zh-CN"/>
              </w:rPr>
              <w:t>参考</w:t>
            </w:r>
            <w:r>
              <w:rPr>
                <w:rFonts w:hint="eastAsia" w:ascii="微软雅黑" w:hAnsi="微软雅黑" w:eastAsia="微软雅黑" w:cs="微软雅黑"/>
                <w:color w:val="auto"/>
                <w:kern w:val="0"/>
                <w:szCs w:val="21"/>
              </w:rPr>
              <w:t>品牌型号</w:t>
            </w:r>
          </w:p>
        </w:tc>
        <w:tc>
          <w:tcPr>
            <w:tcW w:w="61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微软雅黑" w:hAnsi="微软雅黑" w:eastAsia="微软雅黑" w:cs="微软雅黑"/>
                <w:color w:val="auto"/>
                <w:szCs w:val="21"/>
              </w:rPr>
            </w:pPr>
            <w:r>
              <w:rPr>
                <w:rFonts w:hint="eastAsia" w:ascii="微软雅黑" w:hAnsi="微软雅黑" w:eastAsia="微软雅黑" w:cs="微软雅黑"/>
                <w:color w:val="auto"/>
                <w:kern w:val="0"/>
                <w:szCs w:val="21"/>
              </w:rPr>
              <w:t>主要参数</w:t>
            </w:r>
          </w:p>
        </w:tc>
      </w:tr>
      <w:tr>
        <w:tblPrEx>
          <w:tblLayout w:type="fixed"/>
          <w:tblCellMar>
            <w:top w:w="0" w:type="dxa"/>
            <w:left w:w="0" w:type="dxa"/>
            <w:bottom w:w="0" w:type="dxa"/>
            <w:right w:w="0" w:type="dxa"/>
          </w:tblCellMar>
        </w:tblPrEx>
        <w:trPr>
          <w:trHeight w:val="720" w:hRule="atLeast"/>
        </w:trPr>
        <w:tc>
          <w:tcPr>
            <w:tcW w:w="6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微软雅黑" w:hAnsi="微软雅黑" w:eastAsia="微软雅黑" w:cs="微软雅黑"/>
                <w:color w:val="auto"/>
                <w:szCs w:val="21"/>
              </w:rPr>
            </w:pPr>
            <w:r>
              <w:rPr>
                <w:rFonts w:hint="eastAsia" w:ascii="微软雅黑" w:hAnsi="微软雅黑" w:eastAsia="微软雅黑" w:cs="微软雅黑"/>
                <w:color w:val="auto"/>
                <w:kern w:val="0"/>
                <w:szCs w:val="21"/>
              </w:rPr>
              <w:t>1</w:t>
            </w:r>
          </w:p>
        </w:tc>
        <w:tc>
          <w:tcPr>
            <w:tcW w:w="131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微软雅黑" w:hAnsi="微软雅黑" w:eastAsia="微软雅黑" w:cs="微软雅黑"/>
                <w:color w:val="auto"/>
                <w:szCs w:val="21"/>
                <w:lang w:val="en-US" w:eastAsia="zh-CN"/>
              </w:rPr>
            </w:pPr>
            <w:r>
              <w:rPr>
                <w:rFonts w:hint="eastAsia" w:ascii="微软雅黑" w:hAnsi="微软雅黑" w:eastAsia="微软雅黑" w:cs="微软雅黑"/>
                <w:color w:val="auto"/>
                <w:kern w:val="0"/>
                <w:szCs w:val="21"/>
                <w:lang w:eastAsia="zh-CN"/>
              </w:rPr>
              <w:t>华为</w:t>
            </w:r>
            <w:r>
              <w:rPr>
                <w:rFonts w:hint="eastAsia" w:ascii="微软雅黑" w:hAnsi="微软雅黑" w:eastAsia="微软雅黑" w:cs="微软雅黑"/>
                <w:color w:val="auto"/>
                <w:kern w:val="0"/>
                <w:szCs w:val="21"/>
                <w:lang w:val="en-US" w:eastAsia="zh-CN"/>
              </w:rPr>
              <w:t>\</w:t>
            </w:r>
            <w:r>
              <w:rPr>
                <w:rFonts w:hint="eastAsia" w:ascii="微软雅黑" w:hAnsi="微软雅黑" w:eastAsia="微软雅黑" w:cs="微软雅黑"/>
                <w:color w:val="auto"/>
                <w:kern w:val="0"/>
                <w:szCs w:val="21"/>
              </w:rPr>
              <w:t>艾特网能</w:t>
            </w:r>
            <w:r>
              <w:rPr>
                <w:rFonts w:hint="eastAsia" w:ascii="微软雅黑" w:hAnsi="微软雅黑" w:eastAsia="微软雅黑" w:cs="微软雅黑"/>
                <w:color w:val="auto"/>
                <w:kern w:val="0"/>
                <w:szCs w:val="21"/>
                <w:lang w:val="en-US" w:eastAsia="zh-CN"/>
              </w:rPr>
              <w:t>\维蒂</w:t>
            </w:r>
          </w:p>
        </w:tc>
        <w:tc>
          <w:tcPr>
            <w:tcW w:w="618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right="76"/>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本次采用</w:t>
            </w:r>
            <w:r>
              <w:rPr>
                <w:rFonts w:hint="eastAsia" w:ascii="微软雅黑" w:hAnsi="微软雅黑" w:eastAsia="微软雅黑" w:cs="微软雅黑"/>
                <w:color w:val="auto"/>
                <w:szCs w:val="21"/>
                <w:lang w:val="en-US" w:eastAsia="zh-CN"/>
              </w:rPr>
              <w:t>2</w:t>
            </w:r>
            <w:r>
              <w:rPr>
                <w:rFonts w:hint="eastAsia" w:ascii="微软雅黑" w:hAnsi="微软雅黑" w:eastAsia="微软雅黑" w:cs="微软雅黑"/>
                <w:color w:val="auto"/>
                <w:szCs w:val="21"/>
              </w:rPr>
              <w:t>套制冷量的精密空调，送风方式为</w:t>
            </w:r>
            <w:r>
              <w:rPr>
                <w:rFonts w:hint="eastAsia" w:ascii="微软雅黑" w:hAnsi="微软雅黑" w:eastAsia="微软雅黑" w:cs="微软雅黑"/>
                <w:color w:val="auto"/>
                <w:szCs w:val="21"/>
                <w:lang w:val="en-US" w:eastAsia="zh-CN"/>
              </w:rPr>
              <w:t>底部送风，风机不下沉</w:t>
            </w:r>
            <w:r>
              <w:rPr>
                <w:rFonts w:hint="eastAsia" w:ascii="微软雅黑" w:hAnsi="微软雅黑" w:eastAsia="微软雅黑" w:cs="微软雅黑"/>
                <w:color w:val="auto"/>
                <w:szCs w:val="21"/>
              </w:rPr>
              <w:t>，含精密空调室内机、室外冷凝器及安装服务。</w:t>
            </w:r>
          </w:p>
          <w:p>
            <w:pPr>
              <w:numPr>
                <w:ilvl w:val="0"/>
                <w:numId w:val="3"/>
              </w:numPr>
              <w:ind w:left="845" w:right="76" w:hanging="425"/>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主要技术参数要求：</w:t>
            </w:r>
          </w:p>
          <w:p>
            <w:pPr>
              <w:numPr>
                <w:ilvl w:val="0"/>
                <w:numId w:val="4"/>
              </w:numPr>
              <w:ind w:left="420" w:right="76"/>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总冷量（单台）≥4</w:t>
            </w:r>
            <w:r>
              <w:rPr>
                <w:rFonts w:hint="eastAsia" w:ascii="微软雅黑" w:hAnsi="微软雅黑" w:eastAsia="微软雅黑" w:cs="微软雅黑"/>
                <w:color w:val="auto"/>
                <w:szCs w:val="21"/>
                <w:lang w:val="en-US" w:eastAsia="zh-CN"/>
              </w:rPr>
              <w:t>5</w:t>
            </w:r>
            <w:r>
              <w:rPr>
                <w:rFonts w:hint="eastAsia" w:ascii="微软雅黑" w:hAnsi="微软雅黑" w:eastAsia="微软雅黑" w:cs="微软雅黑"/>
                <w:color w:val="auto"/>
                <w:szCs w:val="21"/>
              </w:rPr>
              <w:t>KW</w:t>
            </w:r>
            <w:r>
              <w:rPr>
                <w:rFonts w:hint="eastAsia" w:ascii="微软雅黑" w:hAnsi="微软雅黑" w:eastAsia="微软雅黑" w:cs="微软雅黑"/>
                <w:color w:val="auto"/>
                <w:szCs w:val="21"/>
                <w:lang w:eastAsia="zh-CN"/>
              </w:rPr>
              <w:t>；</w:t>
            </w:r>
          </w:p>
          <w:p>
            <w:pPr>
              <w:numPr>
                <w:ilvl w:val="0"/>
                <w:numId w:val="4"/>
              </w:numPr>
              <w:ind w:left="420" w:right="76"/>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加热量（kw）≥</w:t>
            </w:r>
            <w:r>
              <w:rPr>
                <w:rFonts w:hint="default" w:ascii="微软雅黑" w:hAnsi="微软雅黑" w:eastAsia="微软雅黑" w:cs="微软雅黑"/>
                <w:color w:val="auto"/>
                <w:szCs w:val="21"/>
                <w:lang w:val="en-US"/>
              </w:rPr>
              <w:t>6</w:t>
            </w:r>
            <w:r>
              <w:rPr>
                <w:rFonts w:hint="eastAsia" w:ascii="微软雅黑" w:hAnsi="微软雅黑" w:eastAsia="微软雅黑" w:cs="微软雅黑"/>
                <w:color w:val="auto"/>
                <w:szCs w:val="21"/>
                <w:lang w:val="en-US" w:eastAsia="zh-CN"/>
              </w:rPr>
              <w:t>；</w:t>
            </w:r>
          </w:p>
          <w:p>
            <w:pPr>
              <w:ind w:left="420" w:right="76"/>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3）加湿量</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kg/h</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w:t>
            </w:r>
            <w:r>
              <w:rPr>
                <w:rFonts w:hint="default" w:ascii="微软雅黑" w:hAnsi="微软雅黑" w:eastAsia="微软雅黑" w:cs="微软雅黑"/>
                <w:color w:val="auto"/>
                <w:szCs w:val="21"/>
                <w:lang w:val="en-US"/>
              </w:rPr>
              <w:t>4</w:t>
            </w:r>
            <w:r>
              <w:rPr>
                <w:rFonts w:hint="eastAsia" w:ascii="微软雅黑" w:hAnsi="微软雅黑" w:eastAsia="微软雅黑" w:cs="微软雅黑"/>
                <w:color w:val="auto"/>
                <w:szCs w:val="21"/>
                <w:lang w:val="en-US" w:eastAsia="zh-CN"/>
              </w:rPr>
              <w:t>；</w:t>
            </w:r>
          </w:p>
          <w:p>
            <w:pPr>
              <w:ind w:left="420" w:right="76"/>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rPr>
              <w:t>4）送风量（</w:t>
            </w:r>
            <w:r>
              <w:rPr>
                <w:rFonts w:hint="default" w:ascii="微软雅黑" w:hAnsi="微软雅黑" w:eastAsia="微软雅黑" w:cs="微软雅黑"/>
                <w:color w:val="auto"/>
                <w:szCs w:val="21"/>
                <w:lang w:val="en-US"/>
              </w:rPr>
              <w:t>m</w:t>
            </w:r>
            <w:r>
              <w:rPr>
                <w:rFonts w:hint="eastAsia" w:ascii="微软雅黑" w:hAnsi="微软雅黑" w:eastAsia="微软雅黑" w:cs="微软雅黑"/>
                <w:color w:val="auto"/>
                <w:szCs w:val="21"/>
                <w:lang w:eastAsia="zh-CN"/>
              </w:rPr>
              <w:t>³</w:t>
            </w:r>
            <w:r>
              <w:rPr>
                <w:rFonts w:hint="eastAsia" w:ascii="微软雅黑" w:hAnsi="微软雅黑" w:eastAsia="微软雅黑" w:cs="微软雅黑"/>
                <w:color w:val="auto"/>
                <w:szCs w:val="21"/>
              </w:rPr>
              <w:t>/h）≥</w:t>
            </w:r>
            <w:r>
              <w:rPr>
                <w:rFonts w:hint="eastAsia" w:ascii="微软雅黑" w:hAnsi="微软雅黑" w:eastAsia="微软雅黑" w:cs="微软雅黑"/>
                <w:color w:val="auto"/>
                <w:szCs w:val="21"/>
                <w:lang w:val="en-US" w:eastAsia="zh-CN"/>
              </w:rPr>
              <w:t>1</w:t>
            </w:r>
            <w:r>
              <w:rPr>
                <w:rFonts w:hint="default" w:ascii="微软雅黑" w:hAnsi="微软雅黑" w:eastAsia="微软雅黑" w:cs="微软雅黑"/>
                <w:color w:val="auto"/>
                <w:szCs w:val="21"/>
                <w:lang w:val="en-US" w:eastAsia="zh-CN"/>
              </w:rPr>
              <w:t>1000</w:t>
            </w:r>
            <w:r>
              <w:rPr>
                <w:rFonts w:hint="eastAsia" w:ascii="微软雅黑" w:hAnsi="微软雅黑" w:eastAsia="微软雅黑" w:cs="微软雅黑"/>
                <w:color w:val="auto"/>
                <w:szCs w:val="21"/>
                <w:lang w:val="en-US" w:eastAsia="zh-CN"/>
              </w:rPr>
              <w:t>；</w:t>
            </w:r>
          </w:p>
          <w:p>
            <w:pPr>
              <w:ind w:left="420" w:right="76"/>
              <w:rPr>
                <w:rFonts w:hint="default" w:ascii="微软雅黑" w:hAnsi="微软雅黑" w:eastAsia="微软雅黑" w:cs="微软雅黑"/>
                <w:color w:val="auto"/>
                <w:szCs w:val="21"/>
                <w:lang w:val="en-US"/>
              </w:rPr>
            </w:pPr>
            <w:r>
              <w:rPr>
                <w:rFonts w:hint="eastAsia" w:ascii="微软雅黑" w:hAnsi="微软雅黑" w:eastAsia="微软雅黑" w:cs="微软雅黑"/>
                <w:color w:val="auto"/>
                <w:szCs w:val="21"/>
              </w:rPr>
              <w:t>5）室内机尺寸（宽×深×高mm）≤</w:t>
            </w:r>
            <w:r>
              <w:rPr>
                <w:rFonts w:hint="default" w:ascii="微软雅黑" w:hAnsi="微软雅黑" w:eastAsia="微软雅黑" w:cs="微软雅黑"/>
                <w:color w:val="auto"/>
                <w:szCs w:val="21"/>
                <w:lang w:val="en-US"/>
              </w:rPr>
              <w:t>1000</w:t>
            </w:r>
            <w:r>
              <w:rPr>
                <w:rFonts w:hint="eastAsia" w:ascii="微软雅黑" w:hAnsi="微软雅黑" w:eastAsia="微软雅黑" w:cs="微软雅黑"/>
                <w:color w:val="auto"/>
                <w:szCs w:val="21"/>
              </w:rPr>
              <w:t>*</w:t>
            </w:r>
            <w:r>
              <w:rPr>
                <w:rFonts w:ascii="微软雅黑" w:hAnsi="微软雅黑" w:eastAsia="微软雅黑" w:cs="微软雅黑"/>
                <w:color w:val="auto"/>
                <w:szCs w:val="21"/>
              </w:rPr>
              <w:t>9</w:t>
            </w:r>
            <w:r>
              <w:rPr>
                <w:rFonts w:hint="default" w:ascii="微软雅黑" w:hAnsi="微软雅黑" w:eastAsia="微软雅黑" w:cs="微软雅黑"/>
                <w:color w:val="auto"/>
                <w:szCs w:val="21"/>
              </w:rPr>
              <w:t>30</w:t>
            </w:r>
            <w:r>
              <w:rPr>
                <w:rFonts w:hint="eastAsia" w:ascii="微软雅黑" w:hAnsi="微软雅黑" w:eastAsia="微软雅黑" w:cs="微软雅黑"/>
                <w:color w:val="auto"/>
                <w:szCs w:val="21"/>
              </w:rPr>
              <w:t>*</w:t>
            </w:r>
            <w:r>
              <w:rPr>
                <w:rFonts w:hint="default" w:ascii="微软雅黑" w:hAnsi="微软雅黑" w:eastAsia="微软雅黑" w:cs="微软雅黑"/>
                <w:color w:val="auto"/>
                <w:szCs w:val="21"/>
                <w:lang w:val="en-US"/>
              </w:rPr>
              <w:t>2000</w:t>
            </w:r>
          </w:p>
          <w:p>
            <w:pPr>
              <w:ind w:left="420" w:right="76"/>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（因受设备运输及现场部署环境限制，精密空调主机尺寸不能超出该尺寸</w:t>
            </w:r>
            <w:r>
              <w:rPr>
                <w:rFonts w:hint="eastAsia" w:ascii="微软雅黑" w:hAnsi="微软雅黑" w:eastAsia="微软雅黑" w:cs="微软雅黑"/>
                <w:color w:val="auto"/>
                <w:szCs w:val="21"/>
                <w:lang w:eastAsia="zh-CN"/>
              </w:rPr>
              <w:t>，不足该尺寸的补充包边，包边要求与环境相适应，美观大方</w:t>
            </w:r>
            <w:r>
              <w:rPr>
                <w:rFonts w:hint="eastAsia" w:ascii="微软雅黑" w:hAnsi="微软雅黑" w:eastAsia="微软雅黑" w:cs="微软雅黑"/>
                <w:color w:val="auto"/>
                <w:szCs w:val="21"/>
              </w:rPr>
              <w:t>）</w:t>
            </w:r>
            <w:r>
              <w:rPr>
                <w:rFonts w:hint="eastAsia" w:ascii="微软雅黑" w:hAnsi="微软雅黑" w:eastAsia="微软雅黑" w:cs="微软雅黑"/>
                <w:color w:val="auto"/>
                <w:szCs w:val="21"/>
                <w:lang w:val="en-US" w:eastAsia="zh-CN"/>
              </w:rPr>
              <w:t>；</w:t>
            </w:r>
          </w:p>
          <w:p>
            <w:pPr>
              <w:numPr>
                <w:ilvl w:val="0"/>
                <w:numId w:val="3"/>
              </w:numPr>
              <w:ind w:left="845" w:right="76" w:hanging="425"/>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制冷剂调节装置：采用电子膨胀阀，实现更好的制冷剂调节精度</w:t>
            </w:r>
            <w:r>
              <w:rPr>
                <w:rFonts w:hint="eastAsia" w:ascii="微软雅黑" w:hAnsi="微软雅黑" w:eastAsia="微软雅黑" w:cs="微软雅黑"/>
                <w:color w:val="auto"/>
                <w:szCs w:val="21"/>
                <w:lang w:eastAsia="zh-CN"/>
              </w:rPr>
              <w:t>；</w:t>
            </w:r>
          </w:p>
          <w:p>
            <w:pPr>
              <w:numPr>
                <w:ilvl w:val="0"/>
                <w:numId w:val="3"/>
              </w:numPr>
              <w:ind w:left="845" w:right="76" w:hanging="425"/>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风机系统：应采用直联离心EC风机，不接受皮带传动的风机型式</w:t>
            </w:r>
            <w:r>
              <w:rPr>
                <w:rFonts w:hint="eastAsia" w:ascii="微软雅黑" w:hAnsi="微软雅黑" w:eastAsia="微软雅黑" w:cs="微软雅黑"/>
                <w:color w:val="auto"/>
                <w:szCs w:val="21"/>
                <w:lang w:eastAsia="zh-CN"/>
              </w:rPr>
              <w:t>；</w:t>
            </w:r>
          </w:p>
          <w:p>
            <w:pPr>
              <w:numPr>
                <w:ilvl w:val="0"/>
                <w:numId w:val="3"/>
              </w:numPr>
              <w:ind w:left="845" w:right="76" w:hanging="425"/>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机组采用环保型冷媒R410A</w:t>
            </w:r>
            <w:r>
              <w:rPr>
                <w:rFonts w:hint="eastAsia" w:ascii="微软雅黑" w:hAnsi="微软雅黑" w:eastAsia="微软雅黑" w:cs="微软雅黑"/>
                <w:color w:val="auto"/>
                <w:szCs w:val="21"/>
                <w:lang w:eastAsia="zh-CN"/>
              </w:rPr>
              <w:t>；</w:t>
            </w:r>
          </w:p>
          <w:p>
            <w:pPr>
              <w:numPr>
                <w:ilvl w:val="0"/>
                <w:numId w:val="3"/>
              </w:numPr>
              <w:ind w:left="845" w:right="76" w:hanging="425"/>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空气压差开关：机组应配备滤网压差开关和气流丢失压差开关两个气压差开关</w:t>
            </w:r>
            <w:r>
              <w:rPr>
                <w:rFonts w:hint="eastAsia" w:ascii="微软雅黑" w:hAnsi="微软雅黑" w:eastAsia="微软雅黑" w:cs="微软雅黑"/>
                <w:color w:val="auto"/>
                <w:szCs w:val="21"/>
                <w:lang w:eastAsia="zh-CN"/>
              </w:rPr>
              <w:t>；</w:t>
            </w:r>
          </w:p>
          <w:p>
            <w:pPr>
              <w:numPr>
                <w:ilvl w:val="0"/>
                <w:numId w:val="3"/>
              </w:numPr>
              <w:ind w:left="845" w:right="76" w:hanging="425"/>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压缩机：压缩机采用高效可靠的压缩机，具有较高能效比；缩机的噪声等级应达到行业标准的要求，同时压缩机应可以在现场安装维修</w:t>
            </w:r>
            <w:r>
              <w:rPr>
                <w:rFonts w:hint="eastAsia" w:ascii="微软雅黑" w:hAnsi="微软雅黑" w:eastAsia="微软雅黑" w:cs="微软雅黑"/>
                <w:color w:val="auto"/>
                <w:szCs w:val="21"/>
                <w:lang w:eastAsia="zh-CN"/>
              </w:rPr>
              <w:t>；</w:t>
            </w:r>
          </w:p>
          <w:p>
            <w:pPr>
              <w:numPr>
                <w:ilvl w:val="0"/>
                <w:numId w:val="3"/>
              </w:numPr>
              <w:ind w:left="845" w:hanging="425"/>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蒸发器：</w:t>
            </w:r>
            <w:r>
              <w:rPr>
                <w:rFonts w:hint="eastAsia" w:ascii="微软雅黑" w:hAnsi="微软雅黑" w:eastAsia="微软雅黑" w:cs="微软雅黑"/>
                <w:color w:val="auto"/>
                <w:szCs w:val="21"/>
              </w:rPr>
              <w:t>采用大面积蒸发器</w:t>
            </w:r>
            <w:r>
              <w:rPr>
                <w:rFonts w:hint="eastAsia" w:ascii="微软雅黑" w:hAnsi="微软雅黑" w:eastAsia="微软雅黑" w:cs="微软雅黑"/>
                <w:color w:val="auto"/>
                <w:szCs w:val="21"/>
              </w:rPr>
              <w:t>，增大换热面积，提高系统效率，不接受斜板式蒸发器</w:t>
            </w:r>
            <w:r>
              <w:rPr>
                <w:rFonts w:hint="eastAsia" w:ascii="微软雅黑" w:hAnsi="微软雅黑" w:eastAsia="微软雅黑" w:cs="微软雅黑"/>
                <w:color w:val="auto"/>
                <w:szCs w:val="21"/>
                <w:lang w:eastAsia="zh-CN"/>
              </w:rPr>
              <w:t>；</w:t>
            </w:r>
          </w:p>
          <w:p>
            <w:pPr>
              <w:numPr>
                <w:ilvl w:val="0"/>
                <w:numId w:val="3"/>
              </w:numPr>
              <w:ind w:left="845" w:hanging="425"/>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过滤器：空调应安装</w:t>
            </w:r>
            <w:r>
              <w:rPr>
                <w:rFonts w:hint="eastAsia" w:ascii="微软雅黑" w:hAnsi="微软雅黑" w:eastAsia="微软雅黑" w:cs="微软雅黑"/>
                <w:color w:val="auto"/>
                <w:szCs w:val="21"/>
                <w:lang w:eastAsia="zh-CN"/>
              </w:rPr>
              <w:t>中效或中效以上</w:t>
            </w:r>
            <w:r>
              <w:rPr>
                <w:rFonts w:hint="eastAsia" w:ascii="微软雅黑" w:hAnsi="微软雅黑" w:eastAsia="微软雅黑" w:cs="微软雅黑"/>
                <w:color w:val="auto"/>
                <w:szCs w:val="21"/>
              </w:rPr>
              <w:t>空气过滤器，G4</w:t>
            </w:r>
            <w:r>
              <w:rPr>
                <w:rFonts w:hint="eastAsia" w:ascii="微软雅黑" w:hAnsi="微软雅黑" w:eastAsia="微软雅黑" w:cs="微软雅黑"/>
                <w:color w:val="auto"/>
                <w:szCs w:val="21"/>
                <w:lang w:eastAsia="zh-CN"/>
              </w:rPr>
              <w:t>以上</w:t>
            </w:r>
            <w:r>
              <w:rPr>
                <w:rFonts w:hint="eastAsia" w:ascii="微软雅黑" w:hAnsi="微软雅黑" w:eastAsia="微软雅黑" w:cs="微软雅黑"/>
                <w:color w:val="auto"/>
                <w:szCs w:val="21"/>
              </w:rPr>
              <w:t>等级，金属框架、便于更换</w:t>
            </w:r>
            <w:r>
              <w:rPr>
                <w:rFonts w:hint="eastAsia" w:ascii="微软雅黑" w:hAnsi="微软雅黑" w:eastAsia="微软雅黑" w:cs="微软雅黑"/>
                <w:color w:val="auto"/>
                <w:szCs w:val="21"/>
                <w:lang w:eastAsia="zh-CN"/>
              </w:rPr>
              <w:t>；</w:t>
            </w:r>
          </w:p>
          <w:p>
            <w:pPr>
              <w:numPr>
                <w:ilvl w:val="0"/>
                <w:numId w:val="3"/>
              </w:numPr>
              <w:ind w:left="845" w:hanging="425"/>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控制系统：应具有先进的微处理控制器和控制逻辑，具有</w:t>
            </w:r>
            <w:r>
              <w:rPr>
                <w:rFonts w:hint="eastAsia" w:ascii="微软雅黑" w:hAnsi="微软雅黑" w:eastAsia="微软雅黑" w:cs="微软雅黑"/>
                <w:color w:val="auto"/>
                <w:szCs w:val="21"/>
                <w:lang w:eastAsia="zh-CN"/>
              </w:rPr>
              <w:t>不低于</w:t>
            </w:r>
            <w:r>
              <w:rPr>
                <w:rFonts w:hint="eastAsia" w:ascii="微软雅黑" w:hAnsi="微软雅黑" w:eastAsia="微软雅黑" w:cs="微软雅黑"/>
                <w:color w:val="auto"/>
                <w:szCs w:val="21"/>
              </w:rPr>
              <w:t>7英寸大屏幕中文触摸显示屏，能显示温湿度及各组件的运行状态的功能，以便于随时了解制冷系统的运行情况</w:t>
            </w:r>
            <w:r>
              <w:rPr>
                <w:rFonts w:hint="eastAsia" w:ascii="微软雅黑" w:hAnsi="微软雅黑" w:eastAsia="微软雅黑" w:cs="微软雅黑"/>
                <w:color w:val="auto"/>
                <w:szCs w:val="21"/>
                <w:lang w:eastAsia="zh-CN"/>
              </w:rPr>
              <w:t>；</w:t>
            </w:r>
          </w:p>
          <w:p>
            <w:pPr>
              <w:numPr>
                <w:ilvl w:val="0"/>
                <w:numId w:val="3"/>
              </w:numPr>
              <w:ind w:left="845" w:right="76" w:hanging="425"/>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室外机：为保证室外机使用寿命，风机叶片应为全金属材质，不接受由非金属叶片风机的室外机产品。冷凝器风机应采用变频无极全调速方式，可根据冷凝压力自动调节室外机风速，保证系统运行稳定、节能高效。</w:t>
            </w:r>
          </w:p>
          <w:p>
            <w:pPr>
              <w:widowControl/>
              <w:tabs>
                <w:tab w:val="left" w:pos="15"/>
              </w:tabs>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机房精密空调机组的机械性能：</w:t>
            </w:r>
          </w:p>
          <w:p>
            <w:pPr>
              <w:widowControl/>
              <w:tabs>
                <w:tab w:val="left" w:pos="15"/>
              </w:tabs>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1）外观工艺、检查：机柜表面喷涂均匀、无破损；信号灯、开关、测量显示装置布局合理</w:t>
            </w:r>
            <w:r>
              <w:rPr>
                <w:rFonts w:hint="eastAsia" w:ascii="微软雅黑" w:hAnsi="微软雅黑" w:eastAsia="微软雅黑" w:cs="微软雅黑"/>
                <w:color w:val="auto"/>
                <w:szCs w:val="21"/>
                <w:lang w:eastAsia="zh-CN"/>
              </w:rPr>
              <w:t>；</w:t>
            </w:r>
          </w:p>
          <w:p>
            <w:pPr>
              <w:widowControl/>
              <w:tabs>
                <w:tab w:val="left" w:pos="15"/>
              </w:tabs>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2）操作及维修安全、方便。标牌、标记：应平整清晰</w:t>
            </w:r>
            <w:r>
              <w:rPr>
                <w:rFonts w:hint="eastAsia" w:ascii="微软雅黑" w:hAnsi="微软雅黑" w:eastAsia="微软雅黑" w:cs="微软雅黑"/>
                <w:color w:val="auto"/>
                <w:szCs w:val="21"/>
                <w:lang w:eastAsia="zh-CN"/>
              </w:rPr>
              <w:t>；</w:t>
            </w:r>
          </w:p>
          <w:p>
            <w:pPr>
              <w:widowControl/>
              <w:tabs>
                <w:tab w:val="left" w:pos="15"/>
              </w:tabs>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3）机组外框架应采用单面板，内贴防火消音棉结构。吸收</w:t>
            </w:r>
            <w:r>
              <w:rPr>
                <w:rFonts w:hint="eastAsia" w:ascii="微软雅黑" w:hAnsi="微软雅黑" w:eastAsia="微软雅黑" w:cs="微软雅黑"/>
                <w:color w:val="auto"/>
                <w:szCs w:val="21"/>
                <w:lang w:eastAsia="zh-CN"/>
              </w:rPr>
              <w:t>噪声</w:t>
            </w:r>
            <w:r>
              <w:rPr>
                <w:rFonts w:hint="eastAsia" w:ascii="微软雅黑" w:hAnsi="微软雅黑" w:eastAsia="微软雅黑" w:cs="微软雅黑"/>
                <w:color w:val="auto"/>
                <w:szCs w:val="21"/>
              </w:rPr>
              <w:t>，同时可起到防火的作用</w:t>
            </w:r>
            <w:r>
              <w:rPr>
                <w:rFonts w:hint="eastAsia" w:ascii="微软雅黑" w:hAnsi="微软雅黑" w:eastAsia="微软雅黑" w:cs="微软雅黑"/>
                <w:color w:val="auto"/>
                <w:szCs w:val="21"/>
                <w:lang w:eastAsia="zh-CN"/>
              </w:rPr>
              <w:t>；</w:t>
            </w:r>
          </w:p>
          <w:p>
            <w:pPr>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4）部件排列合理、整齐；导线颜色和截面合理，布放平整；接插件牢固；进出线符合设计需要；具备抗震措施。</w:t>
            </w:r>
          </w:p>
          <w:p>
            <w:pP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机房精密空调机组的电气性能：</w:t>
            </w:r>
          </w:p>
          <w:p>
            <w:pPr>
              <w:widowControl/>
              <w:tabs>
                <w:tab w:val="left" w:pos="15"/>
              </w:tabs>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1）精密空调机组电气元件：采用ABB、施耐德、西门子等知名品牌产品</w:t>
            </w:r>
            <w:r>
              <w:rPr>
                <w:rFonts w:hint="eastAsia" w:ascii="微软雅黑" w:hAnsi="微软雅黑" w:eastAsia="微软雅黑" w:cs="微软雅黑"/>
                <w:color w:val="auto"/>
                <w:szCs w:val="21"/>
                <w:lang w:eastAsia="zh-CN"/>
              </w:rPr>
              <w:t>；</w:t>
            </w:r>
          </w:p>
          <w:p>
            <w:pPr>
              <w:widowControl/>
              <w:tabs>
                <w:tab w:val="left" w:pos="15"/>
              </w:tabs>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2）机房精密空调机组的电气性能应符合IEC标准</w:t>
            </w:r>
            <w:r>
              <w:rPr>
                <w:rFonts w:hint="eastAsia" w:ascii="微软雅黑" w:hAnsi="微软雅黑" w:eastAsia="微软雅黑" w:cs="微软雅黑"/>
                <w:color w:val="auto"/>
                <w:szCs w:val="21"/>
                <w:lang w:eastAsia="zh-CN"/>
              </w:rPr>
              <w:t>；</w:t>
            </w:r>
          </w:p>
          <w:p>
            <w:pPr>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3）输入电压允许波动范围：380V±10%</w:t>
            </w:r>
            <w:r>
              <w:rPr>
                <w:rFonts w:hint="eastAsia" w:ascii="微软雅黑" w:hAnsi="微软雅黑" w:eastAsia="微软雅黑" w:cs="微软雅黑"/>
                <w:color w:val="auto"/>
                <w:szCs w:val="21"/>
                <w:lang w:eastAsia="zh-CN"/>
              </w:rPr>
              <w:t>；</w:t>
            </w:r>
          </w:p>
          <w:p>
            <w:pPr>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4）频率允许范围：50HZ </w:t>
            </w:r>
            <w:r>
              <w:rPr>
                <w:rFonts w:hint="eastAsia" w:ascii="微软雅黑" w:hAnsi="微软雅黑" w:eastAsia="微软雅黑" w:cs="微软雅黑"/>
                <w:color w:val="auto"/>
                <w:szCs w:val="21"/>
              </w:rPr>
              <w:sym w:font="Symbol" w:char="F0B1"/>
            </w:r>
            <w:r>
              <w:rPr>
                <w:rFonts w:hint="eastAsia" w:ascii="微软雅黑" w:hAnsi="微软雅黑" w:eastAsia="微软雅黑" w:cs="微软雅黑"/>
                <w:color w:val="auto"/>
                <w:szCs w:val="21"/>
              </w:rPr>
              <w:t xml:space="preserve"> 2HZ</w:t>
            </w:r>
            <w:r>
              <w:rPr>
                <w:rFonts w:hint="eastAsia" w:ascii="微软雅黑" w:hAnsi="微软雅黑" w:eastAsia="微软雅黑" w:cs="微软雅黑"/>
                <w:color w:val="auto"/>
                <w:szCs w:val="21"/>
                <w:lang w:eastAsia="zh-CN"/>
              </w:rPr>
              <w:t>。</w:t>
            </w:r>
          </w:p>
          <w:p>
            <w:pPr>
              <w:widowControl/>
              <w:tabs>
                <w:tab w:val="left" w:pos="15"/>
              </w:tabs>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机房精密空调机组的温度、湿度控制性能：</w:t>
            </w:r>
          </w:p>
          <w:p>
            <w:pPr>
              <w:widowControl/>
              <w:tabs>
                <w:tab w:val="left" w:pos="15"/>
              </w:tabs>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1）机房精密空调机组的适应环境：温度（室内-10℃</w:t>
            </w:r>
            <w:r>
              <w:rPr>
                <w:rFonts w:hint="eastAsia" w:ascii="微软雅黑" w:hAnsi="微软雅黑" w:eastAsia="微软雅黑" w:cs="微软雅黑"/>
                <w:color w:val="auto"/>
                <w:szCs w:val="21"/>
              </w:rPr>
              <w:sym w:font="Symbol" w:char="F07E"/>
            </w:r>
            <w:r>
              <w:rPr>
                <w:rFonts w:hint="eastAsia" w:ascii="微软雅黑" w:hAnsi="微软雅黑" w:eastAsia="微软雅黑" w:cs="微软雅黑"/>
                <w:color w:val="auto"/>
                <w:szCs w:val="21"/>
              </w:rPr>
              <w:t xml:space="preserve"> +30℃；室外-30℃</w:t>
            </w:r>
            <w:r>
              <w:rPr>
                <w:rFonts w:hint="eastAsia" w:ascii="微软雅黑" w:hAnsi="微软雅黑" w:eastAsia="微软雅黑" w:cs="微软雅黑"/>
                <w:color w:val="auto"/>
                <w:szCs w:val="21"/>
              </w:rPr>
              <w:sym w:font="Symbol" w:char="F07E"/>
            </w:r>
            <w:r>
              <w:rPr>
                <w:rFonts w:hint="eastAsia" w:ascii="微软雅黑" w:hAnsi="微软雅黑" w:eastAsia="微软雅黑" w:cs="微软雅黑"/>
                <w:color w:val="auto"/>
                <w:szCs w:val="21"/>
              </w:rPr>
              <w:t xml:space="preserve"> +45℃）；湿度≤95%RH；</w:t>
            </w:r>
          </w:p>
          <w:p>
            <w:pPr>
              <w:widowControl/>
              <w:tabs>
                <w:tab w:val="left" w:pos="15"/>
              </w:tabs>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2）机房精密空调应能按要求自动调节室内温、湿度，具有制冷、加热、加湿、除湿等功能；</w:t>
            </w:r>
          </w:p>
          <w:p>
            <w:pPr>
              <w:widowControl/>
              <w:tabs>
                <w:tab w:val="left" w:pos="15"/>
              </w:tabs>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3）温度调节范围：+17℃</w:t>
            </w:r>
            <w:r>
              <w:rPr>
                <w:rFonts w:hint="eastAsia" w:ascii="微软雅黑" w:hAnsi="微软雅黑" w:eastAsia="微软雅黑" w:cs="微软雅黑"/>
                <w:color w:val="auto"/>
                <w:szCs w:val="21"/>
              </w:rPr>
              <w:sym w:font="Symbol" w:char="F07E"/>
            </w:r>
            <w:r>
              <w:rPr>
                <w:rFonts w:hint="eastAsia" w:ascii="微软雅黑" w:hAnsi="微软雅黑" w:eastAsia="微软雅黑" w:cs="微软雅黑"/>
                <w:color w:val="auto"/>
                <w:szCs w:val="21"/>
              </w:rPr>
              <w:t xml:space="preserve"> +28℃；</w:t>
            </w:r>
          </w:p>
          <w:p>
            <w:pPr>
              <w:widowControl/>
              <w:tabs>
                <w:tab w:val="left" w:pos="15"/>
              </w:tabs>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4）温度调节精度：</w:t>
            </w:r>
            <w:r>
              <w:rPr>
                <w:rFonts w:hint="eastAsia" w:ascii="微软雅黑" w:hAnsi="微软雅黑" w:eastAsia="微软雅黑" w:cs="微软雅黑"/>
                <w:color w:val="auto"/>
                <w:szCs w:val="21"/>
              </w:rPr>
              <w:sym w:font="Symbol" w:char="F0B1"/>
            </w:r>
            <w:r>
              <w:rPr>
                <w:rFonts w:hint="eastAsia" w:ascii="微软雅黑" w:hAnsi="微软雅黑" w:eastAsia="微软雅黑" w:cs="微软雅黑"/>
                <w:color w:val="auto"/>
                <w:szCs w:val="21"/>
              </w:rPr>
              <w:t>1℃，温度变化率&lt;5℃/小时；</w:t>
            </w:r>
          </w:p>
          <w:p>
            <w:pPr>
              <w:widowControl/>
              <w:tabs>
                <w:tab w:val="left" w:pos="15"/>
              </w:tabs>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 xml:space="preserve">5）湿度调节范围：40% </w:t>
            </w:r>
            <w:r>
              <w:rPr>
                <w:rFonts w:hint="eastAsia" w:ascii="微软雅黑" w:hAnsi="微软雅黑" w:eastAsia="微软雅黑" w:cs="微软雅黑"/>
                <w:color w:val="auto"/>
                <w:szCs w:val="21"/>
              </w:rPr>
              <w:sym w:font="Symbol" w:char="F07E"/>
            </w:r>
            <w:r>
              <w:rPr>
                <w:rFonts w:hint="eastAsia" w:ascii="微软雅黑" w:hAnsi="微软雅黑" w:eastAsia="微软雅黑" w:cs="微软雅黑"/>
                <w:color w:val="auto"/>
                <w:szCs w:val="21"/>
              </w:rPr>
              <w:t xml:space="preserve"> 60%RH；</w:t>
            </w:r>
          </w:p>
          <w:p>
            <w:pPr>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6）湿度调节精度：≤±3%RH，温、湿度波动超限应能发出报警信号。</w:t>
            </w:r>
          </w:p>
          <w:p>
            <w:pPr>
              <w:widowControl/>
              <w:tabs>
                <w:tab w:val="left" w:pos="15"/>
              </w:tabs>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精密空调机组的机组性能：</w:t>
            </w:r>
          </w:p>
          <w:p>
            <w:pPr>
              <w:widowControl/>
              <w:tabs>
                <w:tab w:val="left" w:pos="15"/>
              </w:tabs>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1）机房精密空调应具有较好的性能，并兼顾紧凑的尺寸，节省宝贵的机房空间</w:t>
            </w:r>
            <w:r>
              <w:rPr>
                <w:rFonts w:hint="eastAsia" w:ascii="微软雅黑" w:hAnsi="微软雅黑" w:eastAsia="微软雅黑" w:cs="微软雅黑"/>
                <w:color w:val="auto"/>
                <w:szCs w:val="21"/>
                <w:lang w:eastAsia="zh-CN"/>
              </w:rPr>
              <w:t>；</w:t>
            </w:r>
          </w:p>
          <w:p>
            <w:pPr>
              <w:widowControl/>
              <w:tabs>
                <w:tab w:val="left" w:pos="15"/>
              </w:tabs>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2）机房精密空调系统应具有高可靠性，要求机组平均无故障时间MTBF≥10万小时</w:t>
            </w:r>
            <w:r>
              <w:rPr>
                <w:rFonts w:hint="eastAsia" w:ascii="微软雅黑" w:hAnsi="微软雅黑" w:eastAsia="微软雅黑" w:cs="微软雅黑"/>
                <w:color w:val="auto"/>
                <w:szCs w:val="21"/>
                <w:lang w:eastAsia="zh-CN"/>
              </w:rPr>
              <w:t>；</w:t>
            </w:r>
          </w:p>
          <w:p>
            <w:pPr>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3）机房精密空调的空气洁净度：应安装中效或高效空气过滤器</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所安装的过滤器应保证机房的洁净度达到直径大于或等于0.5μm的灰尘粒子浓度≤18000粒/升</w:t>
            </w:r>
            <w:r>
              <w:rPr>
                <w:rFonts w:hint="eastAsia" w:ascii="微软雅黑" w:hAnsi="微软雅黑" w:eastAsia="微软雅黑" w:cs="微软雅黑"/>
                <w:color w:val="auto"/>
                <w:szCs w:val="21"/>
                <w:lang w:eastAsia="zh-CN"/>
              </w:rPr>
              <w:t>；</w:t>
            </w:r>
          </w:p>
          <w:p>
            <w:pPr>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4）每台机组都应具有独立的控制系统、显示器、加热器、加湿器、独立的温湿度传感器。以保证每台机组的正常及高精度运行。</w:t>
            </w:r>
          </w:p>
          <w:p>
            <w:pPr>
              <w:widowControl/>
              <w:tabs>
                <w:tab w:val="left" w:pos="15"/>
              </w:tabs>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机房精密空调机组的监控性能：</w:t>
            </w:r>
          </w:p>
          <w:p>
            <w:pPr>
              <w:widowControl/>
              <w:tabs>
                <w:tab w:val="left" w:pos="15"/>
              </w:tabs>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1）机房精密空调机组应提供方便的现场监控及远程监控能力；</w:t>
            </w:r>
          </w:p>
          <w:p>
            <w:pPr>
              <w:widowControl/>
              <w:tabs>
                <w:tab w:val="left" w:pos="15"/>
              </w:tabs>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2）系统应具有三遥性能：遥测项目：回风温度、回风湿度、显示机组工作状态等；遥信项目：开/关机状态，回风温度过高/低，回风湿度过高/低，过滤器正常/堵塞，风机正常/故障，压缩机正常/故障等；遥控项目：空调开/关机；</w:t>
            </w:r>
          </w:p>
          <w:p>
            <w:pPr>
              <w:widowControl/>
              <w:tabs>
                <w:tab w:val="left" w:pos="15"/>
              </w:tabs>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3）系统应具备的通信接口：具备RS485或RS232接口，且应具有良好的电气隔离 ；无偿提供通讯协议，故障代码、中文名称及说明；</w:t>
            </w:r>
          </w:p>
          <w:p>
            <w:pPr>
              <w:widowControl/>
              <w:tabs>
                <w:tab w:val="left" w:pos="15"/>
              </w:tabs>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4）设备运行参数的设置：设备应具有智能判断功能，对于超常规的参数设置（错误命令），应能自动拒绝，并且具备各项参数设置的帮助系统；</w:t>
            </w:r>
          </w:p>
          <w:p>
            <w:pPr>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5）准确度：三遥量：开关量和控制操作准确度应达到100%；模拟量精确度应达到交流电量误差≤2%；非电量误差≤5%；设备显示面板或表头显示值应与从通信接口读出的三遥量值保持一致。</w:t>
            </w:r>
          </w:p>
          <w:p>
            <w:pP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资质要求</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微软雅黑" w:hAnsi="微软雅黑" w:eastAsia="微软雅黑" w:cs="微软雅黑"/>
                <w:color w:val="auto"/>
                <w:szCs w:val="21"/>
                <w:highlight w:val="none"/>
                <w:lang w:eastAsia="zh-CN"/>
              </w:rPr>
            </w:pPr>
            <w:r>
              <w:rPr>
                <w:rFonts w:hint="default" w:ascii="微软雅黑" w:hAnsi="微软雅黑" w:eastAsia="微软雅黑" w:cs="微软雅黑"/>
                <w:color w:val="auto"/>
                <w:szCs w:val="21"/>
                <w:highlight w:val="none"/>
                <w:lang w:val="en-US"/>
              </w:rPr>
              <w:t>1</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szCs w:val="21"/>
                <w:highlight w:val="none"/>
              </w:rPr>
              <w:t>精密空调设备需同一品牌，要求品牌、制造商一致</w:t>
            </w:r>
            <w:r>
              <w:rPr>
                <w:rFonts w:hint="eastAsia" w:ascii="微软雅黑" w:hAnsi="微软雅黑" w:eastAsia="微软雅黑" w:cs="微软雅黑"/>
                <w:color w:val="auto"/>
                <w:szCs w:val="21"/>
                <w:highlight w:val="none"/>
                <w:lang w:eastAsia="zh-CN"/>
              </w:rPr>
              <w:t>；</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default" w:ascii="微软雅黑" w:hAnsi="微软雅黑" w:eastAsia="微软雅黑" w:cs="微软雅黑"/>
                <w:color w:val="auto"/>
                <w:szCs w:val="21"/>
                <w:highlight w:val="none"/>
                <w:lang w:val="en-US" w:eastAsia="zh-CN"/>
              </w:rPr>
            </w:pPr>
            <w:r>
              <w:rPr>
                <w:rFonts w:hint="default" w:ascii="微软雅黑" w:hAnsi="微软雅黑" w:eastAsia="微软雅黑" w:cs="微软雅黑"/>
                <w:color w:val="auto"/>
                <w:szCs w:val="21"/>
                <w:highlight w:val="none"/>
                <w:lang w:val="en-US"/>
              </w:rPr>
              <w:t>2</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szCs w:val="21"/>
                <w:highlight w:val="none"/>
              </w:rPr>
              <w:t>设备生产厂商需具有质量管理体系认证、环境管理体系认证、信息安全管理体系</w:t>
            </w:r>
            <w:r>
              <w:rPr>
                <w:rFonts w:hint="eastAsia" w:ascii="微软雅黑" w:hAnsi="微软雅黑" w:eastAsia="微软雅黑" w:cs="微软雅黑"/>
                <w:color w:val="auto"/>
                <w:szCs w:val="21"/>
                <w:highlight w:val="none"/>
                <w:lang w:eastAsia="zh-CN"/>
              </w:rPr>
              <w:t>认证</w:t>
            </w:r>
            <w:r>
              <w:rPr>
                <w:rFonts w:hint="eastAsia" w:ascii="微软雅黑" w:hAnsi="微软雅黑" w:eastAsia="微软雅黑" w:cs="微软雅黑"/>
                <w:color w:val="auto"/>
                <w:szCs w:val="21"/>
                <w:highlight w:val="none"/>
                <w:lang w:eastAsia="zh-CN"/>
              </w:rPr>
              <w:t>，并提供认</w:t>
            </w:r>
            <w:r>
              <w:rPr>
                <w:rFonts w:hint="eastAsia" w:ascii="微软雅黑" w:hAnsi="微软雅黑" w:eastAsia="微软雅黑" w:cs="微软雅黑"/>
                <w:color w:val="auto"/>
                <w:szCs w:val="21"/>
                <w:highlight w:val="none"/>
              </w:rPr>
              <w:t>证证书</w:t>
            </w:r>
            <w:r>
              <w:rPr>
                <w:rFonts w:hint="eastAsia" w:ascii="微软雅黑" w:hAnsi="微软雅黑" w:eastAsia="微软雅黑" w:cs="微软雅黑"/>
                <w:color w:val="auto"/>
                <w:szCs w:val="21"/>
                <w:highlight w:val="none"/>
                <w:lang w:eastAsia="zh-CN"/>
              </w:rPr>
              <w:t>；</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微软雅黑" w:hAnsi="微软雅黑" w:eastAsia="微软雅黑" w:cs="微软雅黑"/>
                <w:color w:val="auto"/>
                <w:szCs w:val="21"/>
                <w:highlight w:val="none"/>
                <w:lang w:eastAsia="zh-CN"/>
              </w:rPr>
            </w:pPr>
            <w:r>
              <w:rPr>
                <w:rFonts w:hint="default"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szCs w:val="21"/>
                <w:highlight w:val="none"/>
                <w:lang w:eastAsia="zh-CN"/>
              </w:rPr>
              <w:t>投标商需</w:t>
            </w:r>
            <w:r>
              <w:rPr>
                <w:rFonts w:hint="eastAsia" w:ascii="微软雅黑" w:hAnsi="微软雅黑" w:eastAsia="微软雅黑" w:cs="微软雅黑"/>
                <w:color w:val="auto"/>
                <w:szCs w:val="21"/>
                <w:highlight w:val="none"/>
              </w:rPr>
              <w:t>具备机电安装工程专业承包</w:t>
            </w:r>
            <w:r>
              <w:rPr>
                <w:rFonts w:hint="eastAsia" w:ascii="微软雅黑" w:hAnsi="微软雅黑" w:eastAsia="微软雅黑" w:cs="微软雅黑"/>
                <w:color w:val="auto"/>
                <w:szCs w:val="21"/>
                <w:highlight w:val="none"/>
                <w:lang w:eastAsia="zh-CN"/>
              </w:rPr>
              <w:t>三级或以上资质证书，或投标人承诺中标后委托具有相关资质公司承担安装作业（承诺函自拟）</w:t>
            </w:r>
            <w:r>
              <w:rPr>
                <w:rFonts w:hint="eastAsia" w:ascii="微软雅黑" w:hAnsi="微软雅黑" w:eastAsia="微软雅黑" w:cs="微软雅黑"/>
                <w:color w:val="auto"/>
                <w:szCs w:val="21"/>
                <w:highlight w:val="none"/>
                <w:lang w:eastAsia="zh-CN"/>
              </w:rPr>
              <w:t>；</w:t>
            </w:r>
          </w:p>
          <w:p>
            <w:pPr>
              <w:keepNext w:val="0"/>
              <w:keepLines w:val="0"/>
              <w:pageBreakBefore w:val="0"/>
              <w:widowControl/>
              <w:kinsoku/>
              <w:wordWrap/>
              <w:overflowPunct/>
              <w:topLinePunct w:val="0"/>
              <w:autoSpaceDE/>
              <w:autoSpaceDN/>
              <w:bidi w:val="0"/>
              <w:adjustRightInd/>
              <w:snapToGrid/>
              <w:ind w:firstLine="420" w:firstLineChars="200"/>
              <w:textAlignment w:val="center"/>
              <w:rPr>
                <w:rFonts w:hint="eastAsia" w:ascii="微软雅黑" w:hAnsi="微软雅黑" w:eastAsia="微软雅黑" w:cs="微软雅黑"/>
                <w:color w:val="auto"/>
                <w:szCs w:val="21"/>
              </w:rPr>
            </w:pPr>
            <w:r>
              <w:rPr>
                <w:rFonts w:hint="default" w:ascii="微软雅黑" w:hAnsi="微软雅黑" w:eastAsia="微软雅黑" w:cs="微软雅黑"/>
                <w:color w:val="auto"/>
                <w:szCs w:val="21"/>
                <w:highlight w:val="none"/>
                <w:lang w:val="en-US"/>
              </w:rPr>
              <w:t>4</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szCs w:val="21"/>
                <w:highlight w:val="none"/>
              </w:rPr>
              <w:t>设备生产厂家需提供全国性售后服务体系证明。</w:t>
            </w:r>
          </w:p>
        </w:tc>
      </w:tr>
    </w:tbl>
    <w:p>
      <w:pPr>
        <w:rPr>
          <w:rFonts w:hint="eastAsia" w:ascii="宋体" w:hAnsi="宋体" w:cs="宋体"/>
          <w:color w:val="auto"/>
          <w:szCs w:val="21"/>
          <w:lang w:val="en-US" w:eastAsia="zh-CN"/>
        </w:rPr>
      </w:pPr>
      <w:r>
        <w:rPr>
          <w:rFonts w:hint="eastAsia" w:ascii="宋体" w:hAnsi="宋体" w:cs="宋体"/>
          <w:color w:val="auto"/>
          <w:szCs w:val="21"/>
          <w:lang w:val="en-US" w:eastAsia="zh-CN"/>
        </w:rPr>
        <w:br w:type="page"/>
      </w:r>
    </w:p>
    <w:p>
      <w:pPr>
        <w:pStyle w:val="25"/>
        <w:numPr>
          <w:ilvl w:val="0"/>
          <w:numId w:val="2"/>
        </w:numPr>
        <w:snapToGrid w:val="0"/>
        <w:spacing w:line="360" w:lineRule="auto"/>
        <w:ind w:firstLineChars="0"/>
        <w:rPr>
          <w:rFonts w:hint="eastAsia" w:ascii="黑体" w:hAnsi="黑体" w:eastAsia="黑体" w:cs="黑体"/>
          <w:b/>
          <w:bCs/>
          <w:color w:val="auto"/>
          <w:sz w:val="28"/>
          <w:szCs w:val="28"/>
        </w:rPr>
      </w:pPr>
      <w:r>
        <w:rPr>
          <w:rFonts w:hint="eastAsia" w:ascii="黑体" w:hAnsi="黑体" w:eastAsia="黑体" w:cs="黑体"/>
          <w:b/>
          <w:bCs/>
          <w:color w:val="auto"/>
          <w:sz w:val="28"/>
          <w:szCs w:val="28"/>
        </w:rPr>
        <w:t>中心机房旧空调更换注意事项：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1）为确保机房正常运行，机房制冷系统须在不停电且机房制冷系统正常运行情况下进行分批更换。即在不影响机房正常工作的情况下进行旧空调的拆卸和新空调的更换安装工作，因此需要拆一台安装调试一台，运行正常后再拆卸第二台，再安装调试第二台，同时做好机房施工的工作计划安排及安全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（2）由于旧空调所有的气、液管道安装在了空调下面的底座之间，而且布局杂乱无章、交叉错落、互相重叠，因此要求施工单位需要先将每台空调对应的铜管分拣出来后，再</w:t>
      </w:r>
      <w:r>
        <w:rPr>
          <w:rFonts w:hint="eastAsia" w:ascii="仿宋_GB2312" w:hAnsi="仿宋_GB2312" w:eastAsia="仿宋_GB2312" w:cs="仿宋_GB2312"/>
          <w:bCs/>
          <w:color w:val="auto"/>
          <w:kern w:val="44"/>
          <w:sz w:val="28"/>
          <w:szCs w:val="28"/>
          <w:lang w:val="en-US" w:eastAsia="zh-CN"/>
        </w:rPr>
        <w:t>依次</w:t>
      </w:r>
      <w:r>
        <w:rPr>
          <w:rFonts w:hint="eastAsia" w:ascii="仿宋_GB2312" w:hAnsi="仿宋_GB2312" w:eastAsia="仿宋_GB2312" w:cs="仿宋_GB2312"/>
          <w:bCs/>
          <w:color w:val="auto"/>
          <w:kern w:val="44"/>
          <w:sz w:val="28"/>
          <w:szCs w:val="28"/>
          <w:lang w:val="en-US" w:eastAsia="zh-CN"/>
        </w:rPr>
        <w:t>确定拆机和安装的顺序。由于铜管杂乱无章也给拆卸和安装新铜管造成了麻烦，所以在拆卸和安装新旧铜管时必须小心谨慎，提前做好准备工作，防止将在线运行的空调管道损坏影响机房的安全。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3）由于是先拆旧机再安装新机，因此，要求在项目实施的前期进行模拟停机试验：即停止一台准备待更换的空调（有代表性的热负荷较大的空调），观察停机后机房内的温度是否能够满足机房需求，如果对机房没有影响则可以进行更换新机的工作，否则应考虑临时降温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（4）空调须执行的国家标准：主要包括GB17790-2008《家用和类似用途空调器安装规范》、GB1455-2019《房间空气调节器能效限定值及能效等级》、GB/T 39761.1-2021《绿色产品评价家用电器第1部分：电冰箱、空调器和洗衣机》、GB/T 7725-2022《房间空气调节器》、GB19576-2019《单元式空气调节机能效限定值及能效等级》、GB/T17758-2023《单元式空气调节机》等。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p>
    <w:p>
      <w:pPr>
        <w:pStyle w:val="25"/>
        <w:numPr>
          <w:ilvl w:val="0"/>
          <w:numId w:val="2"/>
        </w:numPr>
        <w:snapToGrid w:val="0"/>
        <w:spacing w:line="360" w:lineRule="auto"/>
        <w:ind w:firstLineChars="0"/>
        <w:rPr>
          <w:rFonts w:hint="eastAsia" w:ascii="黑体" w:hAnsi="黑体" w:eastAsia="黑体" w:cs="黑体"/>
          <w:b/>
          <w:bCs/>
          <w:color w:val="auto"/>
          <w:sz w:val="28"/>
          <w:szCs w:val="28"/>
        </w:rPr>
      </w:pPr>
      <w:r>
        <w:rPr>
          <w:rFonts w:hint="eastAsia" w:ascii="黑体" w:hAnsi="黑体" w:eastAsia="黑体" w:cs="黑体"/>
          <w:b/>
          <w:bCs/>
          <w:color w:val="auto"/>
          <w:sz w:val="28"/>
          <w:szCs w:val="28"/>
        </w:rPr>
        <w:t>项目要求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（一）商务要求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
          <w:bCs w:val="0"/>
          <w:color w:val="auto"/>
          <w:kern w:val="44"/>
          <w:sz w:val="28"/>
          <w:szCs w:val="28"/>
          <w:lang w:val="en-US" w:eastAsia="zh-CN"/>
        </w:rPr>
        <w:t>1.投标报价</w:t>
      </w:r>
      <w:r>
        <w:rPr>
          <w:rFonts w:hint="eastAsia" w:ascii="仿宋_GB2312" w:hAnsi="仿宋_GB2312" w:eastAsia="仿宋_GB2312" w:cs="仿宋_GB2312"/>
          <w:bCs/>
          <w:color w:val="auto"/>
          <w:kern w:val="44"/>
          <w:sz w:val="28"/>
          <w:szCs w:val="28"/>
          <w:lang w:val="en-US" w:eastAsia="zh-CN"/>
        </w:rPr>
        <w:t>：投标人报价中应包含所有设备、送货、拆运、安装、调试、税费、辅材及培训等相关费用，采购人不再另行追加任何费用。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
          <w:bCs w:val="0"/>
          <w:color w:val="auto"/>
          <w:kern w:val="44"/>
          <w:sz w:val="28"/>
          <w:szCs w:val="28"/>
          <w:lang w:val="en-US" w:eastAsia="zh-CN"/>
        </w:rPr>
        <w:t>2.交货期</w:t>
      </w:r>
      <w:r>
        <w:rPr>
          <w:rFonts w:hint="eastAsia" w:ascii="仿宋_GB2312" w:hAnsi="仿宋_GB2312" w:eastAsia="仿宋_GB2312" w:cs="仿宋_GB2312"/>
          <w:bCs/>
          <w:color w:val="auto"/>
          <w:kern w:val="44"/>
          <w:sz w:val="28"/>
          <w:szCs w:val="28"/>
          <w:lang w:val="en-US" w:eastAsia="zh-CN"/>
        </w:rPr>
        <w:t>：合同签订后</w:t>
      </w:r>
      <w:r>
        <w:rPr>
          <w:rFonts w:hint="eastAsia" w:ascii="仿宋_GB2312" w:hAnsi="仿宋_GB2312" w:eastAsia="仿宋_GB2312" w:cs="仿宋_GB2312"/>
          <w:bCs/>
          <w:color w:val="auto"/>
          <w:kern w:val="44"/>
          <w:sz w:val="28"/>
          <w:szCs w:val="28"/>
          <w:highlight w:val="none"/>
          <w:lang w:val="en-US" w:eastAsia="zh-CN"/>
        </w:rPr>
        <w:t>30</w:t>
      </w:r>
      <w:r>
        <w:rPr>
          <w:rFonts w:hint="eastAsia" w:ascii="仿宋_GB2312" w:hAnsi="仿宋_GB2312" w:eastAsia="仿宋_GB2312" w:cs="仿宋_GB2312"/>
          <w:bCs/>
          <w:color w:val="auto"/>
          <w:kern w:val="44"/>
          <w:sz w:val="28"/>
          <w:szCs w:val="28"/>
          <w:lang w:val="en-US" w:eastAsia="zh-CN"/>
        </w:rPr>
        <w:t>天内完成交货、设备安装、调试、交付使用。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3.投标人须注明货物产地、品牌、型号规格等，保证所供货物是全新的、未使用过的，且全部货物没有设计、材料或工艺上的缺陷。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color w:val="auto"/>
          <w:kern w:val="44"/>
          <w:sz w:val="28"/>
          <w:szCs w:val="28"/>
          <w:lang w:val="en-US" w:eastAsia="zh-CN"/>
        </w:rPr>
      </w:pPr>
      <w:r>
        <w:rPr>
          <w:rFonts w:hint="eastAsia" w:ascii="仿宋_GB2312" w:hAnsi="仿宋_GB2312" w:eastAsia="仿宋_GB2312" w:cs="仿宋_GB2312"/>
          <w:b/>
          <w:bCs w:val="0"/>
          <w:color w:val="auto"/>
          <w:kern w:val="44"/>
          <w:sz w:val="28"/>
          <w:szCs w:val="28"/>
          <w:lang w:val="en-US" w:eastAsia="zh-CN"/>
        </w:rPr>
        <w:t>4．知识产权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（1）供应商应保证在本项目中使用的任何技术、产品和服务（包括部分使用），不会产生因第三方提出侵犯其专利权、商标权或</w:t>
      </w:r>
      <w:r>
        <w:rPr>
          <w:rFonts w:hint="eastAsia" w:ascii="仿宋_GB2312" w:hAnsi="仿宋_GB2312" w:eastAsia="仿宋_GB2312" w:cs="仿宋_GB2312"/>
          <w:bCs/>
          <w:color w:val="auto"/>
          <w:kern w:val="44"/>
          <w:sz w:val="28"/>
          <w:szCs w:val="28"/>
          <w:lang w:val="en-US" w:eastAsia="zh-CN"/>
        </w:rPr>
        <w:t>其他</w:t>
      </w:r>
      <w:r>
        <w:rPr>
          <w:rFonts w:hint="eastAsia" w:ascii="仿宋_GB2312" w:hAnsi="仿宋_GB2312" w:eastAsia="仿宋_GB2312" w:cs="仿宋_GB2312"/>
          <w:bCs/>
          <w:color w:val="auto"/>
          <w:kern w:val="44"/>
          <w:sz w:val="28"/>
          <w:szCs w:val="28"/>
          <w:lang w:val="en-US" w:eastAsia="zh-CN"/>
        </w:rPr>
        <w:t>知识产权而引起的法律和经济纠纷，如因专利权、商标权或</w:t>
      </w:r>
      <w:r>
        <w:rPr>
          <w:rFonts w:hint="eastAsia" w:ascii="仿宋_GB2312" w:hAnsi="仿宋_GB2312" w:eastAsia="仿宋_GB2312" w:cs="仿宋_GB2312"/>
          <w:bCs/>
          <w:color w:val="auto"/>
          <w:kern w:val="44"/>
          <w:sz w:val="28"/>
          <w:szCs w:val="28"/>
          <w:lang w:val="en-US" w:eastAsia="zh-CN"/>
        </w:rPr>
        <w:t>其他</w:t>
      </w:r>
      <w:r>
        <w:rPr>
          <w:rFonts w:hint="eastAsia" w:ascii="仿宋_GB2312" w:hAnsi="仿宋_GB2312" w:eastAsia="仿宋_GB2312" w:cs="仿宋_GB2312"/>
          <w:bCs/>
          <w:color w:val="auto"/>
          <w:kern w:val="44"/>
          <w:sz w:val="28"/>
          <w:szCs w:val="28"/>
          <w:lang w:val="en-US" w:eastAsia="zh-CN"/>
        </w:rPr>
        <w:t>知识产权而引起法律和经济纠纷，由供应商承担所有相关责任。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2）除非招标文件特别规定，采购人享有本项目实施过程中产生的知识成果及知识产权。供应商为实施本采购项目而提供的技术资料或者其他相关资料、软件（含系统升级）等物品货物的所有权随采购合同移交采购人所有，由采购人永久免费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bCs w:val="0"/>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（4）如采用供应商所不拥有的知识产权，则在报价中必须包括合法获取使用该知识产权的相关费用。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color w:val="auto"/>
          <w:kern w:val="44"/>
          <w:sz w:val="28"/>
          <w:szCs w:val="28"/>
          <w:lang w:val="en-US" w:eastAsia="zh-CN"/>
        </w:rPr>
      </w:pPr>
      <w:r>
        <w:rPr>
          <w:rFonts w:hint="eastAsia" w:ascii="仿宋_GB2312" w:hAnsi="仿宋_GB2312" w:eastAsia="仿宋_GB2312" w:cs="仿宋_GB2312"/>
          <w:b/>
          <w:bCs w:val="0"/>
          <w:color w:val="auto"/>
          <w:kern w:val="44"/>
          <w:sz w:val="28"/>
          <w:szCs w:val="28"/>
          <w:lang w:val="en-US" w:eastAsia="zh-CN"/>
        </w:rPr>
        <w:t>5.支付条款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（1）合同价按中标价签订。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2）履约保证金合同签订后5个工作日内中标人需向采购人缴纳中标金额5%的履约保证金。中标人完成合同及其附件约定的义务，在验收合格3个月后无质量问题并通过第三方测评（第三方测评费用由中标人承担），履约保证金给予无息全额退还，否则采购人不予退回履约保证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中标人违反合同及其附件约定的任何义务，采购人有权在履约保证金中直接扣除中标人应向采购人支付的违约金或损失赔偿额，如有不足的，中标人应对超过的部分予以赔偿：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①发生以下情形，经调查属实的，扣除20%履约保证金：供应货物品种、品牌、型号规格或质量等级与合同不符。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②发生以下情形，经调查属实的，扣除50%履约保证金：中标人的工作人员不遵守采购人管理规定，或造成社会不良影响。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③如在合同执行期间因成交供应商违约导致履约保证金部分扣除，成交供应商须在5个工作日内将扣除的履约保证金补齐。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Cs/>
          <w:color w:val="auto"/>
          <w:kern w:val="44"/>
          <w:sz w:val="28"/>
          <w:szCs w:val="28"/>
          <w:lang w:val="en-US" w:eastAsia="zh-CN"/>
        </w:rPr>
      </w:pPr>
      <w:r>
        <w:rPr>
          <w:rFonts w:hint="eastAsia" w:ascii="仿宋_GB2312" w:hAnsi="仿宋_GB2312" w:eastAsia="仿宋_GB2312" w:cs="仿宋_GB2312"/>
          <w:bCs/>
          <w:color w:val="auto"/>
          <w:kern w:val="44"/>
          <w:sz w:val="28"/>
          <w:szCs w:val="28"/>
          <w:lang w:val="en-US" w:eastAsia="zh-CN"/>
        </w:rPr>
        <w:t>（3）设备安装完成并验收通过后，中标人按中标金额100%付款比例向采购人交付发票及付款通知书，采购人在15个工作日内支付；在验收合格36个月后无质量问题中标方</w:t>
      </w:r>
      <w:r>
        <w:rPr>
          <w:rFonts w:hint="eastAsia" w:ascii="仿宋_GB2312" w:hAnsi="仿宋_GB2312" w:eastAsia="仿宋_GB2312" w:cs="仿宋_GB2312"/>
          <w:bCs/>
          <w:color w:val="auto"/>
          <w:kern w:val="44"/>
          <w:sz w:val="28"/>
          <w:szCs w:val="28"/>
          <w:lang w:val="en-US" w:eastAsia="zh-CN"/>
        </w:rPr>
        <w:t>进行</w:t>
      </w:r>
      <w:r>
        <w:rPr>
          <w:rFonts w:hint="eastAsia" w:ascii="仿宋_GB2312" w:hAnsi="仿宋_GB2312" w:eastAsia="仿宋_GB2312" w:cs="仿宋_GB2312"/>
          <w:bCs/>
          <w:color w:val="auto"/>
          <w:kern w:val="44"/>
          <w:sz w:val="28"/>
          <w:szCs w:val="28"/>
          <w:lang w:val="en-US" w:eastAsia="zh-CN"/>
        </w:rPr>
        <w:t>履约保证金支付申请，采购人在15个工作日内支付。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color w:val="auto"/>
          <w:kern w:val="44"/>
          <w:sz w:val="28"/>
          <w:szCs w:val="28"/>
          <w:lang w:val="en-US" w:eastAsia="zh-CN"/>
        </w:rPr>
      </w:pPr>
      <w:r>
        <w:rPr>
          <w:rFonts w:hint="eastAsia" w:ascii="仿宋_GB2312" w:hAnsi="仿宋_GB2312" w:eastAsia="仿宋_GB2312" w:cs="仿宋_GB2312"/>
          <w:b/>
          <w:bCs w:val="0"/>
          <w:color w:val="auto"/>
          <w:kern w:val="44"/>
          <w:sz w:val="28"/>
          <w:szCs w:val="28"/>
          <w:lang w:val="en-US" w:eastAsia="zh-CN"/>
        </w:rPr>
        <w:t>6.质量保修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auto"/>
          <w:kern w:val="44"/>
          <w:sz w:val="28"/>
          <w:szCs w:val="28"/>
          <w:lang w:val="en-US" w:eastAsia="zh-CN" w:bidi="ar-SA"/>
        </w:rPr>
      </w:pPr>
      <w:r>
        <w:rPr>
          <w:rFonts w:hint="eastAsia" w:ascii="仿宋_GB2312" w:hAnsi="仿宋_GB2312" w:eastAsia="仿宋_GB2312" w:cs="仿宋_GB2312"/>
          <w:b w:val="0"/>
          <w:bCs/>
          <w:color w:val="auto"/>
          <w:kern w:val="44"/>
          <w:sz w:val="28"/>
          <w:szCs w:val="28"/>
          <w:lang w:val="en-US" w:eastAsia="zh-CN" w:bidi="ar-SA"/>
        </w:rPr>
        <w:t>（1）更换设备的质量保证期（简称“质保期”）：自完成设备最终验收合格之日起计算，投标的货物质保期自验收合格之日起为 3 年（硬件设备质保3年，其他货物按照行业相关质保期限执行），保修期内若所购设备各部件发生非人为故障，供方免费上门更换同一品牌、同一质量或性能优于原配件的新配件；在硬件允许的条件下，保证软件终身免费升级，终身免费远程技术支持。因人为因素出现的故障和不属于保修范围的产品不在保修范围内。提供投标人与制造厂商售后服务承诺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auto"/>
          <w:kern w:val="44"/>
          <w:sz w:val="28"/>
          <w:szCs w:val="28"/>
          <w:lang w:val="en-US" w:eastAsia="zh-CN" w:bidi="ar-SA"/>
        </w:rPr>
      </w:pPr>
      <w:r>
        <w:rPr>
          <w:rFonts w:hint="eastAsia" w:ascii="仿宋_GB2312" w:hAnsi="仿宋_GB2312" w:eastAsia="仿宋_GB2312" w:cs="仿宋_GB2312"/>
          <w:b w:val="0"/>
          <w:bCs/>
          <w:color w:val="auto"/>
          <w:kern w:val="44"/>
          <w:sz w:val="28"/>
          <w:szCs w:val="28"/>
          <w:lang w:val="en-US" w:eastAsia="zh-CN" w:bidi="ar-SA"/>
        </w:rPr>
        <w:t>（2）质保期内供应商对所供货物实行包修、包换、包退、包维护保养。质量保修期内，如果证实货物是有缺陷的，包括潜在的缺陷或者使用不符合要求的材料等，供应商应立即免费维修或者更换有缺陷的货物或者部件，保证达到合同规定的技术以及性能要求。如果供应商在收到通知后48小时内没有弥补缺陷，采购人可自行采取必要的补救措施，但风险和费用由供应商承担，采购人同时保留通过法律途径进行索赔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auto"/>
          <w:kern w:val="44"/>
          <w:sz w:val="28"/>
          <w:szCs w:val="28"/>
          <w:lang w:val="en-US" w:eastAsia="zh-CN" w:bidi="ar-SA"/>
        </w:rPr>
      </w:pPr>
      <w:r>
        <w:rPr>
          <w:rFonts w:hint="eastAsia" w:ascii="仿宋_GB2312" w:hAnsi="仿宋_GB2312" w:eastAsia="仿宋_GB2312" w:cs="仿宋_GB2312"/>
          <w:b w:val="0"/>
          <w:bCs/>
          <w:color w:val="auto"/>
          <w:kern w:val="44"/>
          <w:sz w:val="28"/>
          <w:szCs w:val="28"/>
          <w:lang w:val="en-US" w:eastAsia="zh-CN" w:bidi="ar-SA"/>
        </w:rPr>
        <w:t>（3）质保期内，如设备或零部件因非人为因素出现故障而造成短期停用时，则质保期和免费维修期相应顺延。如停用时间累计超过60天则质保期重新计算。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color w:val="auto"/>
          <w:kern w:val="44"/>
          <w:sz w:val="28"/>
          <w:szCs w:val="28"/>
          <w:lang w:val="en-US" w:eastAsia="zh-CN" w:bidi="ar-SA"/>
        </w:rPr>
      </w:pPr>
      <w:r>
        <w:rPr>
          <w:rFonts w:hint="eastAsia" w:ascii="仿宋_GB2312" w:hAnsi="仿宋_GB2312" w:eastAsia="仿宋_GB2312" w:cs="仿宋_GB2312"/>
          <w:b/>
          <w:bCs w:val="0"/>
          <w:color w:val="auto"/>
          <w:kern w:val="44"/>
          <w:sz w:val="28"/>
          <w:szCs w:val="28"/>
          <w:lang w:val="en-US" w:eastAsia="zh-CN" w:bidi="ar-SA"/>
        </w:rPr>
        <w:t>7.包装和运输方式要求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auto"/>
          <w:kern w:val="44"/>
          <w:sz w:val="28"/>
          <w:szCs w:val="28"/>
          <w:lang w:val="en-US" w:eastAsia="zh-CN" w:bidi="ar-SA"/>
        </w:rPr>
      </w:pPr>
      <w:r>
        <w:rPr>
          <w:rFonts w:hint="eastAsia" w:ascii="仿宋_GB2312" w:hAnsi="仿宋_GB2312" w:eastAsia="仿宋_GB2312" w:cs="仿宋_GB2312"/>
          <w:b w:val="0"/>
          <w:bCs/>
          <w:color w:val="auto"/>
          <w:kern w:val="44"/>
          <w:sz w:val="28"/>
          <w:szCs w:val="28"/>
          <w:lang w:val="en-US" w:eastAsia="zh-CN" w:bidi="ar-SA"/>
        </w:rPr>
        <w:t>（1）供应商交付的全部货物，均应采用本行业通用的方式进行包装，没有通用方式的，应当采取足以保护货物的包装方式，且该包装应符合国家有关包装的</w:t>
      </w:r>
      <w:r>
        <w:rPr>
          <w:rFonts w:hint="eastAsia" w:ascii="仿宋_GB2312" w:hAnsi="仿宋_GB2312" w:eastAsia="仿宋_GB2312" w:cs="仿宋_GB2312"/>
          <w:b w:val="0"/>
          <w:bCs/>
          <w:color w:val="auto"/>
          <w:kern w:val="44"/>
          <w:sz w:val="28"/>
          <w:szCs w:val="28"/>
          <w:lang w:val="en-US" w:eastAsia="zh-CN" w:bidi="ar-SA"/>
        </w:rPr>
        <w:t>法律法规</w:t>
      </w:r>
      <w:r>
        <w:rPr>
          <w:rFonts w:hint="eastAsia" w:ascii="仿宋_GB2312" w:hAnsi="仿宋_GB2312" w:eastAsia="仿宋_GB2312" w:cs="仿宋_GB2312"/>
          <w:b w:val="0"/>
          <w:bCs/>
          <w:color w:val="auto"/>
          <w:kern w:val="44"/>
          <w:sz w:val="28"/>
          <w:szCs w:val="28"/>
          <w:lang w:val="en-US" w:eastAsia="zh-CN" w:bidi="ar-SA"/>
        </w:rPr>
        <w:t>的规定。如有必要，包装应适用于远距离运输、防潮、防震、防锈和防粗暴装卸，确保货物安全无损地运抵现场。由于包装不善所引起的货物锈蚀、损坏和损失等一切风险均由供应商承担。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auto"/>
          <w:kern w:val="44"/>
          <w:sz w:val="28"/>
          <w:szCs w:val="28"/>
          <w:lang w:val="en-US" w:eastAsia="zh-CN" w:bidi="ar-SA"/>
        </w:rPr>
      </w:pPr>
      <w:r>
        <w:rPr>
          <w:rFonts w:hint="eastAsia" w:ascii="仿宋_GB2312" w:hAnsi="仿宋_GB2312" w:eastAsia="仿宋_GB2312" w:cs="仿宋_GB2312"/>
          <w:b w:val="0"/>
          <w:bCs/>
          <w:color w:val="auto"/>
          <w:kern w:val="44"/>
          <w:sz w:val="28"/>
          <w:szCs w:val="28"/>
          <w:lang w:val="en-US" w:eastAsia="zh-CN" w:bidi="ar-SA"/>
        </w:rPr>
        <w:t>（2）供应商提供产品及相关快递服务的具体包装要求应符合《商品包装政府采购需求标准（试行）》《快递包装政府采购需求标准（试行）》，并作为履约验收的内容，必要时甲方可以要求乙方在履约验收环节出具检测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color w:val="auto"/>
          <w:kern w:val="44"/>
          <w:sz w:val="28"/>
          <w:szCs w:val="28"/>
          <w:lang w:val="en-US" w:eastAsia="zh-CN" w:bidi="ar-SA"/>
        </w:rPr>
      </w:pPr>
      <w:r>
        <w:rPr>
          <w:rFonts w:hint="eastAsia" w:ascii="仿宋_GB2312" w:hAnsi="仿宋_GB2312" w:eastAsia="仿宋_GB2312" w:cs="仿宋_GB2312"/>
          <w:b/>
          <w:bCs w:val="0"/>
          <w:color w:val="auto"/>
          <w:kern w:val="44"/>
          <w:sz w:val="28"/>
          <w:szCs w:val="28"/>
          <w:lang w:val="en-US" w:eastAsia="zh-CN" w:bidi="ar-SA"/>
        </w:rPr>
        <w:t>8.供应商售后服务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color w:val="auto"/>
          <w:kern w:val="44"/>
          <w:sz w:val="28"/>
          <w:szCs w:val="28"/>
          <w:lang w:val="en-US" w:eastAsia="zh-CN" w:bidi="ar-SA"/>
        </w:rPr>
      </w:pPr>
      <w:r>
        <w:rPr>
          <w:rFonts w:hint="eastAsia" w:ascii="仿宋_GB2312" w:hAnsi="仿宋_GB2312" w:eastAsia="仿宋_GB2312" w:cs="仿宋_GB2312"/>
          <w:b w:val="0"/>
          <w:bCs/>
          <w:color w:val="auto"/>
          <w:kern w:val="44"/>
          <w:sz w:val="28"/>
          <w:szCs w:val="28"/>
          <w:lang w:val="en-US" w:eastAsia="zh-CN" w:bidi="ar-SA"/>
        </w:rPr>
        <w:t>8</w:t>
      </w:r>
      <w:r>
        <w:rPr>
          <w:rFonts w:hint="default" w:ascii="仿宋_GB2312" w:hAnsi="仿宋_GB2312" w:eastAsia="仿宋_GB2312" w:cs="仿宋_GB2312"/>
          <w:b w:val="0"/>
          <w:bCs/>
          <w:color w:val="auto"/>
          <w:kern w:val="44"/>
          <w:sz w:val="28"/>
          <w:szCs w:val="28"/>
          <w:lang w:val="en-US" w:eastAsia="zh-CN" w:bidi="ar-SA"/>
        </w:rPr>
        <w:t>.1售后服务要求：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color w:val="auto"/>
          <w:kern w:val="44"/>
          <w:sz w:val="28"/>
          <w:szCs w:val="28"/>
          <w:lang w:val="en-US" w:eastAsia="zh-CN" w:bidi="ar-SA"/>
        </w:rPr>
      </w:pPr>
      <w:r>
        <w:rPr>
          <w:rFonts w:hint="default" w:ascii="仿宋_GB2312" w:hAnsi="仿宋_GB2312" w:eastAsia="仿宋_GB2312" w:cs="仿宋_GB2312"/>
          <w:b w:val="0"/>
          <w:bCs/>
          <w:color w:val="auto"/>
          <w:kern w:val="44"/>
          <w:sz w:val="28"/>
          <w:szCs w:val="28"/>
          <w:lang w:val="en-US" w:eastAsia="zh-CN" w:bidi="ar-SA"/>
        </w:rPr>
        <w:t>（1）供应商有完善的服务体系，有能力提供持续的、本地化售后服务；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color w:val="auto"/>
          <w:kern w:val="44"/>
          <w:sz w:val="28"/>
          <w:szCs w:val="28"/>
          <w:lang w:val="en-US" w:eastAsia="zh-CN" w:bidi="ar-SA"/>
        </w:rPr>
      </w:pPr>
      <w:r>
        <w:rPr>
          <w:rFonts w:hint="default" w:ascii="仿宋_GB2312" w:hAnsi="仿宋_GB2312" w:eastAsia="仿宋_GB2312" w:cs="仿宋_GB2312"/>
          <w:b w:val="0"/>
          <w:bCs/>
          <w:color w:val="auto"/>
          <w:kern w:val="44"/>
          <w:sz w:val="28"/>
          <w:szCs w:val="28"/>
          <w:lang w:val="en-US" w:eastAsia="zh-CN" w:bidi="ar-SA"/>
        </w:rPr>
        <w:t>（2）供应商需提供及时周到的售后服务，应保证提供必要的上门回访、检修服务；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color w:val="auto"/>
          <w:kern w:val="44"/>
          <w:sz w:val="28"/>
          <w:szCs w:val="28"/>
          <w:lang w:val="en-US" w:eastAsia="zh-CN" w:bidi="ar-SA"/>
        </w:rPr>
      </w:pPr>
      <w:r>
        <w:rPr>
          <w:rFonts w:hint="default" w:ascii="仿宋_GB2312" w:hAnsi="仿宋_GB2312" w:eastAsia="仿宋_GB2312" w:cs="仿宋_GB2312"/>
          <w:b w:val="0"/>
          <w:bCs/>
          <w:color w:val="auto"/>
          <w:kern w:val="44"/>
          <w:sz w:val="28"/>
          <w:szCs w:val="28"/>
          <w:lang w:val="en-US" w:eastAsia="zh-CN" w:bidi="ar-SA"/>
        </w:rPr>
        <w:t>（3）供应商负责系统安装和调试以及操作人员培训，并制定详细的培训计划，使操作人员能独立进行管理、操作、维护和故障处理等工作，做好相关记录及技术文档收集整理，待验收合格后移交给采购人；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color w:val="auto"/>
          <w:kern w:val="44"/>
          <w:sz w:val="28"/>
          <w:szCs w:val="28"/>
          <w:lang w:val="en-US" w:eastAsia="zh-CN" w:bidi="ar-SA"/>
        </w:rPr>
      </w:pPr>
      <w:r>
        <w:rPr>
          <w:rFonts w:hint="default" w:ascii="仿宋_GB2312" w:hAnsi="仿宋_GB2312" w:eastAsia="仿宋_GB2312" w:cs="仿宋_GB2312"/>
          <w:b w:val="0"/>
          <w:bCs/>
          <w:color w:val="auto"/>
          <w:kern w:val="44"/>
          <w:sz w:val="28"/>
          <w:szCs w:val="28"/>
          <w:lang w:val="en-US" w:eastAsia="zh-CN" w:bidi="ar-SA"/>
        </w:rPr>
        <w:t>（4）供货及服务范围：供应商负责货物的供应、运输、安装调试、免费培训、售后服务。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color w:val="auto"/>
          <w:kern w:val="44"/>
          <w:sz w:val="28"/>
          <w:szCs w:val="28"/>
          <w:lang w:val="en-US" w:eastAsia="zh-CN" w:bidi="ar-SA"/>
        </w:rPr>
      </w:pPr>
      <w:r>
        <w:rPr>
          <w:rFonts w:hint="default" w:ascii="仿宋_GB2312" w:hAnsi="仿宋_GB2312" w:eastAsia="仿宋_GB2312" w:cs="仿宋_GB2312"/>
          <w:b w:val="0"/>
          <w:bCs/>
          <w:color w:val="auto"/>
          <w:kern w:val="44"/>
          <w:sz w:val="28"/>
          <w:szCs w:val="28"/>
          <w:lang w:val="en-US" w:eastAsia="zh-CN" w:bidi="ar-SA"/>
        </w:rPr>
        <w:t>（5）授权售后维修机构的通讯录（售后机构名称、地址、联系人、电话等）。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color w:val="auto"/>
          <w:kern w:val="44"/>
          <w:sz w:val="28"/>
          <w:szCs w:val="28"/>
          <w:lang w:val="en-US" w:eastAsia="zh-CN" w:bidi="ar-SA"/>
        </w:rPr>
      </w:pPr>
      <w:r>
        <w:rPr>
          <w:rFonts w:hint="eastAsia" w:ascii="仿宋_GB2312" w:hAnsi="仿宋_GB2312" w:eastAsia="仿宋_GB2312" w:cs="仿宋_GB2312"/>
          <w:b w:val="0"/>
          <w:bCs/>
          <w:color w:val="auto"/>
          <w:kern w:val="44"/>
          <w:sz w:val="28"/>
          <w:szCs w:val="28"/>
          <w:lang w:val="en-US" w:eastAsia="zh-CN" w:bidi="ar-SA"/>
        </w:rPr>
        <w:t>8</w:t>
      </w:r>
      <w:r>
        <w:rPr>
          <w:rFonts w:hint="default" w:ascii="仿宋_GB2312" w:hAnsi="仿宋_GB2312" w:eastAsia="仿宋_GB2312" w:cs="仿宋_GB2312"/>
          <w:b w:val="0"/>
          <w:bCs/>
          <w:color w:val="auto"/>
          <w:kern w:val="44"/>
          <w:sz w:val="28"/>
          <w:szCs w:val="28"/>
          <w:lang w:val="en-US" w:eastAsia="zh-CN" w:bidi="ar-SA"/>
        </w:rPr>
        <w:t>.2质保期外：提供质保期外产品主要零部件、备品备件、易损件及消耗品报价表，其中投标产品的维修服务标准须等同于保修期内的标准（包括原厂保修服务）。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color w:val="auto"/>
          <w:kern w:val="44"/>
          <w:sz w:val="28"/>
          <w:szCs w:val="28"/>
          <w:lang w:val="en-US" w:eastAsia="zh-CN" w:bidi="ar-SA"/>
        </w:rPr>
      </w:pPr>
      <w:r>
        <w:rPr>
          <w:rFonts w:hint="eastAsia" w:ascii="仿宋_GB2312" w:hAnsi="仿宋_GB2312" w:eastAsia="仿宋_GB2312" w:cs="仿宋_GB2312"/>
          <w:b w:val="0"/>
          <w:bCs/>
          <w:color w:val="auto"/>
          <w:kern w:val="44"/>
          <w:sz w:val="28"/>
          <w:szCs w:val="28"/>
          <w:lang w:val="en-US" w:eastAsia="zh-CN" w:bidi="ar-SA"/>
        </w:rPr>
        <w:t>8</w:t>
      </w:r>
      <w:r>
        <w:rPr>
          <w:rFonts w:hint="default" w:ascii="仿宋_GB2312" w:hAnsi="仿宋_GB2312" w:eastAsia="仿宋_GB2312" w:cs="仿宋_GB2312"/>
          <w:b w:val="0"/>
          <w:bCs/>
          <w:color w:val="auto"/>
          <w:kern w:val="44"/>
          <w:sz w:val="28"/>
          <w:szCs w:val="28"/>
          <w:lang w:val="en-US" w:eastAsia="zh-CN" w:bidi="ar-SA"/>
        </w:rPr>
        <w:t>.3服务监督：出现故障后的处理办法、应急预案。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color w:val="auto"/>
          <w:kern w:val="44"/>
          <w:sz w:val="28"/>
          <w:szCs w:val="28"/>
          <w:lang w:val="en-US" w:eastAsia="zh-CN" w:bidi="ar-SA"/>
        </w:rPr>
      </w:pPr>
      <w:r>
        <w:rPr>
          <w:rFonts w:hint="eastAsia" w:ascii="仿宋_GB2312" w:hAnsi="仿宋_GB2312" w:eastAsia="仿宋_GB2312" w:cs="仿宋_GB2312"/>
          <w:b w:val="0"/>
          <w:bCs/>
          <w:color w:val="auto"/>
          <w:kern w:val="44"/>
          <w:sz w:val="28"/>
          <w:szCs w:val="28"/>
          <w:lang w:val="en-US" w:eastAsia="zh-CN" w:bidi="ar-SA"/>
        </w:rPr>
        <w:t>8</w:t>
      </w:r>
      <w:r>
        <w:rPr>
          <w:rFonts w:hint="default" w:ascii="仿宋_GB2312" w:hAnsi="仿宋_GB2312" w:eastAsia="仿宋_GB2312" w:cs="仿宋_GB2312"/>
          <w:b w:val="0"/>
          <w:bCs/>
          <w:color w:val="auto"/>
          <w:kern w:val="44"/>
          <w:sz w:val="28"/>
          <w:szCs w:val="28"/>
          <w:lang w:val="en-US" w:eastAsia="zh-CN" w:bidi="ar-SA"/>
        </w:rPr>
        <w:t>.4培训要求：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color w:val="auto"/>
          <w:kern w:val="44"/>
          <w:sz w:val="28"/>
          <w:szCs w:val="28"/>
          <w:lang w:val="en-US" w:eastAsia="zh-CN" w:bidi="ar-SA"/>
        </w:rPr>
      </w:pPr>
      <w:r>
        <w:rPr>
          <w:rFonts w:hint="default" w:ascii="仿宋_GB2312" w:hAnsi="仿宋_GB2312" w:eastAsia="仿宋_GB2312" w:cs="仿宋_GB2312"/>
          <w:b w:val="0"/>
          <w:bCs/>
          <w:color w:val="auto"/>
          <w:kern w:val="44"/>
          <w:sz w:val="28"/>
          <w:szCs w:val="28"/>
          <w:lang w:val="en-US" w:eastAsia="zh-CN" w:bidi="ar-SA"/>
        </w:rPr>
        <w:t>（1）供应商免费为采购人提供中文操作手册并培训操作人员，其中包括讲解产品的结构以及原理、产品的使用以及维护保养，直至操作人员能够</w:t>
      </w:r>
      <w:r>
        <w:rPr>
          <w:rFonts w:hint="eastAsia" w:ascii="仿宋_GB2312" w:hAnsi="仿宋_GB2312" w:eastAsia="仿宋_GB2312" w:cs="仿宋_GB2312"/>
          <w:b w:val="0"/>
          <w:bCs/>
          <w:color w:val="auto"/>
          <w:kern w:val="44"/>
          <w:sz w:val="28"/>
          <w:szCs w:val="28"/>
          <w:lang w:val="en-US" w:eastAsia="zh-CN" w:bidi="ar-SA"/>
        </w:rPr>
        <w:t>独立地</w:t>
      </w:r>
      <w:r>
        <w:rPr>
          <w:rFonts w:hint="default" w:ascii="仿宋_GB2312" w:hAnsi="仿宋_GB2312" w:eastAsia="仿宋_GB2312" w:cs="仿宋_GB2312"/>
          <w:b w:val="0"/>
          <w:bCs/>
          <w:color w:val="auto"/>
          <w:kern w:val="44"/>
          <w:sz w:val="28"/>
          <w:szCs w:val="28"/>
          <w:lang w:val="en-US" w:eastAsia="zh-CN" w:bidi="ar-SA"/>
        </w:rPr>
        <w:t>操作使用。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color w:val="auto"/>
          <w:kern w:val="44"/>
          <w:sz w:val="28"/>
          <w:szCs w:val="28"/>
          <w:lang w:val="en-US" w:eastAsia="zh-CN" w:bidi="ar-SA"/>
        </w:rPr>
      </w:pPr>
      <w:r>
        <w:rPr>
          <w:rFonts w:hint="default" w:ascii="仿宋_GB2312" w:hAnsi="仿宋_GB2312" w:eastAsia="仿宋_GB2312" w:cs="仿宋_GB2312"/>
          <w:b w:val="0"/>
          <w:bCs/>
          <w:color w:val="auto"/>
          <w:kern w:val="44"/>
          <w:sz w:val="28"/>
          <w:szCs w:val="28"/>
          <w:lang w:val="en-US" w:eastAsia="zh-CN" w:bidi="ar-SA"/>
        </w:rPr>
        <w:t>（2）对设备的流程操作、规范使用、日常维护等进行现场全员培训及技术应用培训，使参加培训的 80% 人员能熟悉操作流程，规范使用，并能对设备进行日常维护。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color w:val="auto"/>
          <w:kern w:val="44"/>
          <w:sz w:val="28"/>
          <w:szCs w:val="28"/>
          <w:lang w:val="en-US" w:eastAsia="zh-CN" w:bidi="ar-SA"/>
        </w:rPr>
      </w:pPr>
      <w:r>
        <w:rPr>
          <w:rFonts w:hint="eastAsia" w:ascii="仿宋_GB2312" w:hAnsi="仿宋_GB2312" w:eastAsia="仿宋_GB2312" w:cs="仿宋_GB2312"/>
          <w:b w:val="0"/>
          <w:bCs/>
          <w:color w:val="auto"/>
          <w:kern w:val="44"/>
          <w:sz w:val="28"/>
          <w:szCs w:val="28"/>
          <w:lang w:val="en-US" w:eastAsia="zh-CN" w:bidi="ar-SA"/>
        </w:rPr>
        <w:t>8</w:t>
      </w:r>
      <w:r>
        <w:rPr>
          <w:rFonts w:hint="default" w:ascii="仿宋_GB2312" w:hAnsi="仿宋_GB2312" w:eastAsia="仿宋_GB2312" w:cs="仿宋_GB2312"/>
          <w:b w:val="0"/>
          <w:bCs/>
          <w:color w:val="auto"/>
          <w:kern w:val="44"/>
          <w:sz w:val="28"/>
          <w:szCs w:val="28"/>
          <w:lang w:val="en-US" w:eastAsia="zh-CN" w:bidi="ar-SA"/>
        </w:rPr>
        <w:t>.5售后响应：电话、书面</w:t>
      </w:r>
      <w:r>
        <w:rPr>
          <w:rFonts w:hint="eastAsia" w:ascii="仿宋_GB2312" w:hAnsi="仿宋_GB2312" w:eastAsia="仿宋_GB2312" w:cs="仿宋_GB2312"/>
          <w:b w:val="0"/>
          <w:bCs/>
          <w:color w:val="auto"/>
          <w:kern w:val="44"/>
          <w:sz w:val="28"/>
          <w:szCs w:val="28"/>
          <w:lang w:val="en-US" w:eastAsia="zh-CN" w:bidi="ar-SA"/>
        </w:rPr>
        <w:t>或</w:t>
      </w:r>
      <w:r>
        <w:rPr>
          <w:rFonts w:hint="default" w:ascii="仿宋_GB2312" w:hAnsi="仿宋_GB2312" w:eastAsia="仿宋_GB2312" w:cs="仿宋_GB2312"/>
          <w:b w:val="0"/>
          <w:bCs/>
          <w:color w:val="auto"/>
          <w:kern w:val="44"/>
          <w:sz w:val="28"/>
          <w:szCs w:val="28"/>
          <w:lang w:val="en-US" w:eastAsia="zh-CN" w:bidi="ar-SA"/>
        </w:rPr>
        <w:t>网络等形式收到采购人维护消息后中标供应商须在</w:t>
      </w:r>
      <w:r>
        <w:rPr>
          <w:rFonts w:hint="eastAsia" w:ascii="仿宋_GB2312" w:hAnsi="仿宋_GB2312" w:eastAsia="仿宋_GB2312" w:cs="仿宋_GB2312"/>
          <w:b w:val="0"/>
          <w:bCs/>
          <w:color w:val="auto"/>
          <w:kern w:val="44"/>
          <w:sz w:val="28"/>
          <w:szCs w:val="28"/>
          <w:lang w:val="en-US" w:eastAsia="zh-CN" w:bidi="ar-SA"/>
        </w:rPr>
        <w:t>4</w:t>
      </w:r>
      <w:r>
        <w:rPr>
          <w:rFonts w:hint="default" w:ascii="仿宋_GB2312" w:hAnsi="仿宋_GB2312" w:eastAsia="仿宋_GB2312" w:cs="仿宋_GB2312"/>
          <w:b w:val="0"/>
          <w:bCs/>
          <w:color w:val="auto"/>
          <w:kern w:val="44"/>
          <w:sz w:val="28"/>
          <w:szCs w:val="28"/>
          <w:lang w:val="en-US" w:eastAsia="zh-CN" w:bidi="ar-SA"/>
        </w:rPr>
        <w:t>小时内</w:t>
      </w:r>
      <w:r>
        <w:rPr>
          <w:rFonts w:hint="eastAsia" w:ascii="仿宋_GB2312" w:hAnsi="仿宋_GB2312" w:eastAsia="仿宋_GB2312" w:cs="仿宋_GB2312"/>
          <w:b w:val="0"/>
          <w:bCs/>
          <w:color w:val="auto"/>
          <w:kern w:val="44"/>
          <w:sz w:val="28"/>
          <w:szCs w:val="28"/>
          <w:lang w:val="en-US" w:eastAsia="zh-CN" w:bidi="ar-SA"/>
        </w:rPr>
        <w:t>作出</w:t>
      </w:r>
      <w:r>
        <w:rPr>
          <w:rFonts w:hint="default" w:ascii="仿宋_GB2312" w:hAnsi="仿宋_GB2312" w:eastAsia="仿宋_GB2312" w:cs="仿宋_GB2312"/>
          <w:b w:val="0"/>
          <w:bCs/>
          <w:color w:val="auto"/>
          <w:kern w:val="44"/>
          <w:sz w:val="28"/>
          <w:szCs w:val="28"/>
          <w:lang w:val="en-US" w:eastAsia="zh-CN" w:bidi="ar-SA"/>
        </w:rPr>
        <w:t>实质性响应和安排，</w:t>
      </w:r>
      <w:r>
        <w:rPr>
          <w:rFonts w:hint="eastAsia" w:ascii="仿宋_GB2312" w:hAnsi="仿宋_GB2312" w:eastAsia="仿宋_GB2312" w:cs="仿宋_GB2312"/>
          <w:b w:val="0"/>
          <w:bCs/>
          <w:color w:val="auto"/>
          <w:kern w:val="44"/>
          <w:sz w:val="28"/>
          <w:szCs w:val="28"/>
          <w:lang w:val="en-US" w:eastAsia="zh-CN" w:bidi="ar-SA"/>
        </w:rPr>
        <w:t>若电话中无法解决，</w:t>
      </w:r>
      <w:r>
        <w:rPr>
          <w:rFonts w:hint="default" w:ascii="仿宋_GB2312" w:hAnsi="仿宋_GB2312" w:eastAsia="仿宋_GB2312" w:cs="仿宋_GB2312"/>
          <w:b w:val="0"/>
          <w:bCs/>
          <w:color w:val="auto"/>
          <w:kern w:val="44"/>
          <w:sz w:val="28"/>
          <w:szCs w:val="28"/>
          <w:lang w:val="en-US" w:eastAsia="zh-CN" w:bidi="ar-SA"/>
        </w:rPr>
        <w:t>在</w:t>
      </w:r>
      <w:r>
        <w:rPr>
          <w:rFonts w:hint="eastAsia" w:ascii="仿宋_GB2312" w:hAnsi="仿宋_GB2312" w:eastAsia="仿宋_GB2312" w:cs="仿宋_GB2312"/>
          <w:b w:val="0"/>
          <w:bCs/>
          <w:color w:val="auto"/>
          <w:kern w:val="44"/>
          <w:sz w:val="28"/>
          <w:szCs w:val="28"/>
          <w:lang w:val="en-US" w:eastAsia="zh-CN" w:bidi="ar-SA"/>
        </w:rPr>
        <w:t>24</w:t>
      </w:r>
      <w:r>
        <w:rPr>
          <w:rFonts w:hint="default" w:ascii="仿宋_GB2312" w:hAnsi="仿宋_GB2312" w:eastAsia="仿宋_GB2312" w:cs="仿宋_GB2312"/>
          <w:b w:val="0"/>
          <w:bCs/>
          <w:color w:val="auto"/>
          <w:kern w:val="44"/>
          <w:sz w:val="28"/>
          <w:szCs w:val="28"/>
          <w:lang w:val="en-US" w:eastAsia="zh-CN" w:bidi="ar-SA"/>
        </w:rPr>
        <w:t>小时内上门，48小时内完成维护，不能在规定时间内修好的要免费提供备品（机）备件。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color w:val="auto"/>
          <w:kern w:val="44"/>
          <w:sz w:val="28"/>
          <w:szCs w:val="28"/>
          <w:lang w:val="en-US" w:eastAsia="zh-CN" w:bidi="ar-SA"/>
        </w:rPr>
      </w:pPr>
      <w:r>
        <w:rPr>
          <w:rFonts w:hint="eastAsia" w:ascii="仿宋_GB2312" w:hAnsi="仿宋_GB2312" w:eastAsia="仿宋_GB2312" w:cs="仿宋_GB2312"/>
          <w:b w:val="0"/>
          <w:bCs/>
          <w:color w:val="auto"/>
          <w:kern w:val="44"/>
          <w:sz w:val="28"/>
          <w:szCs w:val="28"/>
          <w:lang w:val="en-US" w:eastAsia="zh-CN" w:bidi="ar-SA"/>
        </w:rPr>
        <w:t>8</w:t>
      </w:r>
      <w:r>
        <w:rPr>
          <w:rFonts w:hint="default" w:ascii="仿宋_GB2312" w:hAnsi="仿宋_GB2312" w:eastAsia="仿宋_GB2312" w:cs="仿宋_GB2312"/>
          <w:b w:val="0"/>
          <w:bCs/>
          <w:color w:val="auto"/>
          <w:kern w:val="44"/>
          <w:sz w:val="28"/>
          <w:szCs w:val="28"/>
          <w:lang w:val="en-US" w:eastAsia="zh-CN" w:bidi="ar-SA"/>
        </w:rPr>
        <w:t>.6巡检计划：每</w:t>
      </w:r>
      <w:r>
        <w:rPr>
          <w:rFonts w:hint="eastAsia" w:ascii="仿宋_GB2312" w:hAnsi="仿宋_GB2312" w:eastAsia="仿宋_GB2312" w:cs="仿宋_GB2312"/>
          <w:b w:val="0"/>
          <w:bCs/>
          <w:color w:val="auto"/>
          <w:kern w:val="44"/>
          <w:sz w:val="28"/>
          <w:szCs w:val="28"/>
          <w:lang w:val="en-US" w:eastAsia="zh-CN" w:bidi="ar-SA"/>
        </w:rPr>
        <w:t>半年</w:t>
      </w:r>
      <w:r>
        <w:rPr>
          <w:rFonts w:hint="default" w:ascii="仿宋_GB2312" w:hAnsi="仿宋_GB2312" w:eastAsia="仿宋_GB2312" w:cs="仿宋_GB2312"/>
          <w:b w:val="0"/>
          <w:bCs/>
          <w:color w:val="auto"/>
          <w:kern w:val="44"/>
          <w:sz w:val="28"/>
          <w:szCs w:val="28"/>
          <w:lang w:val="en-US" w:eastAsia="zh-CN" w:bidi="ar-SA"/>
        </w:rPr>
        <w:t>提供上门预防性维护检查并出具一份</w:t>
      </w:r>
      <w:r>
        <w:rPr>
          <w:rFonts w:hint="eastAsia" w:ascii="仿宋_GB2312" w:hAnsi="仿宋_GB2312" w:eastAsia="仿宋_GB2312" w:cs="仿宋_GB2312"/>
          <w:b w:val="0"/>
          <w:bCs/>
          <w:color w:val="auto"/>
          <w:kern w:val="44"/>
          <w:sz w:val="28"/>
          <w:szCs w:val="28"/>
          <w:lang w:val="en-US" w:eastAsia="zh-CN" w:bidi="ar-SA"/>
        </w:rPr>
        <w:t>半年</w:t>
      </w:r>
      <w:r>
        <w:rPr>
          <w:rFonts w:hint="default" w:ascii="仿宋_GB2312" w:hAnsi="仿宋_GB2312" w:eastAsia="仿宋_GB2312" w:cs="仿宋_GB2312"/>
          <w:b w:val="0"/>
          <w:bCs/>
          <w:color w:val="auto"/>
          <w:kern w:val="44"/>
          <w:sz w:val="28"/>
          <w:szCs w:val="28"/>
          <w:lang w:val="en-US" w:eastAsia="zh-CN" w:bidi="ar-SA"/>
        </w:rPr>
        <w:t>报告，每年提供1次深度、全面的维保服务（投标人须提供承诺函及预防性维护检查季度报告模板并加盖投标人公章）。主要巡检内容：①检查电源及温湿度控制、报警记录；②检查各部件工作状态；③检查本地/远程控制能否正确操作；④检查冷凝水排水及必要维护；⑤清洁空气过滤器，必要时予以更换；⑥必要时更换过滤网，每年至少一次；⑦清洗空调外机，每年至少一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color w:val="auto"/>
          <w:kern w:val="44"/>
          <w:sz w:val="28"/>
          <w:szCs w:val="28"/>
          <w:lang w:val="en-US" w:eastAsia="zh-CN" w:bidi="ar-SA"/>
        </w:rPr>
      </w:pPr>
      <w:r>
        <w:rPr>
          <w:rFonts w:hint="eastAsia" w:ascii="仿宋_GB2312" w:hAnsi="仿宋_GB2312" w:eastAsia="仿宋_GB2312" w:cs="仿宋_GB2312"/>
          <w:b w:val="0"/>
          <w:bCs/>
          <w:color w:val="auto"/>
          <w:kern w:val="44"/>
          <w:sz w:val="28"/>
          <w:szCs w:val="28"/>
          <w:lang w:val="en-US" w:eastAsia="zh-CN" w:bidi="ar-SA"/>
        </w:rPr>
        <w:t>8</w:t>
      </w:r>
      <w:r>
        <w:rPr>
          <w:rFonts w:hint="default" w:ascii="仿宋_GB2312" w:hAnsi="仿宋_GB2312" w:eastAsia="仿宋_GB2312" w:cs="仿宋_GB2312"/>
          <w:b w:val="0"/>
          <w:bCs/>
          <w:color w:val="auto"/>
          <w:kern w:val="44"/>
          <w:sz w:val="28"/>
          <w:szCs w:val="28"/>
          <w:lang w:val="en-US" w:eastAsia="zh-CN" w:bidi="ar-SA"/>
        </w:rPr>
        <w:t>.</w:t>
      </w:r>
      <w:r>
        <w:rPr>
          <w:rFonts w:hint="eastAsia" w:ascii="仿宋_GB2312" w:hAnsi="仿宋_GB2312" w:eastAsia="仿宋_GB2312" w:cs="仿宋_GB2312"/>
          <w:b w:val="0"/>
          <w:bCs/>
          <w:color w:val="auto"/>
          <w:kern w:val="44"/>
          <w:sz w:val="28"/>
          <w:szCs w:val="28"/>
          <w:lang w:val="en-US" w:eastAsia="zh-CN" w:bidi="ar-SA"/>
        </w:rPr>
        <w:t>7</w:t>
      </w:r>
      <w:r>
        <w:rPr>
          <w:rFonts w:hint="default" w:ascii="仿宋_GB2312" w:hAnsi="仿宋_GB2312" w:eastAsia="仿宋_GB2312" w:cs="仿宋_GB2312"/>
          <w:b w:val="0"/>
          <w:bCs/>
          <w:color w:val="auto"/>
          <w:kern w:val="44"/>
          <w:sz w:val="28"/>
          <w:szCs w:val="28"/>
          <w:lang w:val="en-US" w:eastAsia="zh-CN" w:bidi="ar-SA"/>
        </w:rPr>
        <w:t>供应商未按约定提供对应的售后服务，采购人有权委托第三方代为提供服务，所产生的费用由供应商负责，同时不免除供应商的违约责任（投标人须提供承诺函并加盖投标人公章）。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color w:val="auto"/>
          <w:kern w:val="44"/>
          <w:sz w:val="28"/>
          <w:szCs w:val="28"/>
          <w:lang w:val="en-US" w:eastAsia="zh-CN" w:bidi="ar-SA"/>
        </w:rPr>
      </w:pPr>
      <w:r>
        <w:rPr>
          <w:rFonts w:hint="eastAsia" w:ascii="仿宋_GB2312" w:hAnsi="仿宋_GB2312" w:eastAsia="仿宋_GB2312" w:cs="仿宋_GB2312"/>
          <w:b/>
          <w:bCs w:val="0"/>
          <w:color w:val="auto"/>
          <w:kern w:val="44"/>
          <w:sz w:val="28"/>
          <w:szCs w:val="28"/>
          <w:lang w:val="en-US" w:eastAsia="zh-CN" w:bidi="ar-SA"/>
        </w:rPr>
        <w:t>9.合同转包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color w:val="auto"/>
          <w:kern w:val="44"/>
          <w:sz w:val="28"/>
          <w:szCs w:val="28"/>
          <w:lang w:val="en-US" w:eastAsia="zh-CN" w:bidi="ar-SA"/>
        </w:rPr>
      </w:pPr>
      <w:r>
        <w:rPr>
          <w:rFonts w:hint="default" w:ascii="仿宋_GB2312" w:hAnsi="仿宋_GB2312" w:eastAsia="仿宋_GB2312" w:cs="仿宋_GB2312"/>
          <w:b w:val="0"/>
          <w:bCs/>
          <w:color w:val="auto"/>
          <w:kern w:val="44"/>
          <w:sz w:val="28"/>
          <w:szCs w:val="28"/>
          <w:lang w:val="en-US" w:eastAsia="zh-CN" w:bidi="ar-SA"/>
        </w:rPr>
        <w:t>本采购项目严禁中标供应商将任何采购合同义务转包。本项目所称转包，是指成交供应商将采购合同义务转让给第三人，并退出现有采购合同当事人双方的权利义务关系，受让人（即第三人）实质成为采购合同的另一方当事人的行为。中标供应商转包的，视同拒绝履行采购合同义务，将依法追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color w:val="auto"/>
          <w:kern w:val="44"/>
          <w:sz w:val="28"/>
          <w:szCs w:val="28"/>
          <w:lang w:val="en-US" w:eastAsia="zh-CN" w:bidi="ar-SA"/>
        </w:rPr>
      </w:pPr>
      <w:r>
        <w:rPr>
          <w:rFonts w:hint="eastAsia" w:ascii="仿宋_GB2312" w:hAnsi="仿宋_GB2312" w:eastAsia="仿宋_GB2312" w:cs="仿宋_GB2312"/>
          <w:b/>
          <w:bCs w:val="0"/>
          <w:color w:val="auto"/>
          <w:kern w:val="44"/>
          <w:sz w:val="28"/>
          <w:szCs w:val="28"/>
          <w:lang w:val="en-US" w:eastAsia="zh-CN" w:bidi="ar-SA"/>
        </w:rPr>
        <w:t>10.保密需求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auto"/>
          <w:kern w:val="44"/>
          <w:sz w:val="28"/>
          <w:szCs w:val="28"/>
          <w:lang w:val="en-US" w:eastAsia="zh-CN" w:bidi="ar-SA"/>
        </w:rPr>
      </w:pPr>
      <w:r>
        <w:rPr>
          <w:rFonts w:hint="eastAsia" w:ascii="仿宋_GB2312" w:hAnsi="仿宋_GB2312" w:eastAsia="仿宋_GB2312" w:cs="仿宋_GB2312"/>
          <w:b w:val="0"/>
          <w:bCs/>
          <w:color w:val="auto"/>
          <w:kern w:val="44"/>
          <w:sz w:val="28"/>
          <w:szCs w:val="28"/>
          <w:lang w:val="en-US" w:eastAsia="zh-CN" w:bidi="ar-SA"/>
        </w:rPr>
        <w:t>承担合同履行时所要尽的一切保密义务。对项目实施过程中的资料、数据进行保密，未经采购人书面同意不得泄露，且保密责任不因合同的</w:t>
      </w:r>
      <w:r>
        <w:rPr>
          <w:rFonts w:hint="eastAsia" w:ascii="仿宋_GB2312" w:hAnsi="仿宋_GB2312" w:eastAsia="仿宋_GB2312" w:cs="仿宋_GB2312"/>
          <w:b w:val="0"/>
          <w:bCs/>
          <w:color w:val="auto"/>
          <w:kern w:val="44"/>
          <w:sz w:val="28"/>
          <w:szCs w:val="28"/>
          <w:lang w:val="en-US" w:eastAsia="zh-CN" w:bidi="ar-SA"/>
        </w:rPr>
        <w:t>终止</w:t>
      </w:r>
      <w:r>
        <w:rPr>
          <w:rFonts w:hint="eastAsia" w:ascii="仿宋_GB2312" w:hAnsi="仿宋_GB2312" w:eastAsia="仿宋_GB2312" w:cs="仿宋_GB2312"/>
          <w:b w:val="0"/>
          <w:bCs/>
          <w:color w:val="auto"/>
          <w:kern w:val="44"/>
          <w:sz w:val="28"/>
          <w:szCs w:val="28"/>
          <w:lang w:val="en-US" w:eastAsia="zh-CN" w:bidi="ar-SA"/>
        </w:rPr>
        <w:t>或解除而失效。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44"/>
          <w:sz w:val="28"/>
          <w:szCs w:val="28"/>
          <w:lang w:val="en-US" w:eastAsia="zh-CN"/>
        </w:rPr>
      </w:pPr>
    </w:p>
    <w:bookmarkEnd w:id="1"/>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2"/>
    <w:multiLevelType w:val="singleLevel"/>
    <w:tmpl w:val="00000002"/>
    <w:lvl w:ilvl="0" w:tentative="0">
      <w:start w:val="1"/>
      <w:numFmt w:val="decimal"/>
      <w:suff w:val="nothing"/>
      <w:lvlText w:val="%1．"/>
      <w:lvlJc w:val="left"/>
      <w:pPr>
        <w:ind w:left="420" w:firstLine="400"/>
      </w:pPr>
      <w:rPr>
        <w:rFonts w:hint="default"/>
      </w:rPr>
    </w:lvl>
  </w:abstractNum>
  <w:abstractNum w:abstractNumId="3">
    <w:nsid w:val="00000003"/>
    <w:multiLevelType w:val="multilevel"/>
    <w:tmpl w:val="00000003"/>
    <w:lvl w:ilvl="0" w:tentative="0">
      <w:start w:val="1"/>
      <w:numFmt w:val="chineseCountingThousand"/>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NzYzZGM4YzA3NjViN2M1YzkwODRhNTVhMDU1NDMifQ=="/>
  </w:docVars>
  <w:rsids>
    <w:rsidRoot w:val="00000000"/>
    <w:rsid w:val="0C0E7AD6"/>
    <w:rsid w:val="0D8F7131"/>
    <w:rsid w:val="15EC1502"/>
    <w:rsid w:val="1A3D6B61"/>
    <w:rsid w:val="22C369C1"/>
    <w:rsid w:val="240A251D"/>
    <w:rsid w:val="2A756C7C"/>
    <w:rsid w:val="30237F48"/>
    <w:rsid w:val="42C53893"/>
    <w:rsid w:val="61DD48F5"/>
    <w:rsid w:val="67DC2A3E"/>
    <w:rsid w:val="7B380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56"/>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30"/>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6"/>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keepLines/>
      <w:spacing w:before="280" w:after="290" w:line="376" w:lineRule="auto"/>
      <w:outlineLvl w:val="3"/>
    </w:pPr>
    <w:rPr>
      <w:rFonts w:ascii="Cambria" w:hAnsi="Cambria" w:eastAsia="宋体" w:cs="宋体"/>
      <w:b/>
      <w:bCs/>
      <w:sz w:val="28"/>
      <w:szCs w:val="28"/>
    </w:rPr>
  </w:style>
  <w:style w:type="character" w:default="1" w:styleId="17">
    <w:name w:val="Default Paragraph Font"/>
    <w:qFormat/>
    <w:uiPriority w:val="1"/>
  </w:style>
  <w:style w:type="table" w:default="1" w:styleId="21">
    <w:name w:val="Normal Table"/>
    <w:qFormat/>
    <w:uiPriority w:val="99"/>
    <w:tblPr>
      <w:tblLayout w:type="fixed"/>
      <w:tblCellMar>
        <w:top w:w="0" w:type="dxa"/>
        <w:left w:w="108" w:type="dxa"/>
        <w:bottom w:w="0" w:type="dxa"/>
        <w:right w:w="108" w:type="dxa"/>
      </w:tblCellMar>
    </w:tblPr>
  </w:style>
  <w:style w:type="paragraph" w:styleId="6">
    <w:name w:val="annotation subject"/>
    <w:basedOn w:val="7"/>
    <w:next w:val="7"/>
    <w:link w:val="28"/>
    <w:qFormat/>
    <w:uiPriority w:val="0"/>
    <w:rPr>
      <w:b/>
      <w:bCs/>
    </w:rPr>
  </w:style>
  <w:style w:type="paragraph" w:styleId="7">
    <w:name w:val="annotation text"/>
    <w:basedOn w:val="1"/>
    <w:link w:val="26"/>
    <w:qFormat/>
    <w:uiPriority w:val="0"/>
    <w:pPr>
      <w:jc w:val="left"/>
    </w:pPr>
  </w:style>
  <w:style w:type="paragraph" w:styleId="8">
    <w:name w:val="Normal Indent"/>
    <w:basedOn w:val="1"/>
    <w:qFormat/>
    <w:uiPriority w:val="0"/>
    <w:pPr>
      <w:widowControl/>
      <w:ind w:firstLine="420" w:firstLineChars="200"/>
    </w:pPr>
    <w:rPr>
      <w:rFonts w:ascii="Times New Roman" w:hAnsi="Times New Roman" w:eastAsia="宋体" w:cs="Times New Roman"/>
      <w:szCs w:val="20"/>
    </w:rPr>
  </w:style>
  <w:style w:type="paragraph" w:styleId="9">
    <w:name w:val="Body Text"/>
    <w:basedOn w:val="1"/>
    <w:next w:val="1"/>
    <w:link w:val="41"/>
    <w:qFormat/>
    <w:uiPriority w:val="99"/>
    <w:pPr>
      <w:spacing w:after="120"/>
    </w:pPr>
    <w:rPr>
      <w:rFonts w:ascii="Calibri" w:hAnsi="Calibri" w:eastAsia="宋体" w:cs="Times New Roman"/>
      <w:szCs w:val="24"/>
    </w:rPr>
  </w:style>
  <w:style w:type="paragraph" w:styleId="10">
    <w:name w:val="Plain Text"/>
    <w:basedOn w:val="1"/>
    <w:link w:val="31"/>
    <w:qFormat/>
    <w:uiPriority w:val="99"/>
    <w:rPr>
      <w:rFonts w:ascii="宋体" w:hAnsi="Courier New" w:eastAsia="宋体" w:cs="Times New Roman"/>
      <w:kern w:val="0"/>
      <w:sz w:val="20"/>
      <w:szCs w:val="21"/>
    </w:rPr>
  </w:style>
  <w:style w:type="paragraph" w:styleId="11">
    <w:name w:val="Balloon Text"/>
    <w:basedOn w:val="1"/>
    <w:link w:val="27"/>
    <w:qFormat/>
    <w:uiPriority w:val="0"/>
    <w:rPr>
      <w:sz w:val="18"/>
      <w:szCs w:val="18"/>
    </w:rPr>
  </w:style>
  <w:style w:type="paragraph" w:styleId="12">
    <w:name w:val="footer"/>
    <w:basedOn w:val="1"/>
    <w:link w:val="24"/>
    <w:qFormat/>
    <w:uiPriority w:val="0"/>
    <w:pPr>
      <w:tabs>
        <w:tab w:val="center" w:pos="4153"/>
        <w:tab w:val="right" w:pos="8306"/>
      </w:tabs>
      <w:snapToGrid w:val="0"/>
      <w:jc w:val="left"/>
    </w:pPr>
    <w:rPr>
      <w:sz w:val="18"/>
      <w:szCs w:val="18"/>
    </w:rPr>
  </w:style>
  <w:style w:type="paragraph" w:styleId="1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left" w:pos="1260"/>
        <w:tab w:val="right" w:leader="dot" w:pos="8722"/>
      </w:tabs>
      <w:adjustRightInd w:val="0"/>
      <w:spacing w:line="480" w:lineRule="auto"/>
      <w:textAlignment w:val="baseline"/>
    </w:pPr>
    <w:rPr>
      <w:rFonts w:ascii="Times New Roman" w:hAnsi="Times New Roman" w:eastAsia="宋体" w:cs="Times New Roman"/>
      <w:b/>
      <w:kern w:val="0"/>
      <w:sz w:val="24"/>
      <w:szCs w:val="20"/>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9"/>
    <w:qFormat/>
    <w:uiPriority w:val="0"/>
    <w:pPr>
      <w:spacing w:before="240" w:after="60"/>
      <w:jc w:val="center"/>
      <w:outlineLvl w:val="0"/>
    </w:pPr>
    <w:rPr>
      <w:rFonts w:ascii="Cambria" w:hAnsi="Cambria" w:eastAsia="宋体" w:cs="宋体"/>
      <w:b/>
      <w:bCs/>
      <w:sz w:val="32"/>
      <w:szCs w:val="32"/>
    </w:rPr>
  </w:style>
  <w:style w:type="character" w:styleId="18">
    <w:name w:val="Strong"/>
    <w:basedOn w:val="17"/>
    <w:qFormat/>
    <w:uiPriority w:val="22"/>
    <w:rPr>
      <w:b/>
      <w:bCs/>
    </w:rPr>
  </w:style>
  <w:style w:type="character" w:styleId="19">
    <w:name w:val="Hyperlink"/>
    <w:qFormat/>
    <w:uiPriority w:val="0"/>
    <w:rPr>
      <w:color w:val="0000FF"/>
      <w:u w:val="single"/>
    </w:rPr>
  </w:style>
  <w:style w:type="character" w:styleId="20">
    <w:name w:val="annotation reference"/>
    <w:basedOn w:val="17"/>
    <w:qFormat/>
    <w:uiPriority w:val="0"/>
    <w:rPr>
      <w:sz w:val="21"/>
      <w:szCs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页眉 Char"/>
    <w:basedOn w:val="17"/>
    <w:link w:val="13"/>
    <w:qFormat/>
    <w:uiPriority w:val="99"/>
    <w:rPr>
      <w:sz w:val="18"/>
      <w:szCs w:val="18"/>
    </w:rPr>
  </w:style>
  <w:style w:type="character" w:customStyle="1" w:styleId="24">
    <w:name w:val="页脚 Char"/>
    <w:basedOn w:val="17"/>
    <w:link w:val="12"/>
    <w:qFormat/>
    <w:uiPriority w:val="99"/>
    <w:rPr>
      <w:sz w:val="18"/>
      <w:szCs w:val="18"/>
    </w:rPr>
  </w:style>
  <w:style w:type="paragraph" w:styleId="25">
    <w:name w:val="List Paragraph"/>
    <w:basedOn w:val="1"/>
    <w:link w:val="33"/>
    <w:qFormat/>
    <w:uiPriority w:val="34"/>
    <w:pPr>
      <w:ind w:firstLine="420" w:firstLineChars="200"/>
    </w:pPr>
  </w:style>
  <w:style w:type="character" w:customStyle="1" w:styleId="26">
    <w:name w:val="批注文字 Char"/>
    <w:basedOn w:val="17"/>
    <w:link w:val="7"/>
    <w:qFormat/>
    <w:uiPriority w:val="0"/>
  </w:style>
  <w:style w:type="character" w:customStyle="1" w:styleId="27">
    <w:name w:val="批注框文本 Char"/>
    <w:basedOn w:val="17"/>
    <w:link w:val="11"/>
    <w:qFormat/>
    <w:uiPriority w:val="99"/>
    <w:rPr>
      <w:sz w:val="18"/>
      <w:szCs w:val="18"/>
    </w:rPr>
  </w:style>
  <w:style w:type="character" w:customStyle="1" w:styleId="28">
    <w:name w:val="批注主题 Char"/>
    <w:basedOn w:val="26"/>
    <w:link w:val="6"/>
    <w:qFormat/>
    <w:uiPriority w:val="0"/>
    <w:rPr>
      <w:b/>
      <w:bCs/>
    </w:rPr>
  </w:style>
  <w:style w:type="character" w:customStyle="1" w:styleId="29">
    <w:name w:val="标题 Char"/>
    <w:basedOn w:val="17"/>
    <w:link w:val="16"/>
    <w:qFormat/>
    <w:uiPriority w:val="0"/>
    <w:rPr>
      <w:rFonts w:ascii="Cambria" w:hAnsi="Cambria" w:eastAsia="宋体" w:cs="宋体"/>
      <w:b/>
      <w:bCs/>
      <w:sz w:val="32"/>
      <w:szCs w:val="32"/>
    </w:rPr>
  </w:style>
  <w:style w:type="character" w:customStyle="1" w:styleId="30">
    <w:name w:val="标题 2 Char"/>
    <w:basedOn w:val="17"/>
    <w:link w:val="3"/>
    <w:qFormat/>
    <w:uiPriority w:val="0"/>
    <w:rPr>
      <w:rFonts w:ascii="Arial" w:hAnsi="Arial" w:eastAsia="黑体" w:cs="Times New Roman"/>
      <w:b/>
      <w:bCs/>
      <w:sz w:val="32"/>
      <w:szCs w:val="32"/>
    </w:rPr>
  </w:style>
  <w:style w:type="character" w:customStyle="1" w:styleId="31">
    <w:name w:val="纯文本 Char"/>
    <w:basedOn w:val="17"/>
    <w:link w:val="10"/>
    <w:qFormat/>
    <w:uiPriority w:val="0"/>
    <w:rPr>
      <w:rFonts w:ascii="宋体" w:hAnsi="Courier New" w:eastAsia="宋体" w:cs="Times New Roman"/>
      <w:kern w:val="0"/>
      <w:sz w:val="20"/>
      <w:szCs w:val="21"/>
    </w:rPr>
  </w:style>
  <w:style w:type="paragraph" w:customStyle="1" w:styleId="3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3">
    <w:name w:val="列出段落 Char"/>
    <w:link w:val="25"/>
    <w:qFormat/>
    <w:uiPriority w:val="99"/>
  </w:style>
  <w:style w:type="paragraph" w:customStyle="1" w:styleId="34">
    <w:name w:val="样式4"/>
    <w:basedOn w:val="1"/>
    <w:qFormat/>
    <w:uiPriority w:val="0"/>
    <w:pPr>
      <w:numPr>
        <w:ilvl w:val="3"/>
        <w:numId w:val="1"/>
      </w:numPr>
      <w:tabs>
        <w:tab w:val="clear" w:pos="851"/>
      </w:tabs>
    </w:pPr>
    <w:rPr>
      <w:rFonts w:ascii="Times New Roman" w:hAnsi="Times New Roman" w:eastAsia="宋体" w:cs="Times New Roman"/>
      <w:szCs w:val="24"/>
    </w:rPr>
  </w:style>
  <w:style w:type="paragraph" w:customStyle="1" w:styleId="35">
    <w:name w:val="列出段落1"/>
    <w:basedOn w:val="1"/>
    <w:link w:val="36"/>
    <w:qFormat/>
    <w:uiPriority w:val="99"/>
    <w:pPr>
      <w:ind w:firstLine="420" w:firstLineChars="200"/>
    </w:pPr>
    <w:rPr>
      <w:rFonts w:ascii="Times New Roman" w:hAnsi="Times New Roman" w:eastAsia="宋体" w:cs="Times New Roman"/>
      <w:szCs w:val="21"/>
    </w:rPr>
  </w:style>
  <w:style w:type="character" w:customStyle="1" w:styleId="36">
    <w:name w:val="List Paragraph Char"/>
    <w:link w:val="35"/>
    <w:qFormat/>
    <w:uiPriority w:val="99"/>
    <w:rPr>
      <w:rFonts w:ascii="Times New Roman" w:hAnsi="Times New Roman" w:eastAsia="宋体" w:cs="Times New Roman"/>
      <w:szCs w:val="21"/>
    </w:rPr>
  </w:style>
  <w:style w:type="paragraph" w:customStyle="1" w:styleId="37">
    <w:name w:val="_Style 121"/>
    <w:basedOn w:val="1"/>
    <w:next w:val="25"/>
    <w:qFormat/>
    <w:uiPriority w:val="34"/>
    <w:pPr>
      <w:ind w:firstLine="420" w:firstLineChars="200"/>
    </w:pPr>
    <w:rPr>
      <w:rFonts w:ascii="Calibri" w:hAnsi="Calibri" w:eastAsia="宋体" w:cs="Times New Roman"/>
    </w:rPr>
  </w:style>
  <w:style w:type="paragraph" w:customStyle="1" w:styleId="38">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修订1"/>
    <w:qFormat/>
    <w:uiPriority w:val="99"/>
    <w:rPr>
      <w:rFonts w:ascii="Calibri" w:hAnsi="Calibri" w:eastAsia="宋体" w:cs="宋体"/>
      <w:kern w:val="2"/>
      <w:sz w:val="21"/>
      <w:szCs w:val="22"/>
      <w:lang w:val="en-US" w:eastAsia="zh-CN" w:bidi="ar-SA"/>
    </w:rPr>
  </w:style>
  <w:style w:type="character" w:customStyle="1" w:styleId="41">
    <w:name w:val="正文文本 Char"/>
    <w:basedOn w:val="17"/>
    <w:link w:val="9"/>
    <w:qFormat/>
    <w:uiPriority w:val="99"/>
    <w:rPr>
      <w:rFonts w:ascii="Calibri" w:hAnsi="Calibri" w:eastAsia="宋体" w:cs="Times New Roman"/>
      <w:kern w:val="2"/>
      <w:sz w:val="21"/>
      <w:szCs w:val="24"/>
    </w:rPr>
  </w:style>
  <w:style w:type="paragraph" w:customStyle="1" w:styleId="4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11"/>
    <w:basedOn w:val="1"/>
    <w:qFormat/>
    <w:uiPriority w:val="34"/>
    <w:pPr>
      <w:adjustRightInd w:val="0"/>
      <w:spacing w:line="360" w:lineRule="atLeast"/>
      <w:ind w:firstLine="420" w:firstLineChars="200"/>
      <w:textAlignment w:val="baseline"/>
    </w:pPr>
    <w:rPr>
      <w:rFonts w:ascii="Times New Roman" w:hAnsi="Times New Roman" w:eastAsia="宋体" w:cs="Times New Roman"/>
      <w:kern w:val="0"/>
      <w:sz w:val="20"/>
      <w:szCs w:val="20"/>
    </w:rPr>
  </w:style>
  <w:style w:type="paragraph" w:customStyle="1" w:styleId="44">
    <w:name w:val="修订2"/>
    <w:qFormat/>
    <w:uiPriority w:val="99"/>
    <w:rPr>
      <w:rFonts w:ascii="Calibri" w:hAnsi="Calibri" w:eastAsia="宋体" w:cs="宋体"/>
      <w:kern w:val="2"/>
      <w:sz w:val="21"/>
      <w:szCs w:val="22"/>
      <w:lang w:val="en-US" w:eastAsia="zh-CN" w:bidi="ar-SA"/>
    </w:rPr>
  </w:style>
  <w:style w:type="paragraph" w:customStyle="1" w:styleId="45">
    <w:name w:val="修订3"/>
    <w:qFormat/>
    <w:uiPriority w:val="99"/>
    <w:rPr>
      <w:rFonts w:ascii="Calibri" w:hAnsi="Calibri" w:eastAsia="宋体" w:cs="宋体"/>
      <w:kern w:val="2"/>
      <w:sz w:val="21"/>
      <w:szCs w:val="22"/>
      <w:lang w:val="en-US" w:eastAsia="zh-CN" w:bidi="ar-SA"/>
    </w:rPr>
  </w:style>
  <w:style w:type="character" w:customStyle="1" w:styleId="46">
    <w:name w:val="标题 3 Char"/>
    <w:basedOn w:val="17"/>
    <w:link w:val="4"/>
    <w:qFormat/>
    <w:uiPriority w:val="9"/>
    <w:rPr>
      <w:rFonts w:ascii="Calibri" w:hAnsi="Calibri" w:eastAsia="宋体" w:cs="宋体"/>
      <w:b/>
      <w:bCs/>
      <w:kern w:val="2"/>
      <w:sz w:val="32"/>
      <w:szCs w:val="32"/>
    </w:rPr>
  </w:style>
  <w:style w:type="paragraph" w:customStyle="1" w:styleId="47">
    <w:name w:val="修订4"/>
    <w:qFormat/>
    <w:uiPriority w:val="99"/>
    <w:rPr>
      <w:rFonts w:ascii="Calibri" w:hAnsi="Calibri" w:eastAsia="宋体" w:cs="宋体"/>
      <w:kern w:val="2"/>
      <w:sz w:val="21"/>
      <w:szCs w:val="22"/>
      <w:lang w:val="en-US" w:eastAsia="zh-CN" w:bidi="ar-SA"/>
    </w:rPr>
  </w:style>
  <w:style w:type="character" w:customStyle="1" w:styleId="48">
    <w:name w:val="font41"/>
    <w:qFormat/>
    <w:uiPriority w:val="0"/>
    <w:rPr>
      <w:rFonts w:hint="default" w:ascii="Times New Roman" w:hAnsi="Times New Roman" w:cs="Times New Roman"/>
      <w:b/>
      <w:color w:val="000000"/>
      <w:sz w:val="40"/>
      <w:szCs w:val="40"/>
      <w:u w:val="none"/>
    </w:rPr>
  </w:style>
  <w:style w:type="character" w:customStyle="1" w:styleId="49">
    <w:name w:val="font31"/>
    <w:qFormat/>
    <w:uiPriority w:val="0"/>
    <w:rPr>
      <w:rFonts w:hint="eastAsia" w:ascii="仿宋" w:hAnsi="仿宋" w:eastAsia="仿宋" w:cs="仿宋"/>
      <w:color w:val="000000"/>
      <w:sz w:val="24"/>
      <w:szCs w:val="24"/>
      <w:u w:val="none"/>
    </w:rPr>
  </w:style>
  <w:style w:type="character" w:customStyle="1" w:styleId="50">
    <w:name w:val="font11"/>
    <w:qFormat/>
    <w:uiPriority w:val="0"/>
    <w:rPr>
      <w:rFonts w:hint="eastAsia" w:ascii="宋体" w:hAnsi="宋体" w:eastAsia="宋体" w:cs="宋体"/>
      <w:b/>
      <w:color w:val="000000"/>
      <w:sz w:val="21"/>
      <w:szCs w:val="21"/>
      <w:u w:val="none"/>
    </w:rPr>
  </w:style>
  <w:style w:type="character" w:customStyle="1" w:styleId="51">
    <w:name w:val="font61"/>
    <w:qFormat/>
    <w:uiPriority w:val="0"/>
    <w:rPr>
      <w:rFonts w:hint="eastAsia" w:ascii="宋体" w:hAnsi="宋体" w:eastAsia="宋体" w:cs="宋体"/>
      <w:color w:val="000000"/>
      <w:sz w:val="24"/>
      <w:szCs w:val="24"/>
      <w:u w:val="none"/>
    </w:rPr>
  </w:style>
  <w:style w:type="character" w:customStyle="1" w:styleId="52">
    <w:name w:val="批注框文本 字符"/>
    <w:qFormat/>
    <w:uiPriority w:val="0"/>
    <w:rPr>
      <w:rFonts w:ascii="Calibri" w:hAnsi="Calibri"/>
      <w:kern w:val="2"/>
      <w:sz w:val="18"/>
      <w:szCs w:val="18"/>
    </w:rPr>
  </w:style>
  <w:style w:type="character" w:customStyle="1" w:styleId="53">
    <w:name w:val="批注文字 字符"/>
    <w:qFormat/>
    <w:uiPriority w:val="0"/>
    <w:rPr>
      <w:rFonts w:ascii="Calibri" w:hAnsi="Calibri"/>
      <w:kern w:val="2"/>
      <w:sz w:val="21"/>
      <w:szCs w:val="24"/>
    </w:rPr>
  </w:style>
  <w:style w:type="character" w:customStyle="1" w:styleId="54">
    <w:name w:val="批注主题 字符"/>
    <w:qFormat/>
    <w:uiPriority w:val="0"/>
    <w:rPr>
      <w:rFonts w:ascii="Calibri" w:hAnsi="Calibri"/>
      <w:b/>
      <w:bCs/>
      <w:kern w:val="2"/>
      <w:sz w:val="21"/>
      <w:szCs w:val="24"/>
    </w:rPr>
  </w:style>
  <w:style w:type="character" w:customStyle="1" w:styleId="55">
    <w:name w:val="标题 4 Char"/>
    <w:basedOn w:val="17"/>
    <w:link w:val="5"/>
    <w:qFormat/>
    <w:uiPriority w:val="9"/>
    <w:rPr>
      <w:rFonts w:ascii="Cambria" w:hAnsi="Cambria" w:eastAsia="宋体" w:cs="宋体"/>
      <w:b/>
      <w:bCs/>
      <w:kern w:val="2"/>
      <w:sz w:val="28"/>
      <w:szCs w:val="28"/>
    </w:rPr>
  </w:style>
  <w:style w:type="character" w:customStyle="1" w:styleId="56">
    <w:name w:val="标题 1 Char"/>
    <w:basedOn w:val="17"/>
    <w:link w:val="2"/>
    <w:qFormat/>
    <w:uiPriority w:val="0"/>
    <w:rPr>
      <w:b/>
      <w:bCs/>
      <w:kern w:val="44"/>
      <w:sz w:val="44"/>
      <w:szCs w:val="44"/>
    </w:rPr>
  </w:style>
  <w:style w:type="paragraph" w:customStyle="1" w:styleId="5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8">
    <w:name w:val="正文（JC）"/>
    <w:basedOn w:val="1"/>
    <w:qFormat/>
    <w:uiPriority w:val="0"/>
    <w:pPr>
      <w:spacing w:line="360" w:lineRule="auto"/>
      <w:ind w:firstLine="360" w:firstLineChars="150"/>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5486</Words>
  <Characters>5741</Characters>
  <Paragraphs>162</Paragraphs>
  <TotalTime>340</TotalTime>
  <ScaleCrop>false</ScaleCrop>
  <LinksUpToDate>false</LinksUpToDate>
  <CharactersWithSpaces>5756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2023-04-28T01:41:00Z</dcterms:created>
  <dc:creator>dreamsummit</dc:creator>
  <cp:lastModifiedBy>林瀚文</cp:lastModifiedBy>
  <cp:lastPrinted>2018-10-16T04:01:00Z</cp:lastPrinted>
  <dcterms:modified xsi:type="dcterms:W3CDTF">2024-11-19T01:30:04Z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51232E57C5D04AD4A60B20EBE65E4974_13</vt:lpwstr>
  </property>
</Properties>
</file>