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YY24-BJ052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监舍移动冷风机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采购项目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(二次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7205EB5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1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2024-11-22T07:21:55Z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